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0B8A0" w14:textId="3CA2E310" w:rsidR="00444F69" w:rsidRPr="009F4049" w:rsidRDefault="00263A7A" w:rsidP="00EE4BCF">
      <w:pPr>
        <w:spacing w:before="960"/>
        <w:rPr>
          <w:rStyle w:val="Bodytext220pt"/>
          <w:rFonts w:eastAsia="Courier New" w:cs="Courier New"/>
          <w:b w:val="0"/>
          <w:bCs w:val="0"/>
          <w:sz w:val="22"/>
          <w:szCs w:val="2"/>
        </w:rPr>
      </w:pPr>
      <w:r>
        <w:rPr>
          <w:rFonts w:ascii="Times New Roman" w:hAnsi="Times New Roman"/>
          <w:sz w:val="22"/>
        </w:rPr>
        <w:pict w14:anchorId="2C239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45pt;height:85.25pt">
            <v:imagedata r:id="rId8" o:title=""/>
          </v:shape>
        </w:pict>
      </w:r>
    </w:p>
    <w:p w14:paraId="3DD7D21A" w14:textId="77777777" w:rsidR="00F818BB" w:rsidRPr="009F4049" w:rsidRDefault="00444F69" w:rsidP="00EE4BCF">
      <w:pPr>
        <w:pStyle w:val="Bodytext20"/>
        <w:spacing w:before="960" w:line="240" w:lineRule="auto"/>
        <w:rPr>
          <w:spacing w:val="0"/>
          <w:sz w:val="36"/>
          <w:szCs w:val="40"/>
        </w:rPr>
      </w:pPr>
      <w:r w:rsidRPr="009F4049">
        <w:rPr>
          <w:rStyle w:val="Bodytext220pt"/>
          <w:b/>
          <w:bCs/>
          <w:sz w:val="36"/>
        </w:rPr>
        <w:t>Health and Other Services</w:t>
      </w:r>
      <w:r w:rsidR="009F4049" w:rsidRPr="009F4049">
        <w:rPr>
          <w:rStyle w:val="Bodytext220pt"/>
          <w:b/>
          <w:bCs/>
          <w:sz w:val="36"/>
        </w:rPr>
        <w:t xml:space="preserve"> </w:t>
      </w:r>
      <w:r w:rsidR="00440A6B" w:rsidRPr="009F4049">
        <w:rPr>
          <w:rStyle w:val="Bodytext220pt"/>
          <w:b/>
          <w:bCs/>
          <w:sz w:val="36"/>
        </w:rPr>
        <w:t>(Compensation) Amendment Act 1996</w:t>
      </w:r>
    </w:p>
    <w:p w14:paraId="1BA41294" w14:textId="342EC541" w:rsidR="00F818BB" w:rsidRPr="0075351A" w:rsidRDefault="00440A6B" w:rsidP="00EE4BCF">
      <w:pPr>
        <w:pStyle w:val="Bodytext20"/>
        <w:spacing w:before="960" w:line="240" w:lineRule="auto"/>
        <w:rPr>
          <w:b w:val="0"/>
          <w:spacing w:val="0"/>
          <w:sz w:val="32"/>
          <w:szCs w:val="22"/>
        </w:rPr>
      </w:pPr>
      <w:r w:rsidRPr="0075351A">
        <w:rPr>
          <w:rStyle w:val="Bodytext220pt"/>
          <w:b/>
          <w:bCs/>
          <w:sz w:val="36"/>
          <w:szCs w:val="22"/>
        </w:rPr>
        <w:t>No. 33, 1996</w:t>
      </w:r>
    </w:p>
    <w:p w14:paraId="00697729" w14:textId="77777777" w:rsidR="00444F69" w:rsidRDefault="00440A6B" w:rsidP="00EE4BCF">
      <w:pPr>
        <w:pStyle w:val="Bodytext30"/>
        <w:spacing w:before="960" w:line="240" w:lineRule="auto"/>
        <w:rPr>
          <w:sz w:val="26"/>
          <w:szCs w:val="26"/>
        </w:rPr>
      </w:pPr>
      <w:r w:rsidRPr="009F4049">
        <w:rPr>
          <w:rStyle w:val="Bodytext3NotItalic"/>
          <w:b/>
          <w:bCs/>
          <w:sz w:val="26"/>
          <w:szCs w:val="26"/>
        </w:rPr>
        <w:t xml:space="preserve">An Act to amend the </w:t>
      </w:r>
      <w:r w:rsidRPr="009F4049">
        <w:rPr>
          <w:sz w:val="26"/>
          <w:szCs w:val="26"/>
        </w:rPr>
        <w:t>Health and Other Services</w:t>
      </w:r>
      <w:r w:rsidR="006F1434">
        <w:rPr>
          <w:sz w:val="26"/>
          <w:szCs w:val="26"/>
        </w:rPr>
        <w:t xml:space="preserve"> </w:t>
      </w:r>
      <w:r w:rsidRPr="009F4049">
        <w:rPr>
          <w:sz w:val="26"/>
          <w:szCs w:val="26"/>
        </w:rPr>
        <w:t>(Compensation) Act 1995</w:t>
      </w:r>
    </w:p>
    <w:p w14:paraId="690D06A1" w14:textId="77777777" w:rsidR="0004071F" w:rsidRDefault="0004071F" w:rsidP="00EE4BCF">
      <w:pPr>
        <w:rPr>
          <w:sz w:val="26"/>
          <w:szCs w:val="26"/>
        </w:rPr>
        <w:sectPr w:rsidR="0004071F" w:rsidSect="0004071F">
          <w:footerReference w:type="even" r:id="rId9"/>
          <w:footerReference w:type="default" r:id="rId10"/>
          <w:pgSz w:w="12240" w:h="15840" w:code="1"/>
          <w:pgMar w:top="1440" w:right="1440" w:bottom="1440" w:left="1440" w:header="0" w:footer="735" w:gutter="0"/>
          <w:cols w:space="720"/>
          <w:noEndnote/>
          <w:docGrid w:linePitch="360"/>
        </w:sectPr>
      </w:pPr>
    </w:p>
    <w:tbl>
      <w:tblPr>
        <w:tblOverlap w:val="never"/>
        <w:tblW w:w="5297" w:type="pct"/>
        <w:tblCellMar>
          <w:left w:w="10" w:type="dxa"/>
          <w:right w:w="10" w:type="dxa"/>
        </w:tblCellMar>
        <w:tblLook w:val="0000" w:firstRow="0" w:lastRow="0" w:firstColumn="0" w:lastColumn="0" w:noHBand="0" w:noVBand="0"/>
      </w:tblPr>
      <w:tblGrid>
        <w:gridCol w:w="1388"/>
        <w:gridCol w:w="7983"/>
        <w:gridCol w:w="566"/>
      </w:tblGrid>
      <w:tr w:rsidR="00F818BB" w:rsidRPr="00444F69" w14:paraId="782CBE88" w14:textId="77777777" w:rsidTr="0006281F">
        <w:trPr>
          <w:trHeight w:val="365"/>
        </w:trPr>
        <w:tc>
          <w:tcPr>
            <w:tcW w:w="698" w:type="pct"/>
            <w:tcBorders>
              <w:top w:val="single" w:sz="4" w:space="0" w:color="auto"/>
            </w:tcBorders>
          </w:tcPr>
          <w:p w14:paraId="33C44B2C" w14:textId="7B311B62" w:rsidR="00F818BB" w:rsidRPr="009F4049" w:rsidRDefault="00440A6B" w:rsidP="0075351A">
            <w:pPr>
              <w:pStyle w:val="BodyText1"/>
              <w:spacing w:before="120" w:line="240" w:lineRule="auto"/>
              <w:ind w:firstLine="0"/>
              <w:rPr>
                <w:sz w:val="22"/>
                <w:szCs w:val="22"/>
              </w:rPr>
            </w:pPr>
            <w:r w:rsidRPr="0075351A">
              <w:rPr>
                <w:rStyle w:val="Bodytext155pt"/>
                <w:b w:val="0"/>
                <w:sz w:val="32"/>
                <w:szCs w:val="22"/>
              </w:rPr>
              <w:lastRenderedPageBreak/>
              <w:t>Contents</w:t>
            </w:r>
          </w:p>
        </w:tc>
        <w:tc>
          <w:tcPr>
            <w:tcW w:w="4017" w:type="pct"/>
            <w:tcBorders>
              <w:top w:val="single" w:sz="4" w:space="0" w:color="auto"/>
            </w:tcBorders>
          </w:tcPr>
          <w:p w14:paraId="0C84A271" w14:textId="77777777" w:rsidR="00F818BB" w:rsidRPr="009F4049" w:rsidRDefault="00F818BB" w:rsidP="00EE4BCF">
            <w:pPr>
              <w:spacing w:before="120"/>
              <w:rPr>
                <w:rFonts w:ascii="Times New Roman" w:hAnsi="Times New Roman"/>
                <w:sz w:val="22"/>
                <w:szCs w:val="22"/>
              </w:rPr>
            </w:pPr>
          </w:p>
        </w:tc>
        <w:tc>
          <w:tcPr>
            <w:tcW w:w="285" w:type="pct"/>
            <w:tcBorders>
              <w:top w:val="single" w:sz="4" w:space="0" w:color="auto"/>
            </w:tcBorders>
          </w:tcPr>
          <w:p w14:paraId="57587927" w14:textId="77777777" w:rsidR="00F818BB" w:rsidRPr="009F4049" w:rsidRDefault="00F818BB" w:rsidP="00EE4BCF">
            <w:pPr>
              <w:pStyle w:val="BodyText1"/>
              <w:spacing w:before="120" w:line="240" w:lineRule="auto"/>
              <w:ind w:right="144" w:firstLine="0"/>
              <w:jc w:val="right"/>
              <w:rPr>
                <w:sz w:val="22"/>
                <w:szCs w:val="22"/>
              </w:rPr>
            </w:pPr>
          </w:p>
        </w:tc>
      </w:tr>
      <w:tr w:rsidR="00F818BB" w:rsidRPr="00444F69" w14:paraId="66829F31" w14:textId="77777777" w:rsidTr="0006281F">
        <w:trPr>
          <w:trHeight w:val="288"/>
        </w:trPr>
        <w:tc>
          <w:tcPr>
            <w:tcW w:w="698" w:type="pct"/>
            <w:vAlign w:val="bottom"/>
          </w:tcPr>
          <w:p w14:paraId="679660CA" w14:textId="77777777" w:rsidR="00F818BB" w:rsidRPr="0075351A" w:rsidRDefault="00444F69" w:rsidP="00EE4BCF">
            <w:pPr>
              <w:pStyle w:val="BodyText1"/>
              <w:spacing w:before="120" w:line="240" w:lineRule="auto"/>
              <w:ind w:left="790" w:firstLine="0"/>
            </w:pPr>
            <w:r w:rsidRPr="0075351A">
              <w:rPr>
                <w:rStyle w:val="Bodytext8pt"/>
                <w:sz w:val="20"/>
                <w:szCs w:val="20"/>
              </w:rPr>
              <w:t>1</w:t>
            </w:r>
          </w:p>
        </w:tc>
        <w:tc>
          <w:tcPr>
            <w:tcW w:w="4017" w:type="pct"/>
            <w:vAlign w:val="bottom"/>
          </w:tcPr>
          <w:p w14:paraId="0F0C091E" w14:textId="77777777" w:rsidR="00F818BB" w:rsidRPr="0075351A" w:rsidRDefault="00440A6B" w:rsidP="001E1509">
            <w:pPr>
              <w:pStyle w:val="BodyText1"/>
              <w:tabs>
                <w:tab w:val="left" w:leader="dot" w:pos="7837"/>
              </w:tabs>
              <w:spacing w:before="120" w:line="240" w:lineRule="auto"/>
              <w:ind w:firstLine="287"/>
            </w:pPr>
            <w:r w:rsidRPr="0075351A">
              <w:rPr>
                <w:rStyle w:val="Bodytext8pt"/>
                <w:sz w:val="20"/>
                <w:szCs w:val="20"/>
              </w:rPr>
              <w:t>Short title</w:t>
            </w:r>
            <w:r w:rsidR="00F96565" w:rsidRPr="0075351A">
              <w:rPr>
                <w:rStyle w:val="Bodytext8pt"/>
                <w:sz w:val="20"/>
                <w:szCs w:val="20"/>
              </w:rPr>
              <w:tab/>
            </w:r>
          </w:p>
        </w:tc>
        <w:tc>
          <w:tcPr>
            <w:tcW w:w="285" w:type="pct"/>
            <w:vAlign w:val="bottom"/>
          </w:tcPr>
          <w:p w14:paraId="5BC66E4E" w14:textId="775F076B" w:rsidR="00F818BB" w:rsidRPr="0075351A" w:rsidRDefault="00444F69" w:rsidP="0075351A">
            <w:pPr>
              <w:pStyle w:val="BodyText1"/>
              <w:spacing w:before="120" w:line="240" w:lineRule="auto"/>
              <w:ind w:right="144" w:firstLine="0"/>
              <w:jc w:val="right"/>
            </w:pPr>
            <w:r w:rsidRPr="0075351A">
              <w:rPr>
                <w:rStyle w:val="Bodytext8pt"/>
                <w:sz w:val="20"/>
                <w:szCs w:val="20"/>
              </w:rPr>
              <w:t>813</w:t>
            </w:r>
          </w:p>
        </w:tc>
      </w:tr>
      <w:tr w:rsidR="00F818BB" w:rsidRPr="00444F69" w14:paraId="5EAD5933" w14:textId="77777777" w:rsidTr="0006281F">
        <w:trPr>
          <w:trHeight w:val="264"/>
        </w:trPr>
        <w:tc>
          <w:tcPr>
            <w:tcW w:w="698" w:type="pct"/>
            <w:vAlign w:val="bottom"/>
          </w:tcPr>
          <w:p w14:paraId="3C221A7B" w14:textId="77777777" w:rsidR="00F818BB" w:rsidRPr="0075351A" w:rsidRDefault="00440A6B" w:rsidP="00EE4BCF">
            <w:pPr>
              <w:pStyle w:val="BodyText1"/>
              <w:spacing w:before="120" w:line="240" w:lineRule="auto"/>
              <w:ind w:left="790" w:firstLine="0"/>
            </w:pPr>
            <w:r w:rsidRPr="0075351A">
              <w:rPr>
                <w:rStyle w:val="Bodytext155pt"/>
                <w:b w:val="0"/>
                <w:sz w:val="20"/>
                <w:szCs w:val="20"/>
              </w:rPr>
              <w:t>2</w:t>
            </w:r>
          </w:p>
        </w:tc>
        <w:tc>
          <w:tcPr>
            <w:tcW w:w="4017" w:type="pct"/>
            <w:vAlign w:val="bottom"/>
          </w:tcPr>
          <w:p w14:paraId="035EA7F2" w14:textId="77777777" w:rsidR="00F818BB" w:rsidRPr="0075351A" w:rsidRDefault="00440A6B" w:rsidP="001E1509">
            <w:pPr>
              <w:pStyle w:val="BodyText1"/>
              <w:tabs>
                <w:tab w:val="left" w:leader="dot" w:pos="7837"/>
              </w:tabs>
              <w:spacing w:before="120" w:line="240" w:lineRule="auto"/>
              <w:ind w:firstLine="287"/>
            </w:pPr>
            <w:r w:rsidRPr="0075351A">
              <w:rPr>
                <w:rStyle w:val="Bodytext8pt"/>
                <w:sz w:val="20"/>
                <w:szCs w:val="20"/>
              </w:rPr>
              <w:t>Commencement</w:t>
            </w:r>
            <w:r w:rsidR="00F96565" w:rsidRPr="0075351A">
              <w:rPr>
                <w:rStyle w:val="Bodytext8pt"/>
                <w:sz w:val="20"/>
                <w:szCs w:val="20"/>
              </w:rPr>
              <w:tab/>
            </w:r>
          </w:p>
        </w:tc>
        <w:tc>
          <w:tcPr>
            <w:tcW w:w="285" w:type="pct"/>
            <w:vAlign w:val="bottom"/>
          </w:tcPr>
          <w:p w14:paraId="615D986C" w14:textId="68609894" w:rsidR="00F818BB" w:rsidRPr="0075351A" w:rsidRDefault="00444F69" w:rsidP="0075351A">
            <w:pPr>
              <w:pStyle w:val="BodyText1"/>
              <w:spacing w:before="120" w:line="240" w:lineRule="auto"/>
              <w:ind w:right="144" w:firstLine="0"/>
              <w:jc w:val="right"/>
            </w:pPr>
            <w:r w:rsidRPr="0075351A">
              <w:rPr>
                <w:rStyle w:val="Bodytext8pt"/>
                <w:sz w:val="20"/>
                <w:szCs w:val="20"/>
              </w:rPr>
              <w:t>813</w:t>
            </w:r>
          </w:p>
        </w:tc>
      </w:tr>
      <w:tr w:rsidR="00F818BB" w:rsidRPr="00444F69" w14:paraId="6B23F906" w14:textId="77777777" w:rsidTr="0006281F">
        <w:trPr>
          <w:trHeight w:val="307"/>
        </w:trPr>
        <w:tc>
          <w:tcPr>
            <w:tcW w:w="698" w:type="pct"/>
            <w:vAlign w:val="bottom"/>
          </w:tcPr>
          <w:p w14:paraId="3B43DDEF" w14:textId="77777777" w:rsidR="00F818BB" w:rsidRPr="0075351A" w:rsidRDefault="00440A6B" w:rsidP="00EE4BCF">
            <w:pPr>
              <w:pStyle w:val="BodyText1"/>
              <w:spacing w:before="120" w:line="240" w:lineRule="auto"/>
              <w:ind w:left="790" w:firstLine="0"/>
            </w:pPr>
            <w:r w:rsidRPr="0075351A">
              <w:rPr>
                <w:rStyle w:val="Bodytext8pt"/>
                <w:sz w:val="20"/>
                <w:szCs w:val="20"/>
              </w:rPr>
              <w:t>3</w:t>
            </w:r>
          </w:p>
        </w:tc>
        <w:tc>
          <w:tcPr>
            <w:tcW w:w="4017" w:type="pct"/>
            <w:vAlign w:val="bottom"/>
          </w:tcPr>
          <w:p w14:paraId="35A5DC96" w14:textId="77777777" w:rsidR="00F818BB" w:rsidRPr="0075351A" w:rsidRDefault="00440A6B" w:rsidP="001E1509">
            <w:pPr>
              <w:pStyle w:val="BodyText1"/>
              <w:tabs>
                <w:tab w:val="left" w:leader="dot" w:pos="7837"/>
              </w:tabs>
              <w:spacing w:before="120" w:line="240" w:lineRule="auto"/>
              <w:ind w:firstLine="287"/>
            </w:pPr>
            <w:r w:rsidRPr="0075351A">
              <w:rPr>
                <w:rStyle w:val="Bodytext8pt"/>
                <w:sz w:val="20"/>
                <w:szCs w:val="20"/>
              </w:rPr>
              <w:t>Schedule(s)</w:t>
            </w:r>
            <w:r w:rsidR="00F96565" w:rsidRPr="0075351A">
              <w:rPr>
                <w:rStyle w:val="Bodytext8pt"/>
                <w:sz w:val="20"/>
                <w:szCs w:val="20"/>
              </w:rPr>
              <w:tab/>
            </w:r>
          </w:p>
        </w:tc>
        <w:tc>
          <w:tcPr>
            <w:tcW w:w="285" w:type="pct"/>
            <w:vAlign w:val="bottom"/>
          </w:tcPr>
          <w:p w14:paraId="370C3A43" w14:textId="459C5A9E" w:rsidR="00F818BB" w:rsidRPr="0075351A" w:rsidRDefault="00440A6B" w:rsidP="0075351A">
            <w:pPr>
              <w:pStyle w:val="BodyText1"/>
              <w:spacing w:before="120" w:line="240" w:lineRule="auto"/>
              <w:ind w:right="144" w:firstLine="0"/>
              <w:jc w:val="right"/>
            </w:pPr>
            <w:r w:rsidRPr="0075351A">
              <w:rPr>
                <w:rStyle w:val="Bodytext8pt"/>
                <w:sz w:val="20"/>
                <w:szCs w:val="20"/>
              </w:rPr>
              <w:t>814</w:t>
            </w:r>
          </w:p>
        </w:tc>
      </w:tr>
      <w:tr w:rsidR="00F818BB" w:rsidRPr="00444F69" w14:paraId="1372E235" w14:textId="77777777" w:rsidTr="0006281F">
        <w:trPr>
          <w:trHeight w:val="117"/>
        </w:trPr>
        <w:tc>
          <w:tcPr>
            <w:tcW w:w="4715" w:type="pct"/>
            <w:gridSpan w:val="2"/>
            <w:vAlign w:val="bottom"/>
          </w:tcPr>
          <w:p w14:paraId="5E154F78" w14:textId="77777777" w:rsidR="00F818BB" w:rsidRPr="009F4049" w:rsidRDefault="00440A6B" w:rsidP="00EE4BCF">
            <w:pPr>
              <w:pStyle w:val="BodyText1"/>
              <w:spacing w:before="120" w:line="240" w:lineRule="auto"/>
              <w:ind w:firstLine="0"/>
              <w:rPr>
                <w:sz w:val="22"/>
                <w:szCs w:val="22"/>
              </w:rPr>
            </w:pPr>
            <w:r w:rsidRPr="009F4049">
              <w:rPr>
                <w:rStyle w:val="Bodytext115pt"/>
                <w:sz w:val="22"/>
                <w:szCs w:val="22"/>
              </w:rPr>
              <w:t xml:space="preserve">Schedule </w:t>
            </w:r>
            <w:r w:rsidRPr="009F4049">
              <w:rPr>
                <w:rStyle w:val="Bodytext155pt"/>
                <w:sz w:val="22"/>
                <w:szCs w:val="22"/>
              </w:rPr>
              <w:t>1</w:t>
            </w:r>
            <w:r w:rsidRPr="009F4049">
              <w:rPr>
                <w:rStyle w:val="Bodytext115pt"/>
                <w:sz w:val="22"/>
                <w:szCs w:val="22"/>
              </w:rPr>
              <w:t>—Amendment of the Health and Other Services (Compensation) Act 1995</w:t>
            </w:r>
          </w:p>
        </w:tc>
        <w:tc>
          <w:tcPr>
            <w:tcW w:w="285" w:type="pct"/>
            <w:vAlign w:val="bottom"/>
          </w:tcPr>
          <w:p w14:paraId="729684D5" w14:textId="09349FF4" w:rsidR="00F818BB" w:rsidRPr="009F4049" w:rsidRDefault="00440A6B" w:rsidP="0075351A">
            <w:pPr>
              <w:pStyle w:val="BodyText1"/>
              <w:spacing w:before="120" w:line="240" w:lineRule="auto"/>
              <w:ind w:right="144" w:firstLine="0"/>
              <w:jc w:val="right"/>
              <w:rPr>
                <w:sz w:val="22"/>
                <w:szCs w:val="22"/>
              </w:rPr>
            </w:pPr>
            <w:r w:rsidRPr="0075351A">
              <w:rPr>
                <w:rStyle w:val="Bodytext8pt"/>
                <w:sz w:val="20"/>
                <w:szCs w:val="22"/>
              </w:rPr>
              <w:t>815</w:t>
            </w:r>
          </w:p>
        </w:tc>
      </w:tr>
    </w:tbl>
    <w:p w14:paraId="395CC46D" w14:textId="77777777" w:rsidR="0004071F" w:rsidRDefault="0004071F" w:rsidP="00EE4BCF">
      <w:pPr>
        <w:rPr>
          <w:rStyle w:val="Bodytext71"/>
          <w:rFonts w:eastAsia="Courier New"/>
          <w:iCs w:val="0"/>
          <w:sz w:val="22"/>
        </w:rPr>
        <w:sectPr w:rsidR="0004071F" w:rsidSect="0004071F">
          <w:pgSz w:w="12240" w:h="15840" w:code="1"/>
          <w:pgMar w:top="1440" w:right="1440" w:bottom="1440" w:left="1440" w:header="0" w:footer="825" w:gutter="0"/>
          <w:cols w:space="720"/>
          <w:noEndnote/>
          <w:docGrid w:linePitch="360"/>
        </w:sectPr>
      </w:pPr>
    </w:p>
    <w:p w14:paraId="36E853C7" w14:textId="232E8A71" w:rsidR="009F4049" w:rsidRDefault="00263A7A" w:rsidP="00EE4BCF">
      <w:pPr>
        <w:spacing w:before="960"/>
        <w:rPr>
          <w:rFonts w:ascii="Times New Roman" w:hAnsi="Times New Roman"/>
          <w:sz w:val="22"/>
          <w:szCs w:val="2"/>
        </w:rPr>
      </w:pPr>
      <w:r>
        <w:rPr>
          <w:rFonts w:ascii="Times New Roman" w:hAnsi="Times New Roman"/>
          <w:sz w:val="22"/>
        </w:rPr>
        <w:lastRenderedPageBreak/>
        <w:pict w14:anchorId="6BF5CAD7">
          <v:shape id="_x0000_i1026" type="#_x0000_t75" alt="Commonwealth Coat of Arms of Australia" style="width:111.15pt;height:84.1pt">
            <v:imagedata r:id="rId11" o:title=""/>
          </v:shape>
        </w:pict>
      </w:r>
      <w:bookmarkStart w:id="0" w:name="bookmark0"/>
    </w:p>
    <w:p w14:paraId="09E2CC64" w14:textId="77777777" w:rsidR="00F818BB" w:rsidRPr="009F4049" w:rsidRDefault="007C23B7" w:rsidP="00EE4BCF">
      <w:pPr>
        <w:spacing w:before="960"/>
        <w:rPr>
          <w:rFonts w:ascii="Times New Roman" w:hAnsi="Times New Roman"/>
          <w:sz w:val="36"/>
          <w:szCs w:val="36"/>
        </w:rPr>
      </w:pPr>
      <w:r w:rsidRPr="009F4049">
        <w:rPr>
          <w:rStyle w:val="Heading120pt"/>
          <w:rFonts w:eastAsia="Courier New"/>
          <w:sz w:val="36"/>
          <w:szCs w:val="36"/>
        </w:rPr>
        <w:t>Health and Other Services</w:t>
      </w:r>
      <w:r w:rsidR="009F4049">
        <w:rPr>
          <w:rStyle w:val="Heading120pt"/>
          <w:rFonts w:eastAsia="Courier New"/>
          <w:sz w:val="36"/>
          <w:szCs w:val="36"/>
        </w:rPr>
        <w:t xml:space="preserve"> </w:t>
      </w:r>
      <w:r w:rsidR="00440A6B" w:rsidRPr="009F4049">
        <w:rPr>
          <w:rStyle w:val="Heading120pt"/>
          <w:rFonts w:eastAsia="Courier New"/>
          <w:sz w:val="36"/>
          <w:szCs w:val="36"/>
        </w:rPr>
        <w:t>(Compensation) Amendment Act 1996</w:t>
      </w:r>
      <w:bookmarkEnd w:id="0"/>
    </w:p>
    <w:p w14:paraId="5CC7DCA9" w14:textId="2BB7C5CF" w:rsidR="00F818BB" w:rsidRDefault="00440A6B" w:rsidP="00EE4BCF">
      <w:pPr>
        <w:pStyle w:val="Bodytext40"/>
        <w:spacing w:before="960" w:line="240" w:lineRule="auto"/>
        <w:jc w:val="left"/>
        <w:rPr>
          <w:rFonts w:ascii="Times New Roman" w:hAnsi="Times New Roman"/>
          <w:sz w:val="22"/>
          <w:szCs w:val="22"/>
        </w:rPr>
      </w:pPr>
      <w:r w:rsidRPr="0075351A">
        <w:rPr>
          <w:rFonts w:ascii="Times New Roman" w:hAnsi="Times New Roman"/>
          <w:sz w:val="36"/>
          <w:szCs w:val="26"/>
        </w:rPr>
        <w:t>No. 33, 1996</w:t>
      </w:r>
    </w:p>
    <w:p w14:paraId="7A693268" w14:textId="77777777" w:rsidR="00C16A54" w:rsidRPr="009F4049" w:rsidRDefault="00C16A54" w:rsidP="00EE4BCF">
      <w:pPr>
        <w:pStyle w:val="Bodytext40"/>
        <w:pBdr>
          <w:top w:val="thickThinSmallGap" w:sz="24" w:space="1" w:color="auto"/>
        </w:pBdr>
        <w:spacing w:before="960" w:line="240" w:lineRule="auto"/>
        <w:jc w:val="left"/>
        <w:rPr>
          <w:rFonts w:ascii="Times New Roman" w:hAnsi="Times New Roman"/>
          <w:sz w:val="22"/>
          <w:szCs w:val="22"/>
        </w:rPr>
      </w:pPr>
      <w:bookmarkStart w:id="1" w:name="_GoBack"/>
      <w:bookmarkEnd w:id="1"/>
    </w:p>
    <w:p w14:paraId="30BFB904" w14:textId="77777777" w:rsidR="00F818BB" w:rsidRPr="00CF3741" w:rsidRDefault="00440A6B" w:rsidP="00EE4BCF">
      <w:pPr>
        <w:spacing w:before="960"/>
        <w:rPr>
          <w:rFonts w:ascii="Times New Roman" w:hAnsi="Times New Roman" w:cs="Times New Roman"/>
          <w:b/>
          <w:i/>
          <w:sz w:val="26"/>
          <w:szCs w:val="26"/>
        </w:rPr>
      </w:pPr>
      <w:bookmarkStart w:id="2" w:name="bookmark1"/>
      <w:r w:rsidRPr="009F4049">
        <w:rPr>
          <w:rStyle w:val="Heading4NotItalic"/>
          <w:rFonts w:eastAsia="Courier New"/>
          <w:i w:val="0"/>
          <w:iCs w:val="0"/>
          <w:sz w:val="26"/>
          <w:szCs w:val="26"/>
        </w:rPr>
        <w:t xml:space="preserve">An Act to amend the </w:t>
      </w:r>
      <w:r w:rsidR="007C23B7" w:rsidRPr="009F4049">
        <w:rPr>
          <w:rFonts w:ascii="Times New Roman" w:hAnsi="Times New Roman" w:cs="Times New Roman"/>
          <w:b/>
          <w:i/>
          <w:sz w:val="26"/>
          <w:szCs w:val="26"/>
        </w:rPr>
        <w:t>Health and Other Services</w:t>
      </w:r>
      <w:r w:rsidR="00CF3741">
        <w:rPr>
          <w:rFonts w:ascii="Times New Roman" w:hAnsi="Times New Roman" w:cs="Times New Roman"/>
          <w:b/>
          <w:i/>
          <w:sz w:val="26"/>
          <w:szCs w:val="26"/>
        </w:rPr>
        <w:t xml:space="preserve"> </w:t>
      </w:r>
      <w:r w:rsidRPr="009F4049">
        <w:rPr>
          <w:rFonts w:ascii="Times New Roman" w:hAnsi="Times New Roman" w:cs="Times New Roman"/>
          <w:b/>
          <w:i/>
          <w:sz w:val="26"/>
          <w:szCs w:val="26"/>
        </w:rPr>
        <w:t>(Compensation) Act 1995</w:t>
      </w:r>
      <w:bookmarkEnd w:id="2"/>
    </w:p>
    <w:p w14:paraId="4629A465" w14:textId="77777777" w:rsidR="00F818BB" w:rsidRDefault="00440A6B" w:rsidP="00EE4BCF">
      <w:pPr>
        <w:pStyle w:val="Bodytext50"/>
        <w:spacing w:before="120" w:line="240" w:lineRule="auto"/>
        <w:jc w:val="left"/>
        <w:rPr>
          <w:rStyle w:val="Bodytext511pt"/>
          <w:iCs/>
        </w:rPr>
      </w:pPr>
      <w:r w:rsidRPr="007C23B7">
        <w:rPr>
          <w:rStyle w:val="Bodytext511pt"/>
          <w:iCs/>
        </w:rPr>
        <w:t>[</w:t>
      </w:r>
      <w:r w:rsidRPr="007C23B7">
        <w:rPr>
          <w:rStyle w:val="Bodytext511pt"/>
          <w:i/>
          <w:iCs/>
        </w:rPr>
        <w:t>Assented to 28 August 1996</w:t>
      </w:r>
      <w:r w:rsidRPr="007C23B7">
        <w:rPr>
          <w:rStyle w:val="Bodytext511pt"/>
          <w:iCs/>
        </w:rPr>
        <w:t>]</w:t>
      </w:r>
    </w:p>
    <w:p w14:paraId="46949DA5" w14:textId="4C58A305" w:rsidR="00F818BB" w:rsidRPr="00057801" w:rsidRDefault="00440A6B" w:rsidP="00EE4BCF">
      <w:pPr>
        <w:spacing w:before="120"/>
        <w:rPr>
          <w:rFonts w:ascii="Times New Roman" w:hAnsi="Times New Roman" w:cs="Times New Roman"/>
          <w:sz w:val="22"/>
          <w:szCs w:val="22"/>
        </w:rPr>
      </w:pPr>
      <w:bookmarkStart w:id="3" w:name="bookmark2"/>
      <w:r w:rsidRPr="0075351A">
        <w:rPr>
          <w:rFonts w:ascii="Times New Roman" w:hAnsi="Times New Roman" w:cs="Times New Roman"/>
          <w:sz w:val="26"/>
          <w:szCs w:val="26"/>
        </w:rPr>
        <w:t>The Parliament of Australia enacts:</w:t>
      </w:r>
      <w:bookmarkEnd w:id="3"/>
    </w:p>
    <w:p w14:paraId="4E708C72" w14:textId="77777777" w:rsidR="00F818BB" w:rsidRPr="005B5087" w:rsidRDefault="005B5087" w:rsidP="00EC7C8C">
      <w:pPr>
        <w:spacing w:before="120" w:after="60"/>
        <w:rPr>
          <w:rFonts w:ascii="Times New Roman" w:hAnsi="Times New Roman" w:cs="Times New Roman"/>
          <w:b/>
          <w:sz w:val="22"/>
        </w:rPr>
      </w:pPr>
      <w:bookmarkStart w:id="4" w:name="bookmark3"/>
      <w:r w:rsidRPr="006D1987">
        <w:rPr>
          <w:rFonts w:ascii="Times New Roman" w:hAnsi="Times New Roman" w:cs="Times New Roman"/>
          <w:b/>
          <w:sz w:val="22"/>
        </w:rPr>
        <w:t>1</w:t>
      </w:r>
      <w:r w:rsidR="00CF3741">
        <w:rPr>
          <w:rFonts w:ascii="Times New Roman" w:hAnsi="Times New Roman" w:cs="Times New Roman"/>
          <w:b/>
          <w:sz w:val="22"/>
        </w:rPr>
        <w:t xml:space="preserve"> </w:t>
      </w:r>
      <w:r w:rsidR="00440A6B" w:rsidRPr="005B5087">
        <w:rPr>
          <w:rFonts w:ascii="Times New Roman" w:hAnsi="Times New Roman" w:cs="Times New Roman"/>
          <w:b/>
          <w:sz w:val="22"/>
        </w:rPr>
        <w:t>Short title</w:t>
      </w:r>
      <w:bookmarkEnd w:id="4"/>
    </w:p>
    <w:p w14:paraId="4EC8D285" w14:textId="77777777" w:rsidR="00F818BB" w:rsidRPr="00444F69" w:rsidRDefault="00440A6B" w:rsidP="00EE4BCF">
      <w:pPr>
        <w:pStyle w:val="Bodytext50"/>
        <w:spacing w:before="120" w:line="240" w:lineRule="auto"/>
        <w:ind w:left="1008"/>
        <w:jc w:val="left"/>
        <w:rPr>
          <w:i w:val="0"/>
          <w:sz w:val="22"/>
        </w:rPr>
      </w:pPr>
      <w:r w:rsidRPr="00444F69">
        <w:rPr>
          <w:rStyle w:val="Bodytext511pt0"/>
        </w:rPr>
        <w:t xml:space="preserve">This Act may be cited as the </w:t>
      </w:r>
      <w:r w:rsidRPr="0087110F">
        <w:rPr>
          <w:rStyle w:val="Bodytext511pt"/>
          <w:i/>
          <w:iCs/>
        </w:rPr>
        <w:t>Health and Other</w:t>
      </w:r>
      <w:r w:rsidRPr="00444F69">
        <w:rPr>
          <w:rStyle w:val="Bodytext511pt"/>
          <w:iCs/>
        </w:rPr>
        <w:t xml:space="preserve"> </w:t>
      </w:r>
      <w:r w:rsidRPr="00837AC8">
        <w:rPr>
          <w:rStyle w:val="Bodytext511pt"/>
          <w:i/>
          <w:iCs/>
        </w:rPr>
        <w:t>Services (Compensation) Amendment Act 1996.</w:t>
      </w:r>
    </w:p>
    <w:p w14:paraId="094121BF" w14:textId="77777777" w:rsidR="00F818BB" w:rsidRPr="005B5087" w:rsidRDefault="005B5087" w:rsidP="00EC7C8C">
      <w:pPr>
        <w:spacing w:before="120" w:after="60"/>
        <w:rPr>
          <w:rFonts w:ascii="Times New Roman" w:hAnsi="Times New Roman" w:cs="Times New Roman"/>
          <w:b/>
          <w:sz w:val="22"/>
        </w:rPr>
      </w:pPr>
      <w:bookmarkStart w:id="5" w:name="bookmark4"/>
      <w:r w:rsidRPr="005B5087">
        <w:rPr>
          <w:rFonts w:ascii="Times New Roman" w:hAnsi="Times New Roman" w:cs="Times New Roman"/>
          <w:b/>
          <w:sz w:val="22"/>
        </w:rPr>
        <w:t>2</w:t>
      </w:r>
      <w:r w:rsidR="00CF3741">
        <w:rPr>
          <w:rFonts w:ascii="Times New Roman" w:hAnsi="Times New Roman" w:cs="Times New Roman"/>
          <w:b/>
          <w:sz w:val="22"/>
        </w:rPr>
        <w:t xml:space="preserve"> </w:t>
      </w:r>
      <w:r w:rsidR="00440A6B" w:rsidRPr="005B5087">
        <w:rPr>
          <w:rFonts w:ascii="Times New Roman" w:hAnsi="Times New Roman" w:cs="Times New Roman"/>
          <w:b/>
          <w:sz w:val="22"/>
        </w:rPr>
        <w:t>Commencement</w:t>
      </w:r>
      <w:bookmarkEnd w:id="5"/>
    </w:p>
    <w:p w14:paraId="22B83F4E" w14:textId="77777777" w:rsidR="00F818BB" w:rsidRPr="00444F69" w:rsidRDefault="005B5087" w:rsidP="00EE4BCF">
      <w:pPr>
        <w:pStyle w:val="BodyText1"/>
        <w:spacing w:before="120" w:line="240" w:lineRule="auto"/>
        <w:ind w:left="1125" w:hanging="315"/>
        <w:rPr>
          <w:sz w:val="22"/>
        </w:rPr>
      </w:pPr>
      <w:r>
        <w:rPr>
          <w:rStyle w:val="Bodytext11pt"/>
        </w:rPr>
        <w:t>(1)</w:t>
      </w:r>
      <w:r w:rsidR="00837AC8">
        <w:rPr>
          <w:rStyle w:val="Bodytext11pt"/>
        </w:rPr>
        <w:t xml:space="preserve"> </w:t>
      </w:r>
      <w:r w:rsidR="00440A6B" w:rsidRPr="00444F69">
        <w:rPr>
          <w:rStyle w:val="Bodytext11pt"/>
        </w:rPr>
        <w:t>Subject to subsection (2), this Act commences on the day on which it receives the Royal Assent.</w:t>
      </w:r>
    </w:p>
    <w:p w14:paraId="11615F8B" w14:textId="77777777" w:rsidR="00F818BB" w:rsidRDefault="005B5087" w:rsidP="00EE4BCF">
      <w:pPr>
        <w:pStyle w:val="BodyText1"/>
        <w:spacing w:before="120" w:line="240" w:lineRule="auto"/>
        <w:ind w:left="1125" w:hanging="315"/>
        <w:rPr>
          <w:rStyle w:val="Bodytext11pt0"/>
        </w:rPr>
      </w:pPr>
      <w:r>
        <w:rPr>
          <w:rStyle w:val="Bodytext11pt"/>
        </w:rPr>
        <w:t>(2)</w:t>
      </w:r>
      <w:r w:rsidR="00837AC8">
        <w:rPr>
          <w:rStyle w:val="Bodytext11pt"/>
        </w:rPr>
        <w:t xml:space="preserve"> </w:t>
      </w:r>
      <w:r w:rsidR="00440A6B" w:rsidRPr="00444F69">
        <w:rPr>
          <w:rStyle w:val="Bodytext11pt"/>
        </w:rPr>
        <w:t xml:space="preserve">Item 4 of Schedule 1 is taken to have commenced immediately after the commencement of the </w:t>
      </w:r>
      <w:r w:rsidR="00440A6B" w:rsidRPr="00884965">
        <w:rPr>
          <w:rStyle w:val="Bodytext11pt0"/>
        </w:rPr>
        <w:t>Health and Other Services (Compensation) Act 1995.</w:t>
      </w:r>
    </w:p>
    <w:p w14:paraId="5F9B008E" w14:textId="77777777" w:rsidR="0004071F" w:rsidRDefault="0004071F" w:rsidP="00EE4BCF">
      <w:pPr>
        <w:rPr>
          <w:sz w:val="22"/>
        </w:rPr>
        <w:sectPr w:rsidR="0004071F" w:rsidSect="0004071F">
          <w:pgSz w:w="12240" w:h="15840" w:code="1"/>
          <w:pgMar w:top="1440" w:right="1440" w:bottom="1440" w:left="1440" w:header="0" w:footer="555" w:gutter="0"/>
          <w:cols w:space="720"/>
          <w:noEndnote/>
          <w:docGrid w:linePitch="360"/>
        </w:sectPr>
      </w:pPr>
    </w:p>
    <w:p w14:paraId="5871361B" w14:textId="77777777" w:rsidR="00F818BB" w:rsidRPr="003332F3" w:rsidRDefault="003332F3" w:rsidP="00EE4BCF">
      <w:pPr>
        <w:spacing w:before="120" w:after="60"/>
        <w:rPr>
          <w:rFonts w:ascii="Times New Roman" w:hAnsi="Times New Roman" w:cs="Times New Roman"/>
          <w:b/>
          <w:sz w:val="22"/>
        </w:rPr>
      </w:pPr>
      <w:bookmarkStart w:id="6" w:name="bookmark5"/>
      <w:r w:rsidRPr="003332F3">
        <w:rPr>
          <w:rFonts w:ascii="Times New Roman" w:hAnsi="Times New Roman" w:cs="Times New Roman"/>
          <w:b/>
          <w:sz w:val="22"/>
        </w:rPr>
        <w:lastRenderedPageBreak/>
        <w:t>3</w:t>
      </w:r>
      <w:r w:rsidR="00CF3741">
        <w:rPr>
          <w:rFonts w:ascii="Times New Roman" w:hAnsi="Times New Roman" w:cs="Times New Roman"/>
          <w:b/>
          <w:sz w:val="22"/>
        </w:rPr>
        <w:t xml:space="preserve"> </w:t>
      </w:r>
      <w:r w:rsidR="00440A6B" w:rsidRPr="003332F3">
        <w:rPr>
          <w:rFonts w:ascii="Times New Roman" w:hAnsi="Times New Roman" w:cs="Times New Roman"/>
          <w:b/>
          <w:sz w:val="22"/>
        </w:rPr>
        <w:t>Schedule(s)</w:t>
      </w:r>
      <w:bookmarkEnd w:id="6"/>
    </w:p>
    <w:p w14:paraId="0A358094" w14:textId="77777777" w:rsidR="003332F3" w:rsidRDefault="00440A6B" w:rsidP="00EE4BCF">
      <w:pPr>
        <w:pStyle w:val="BodyText1"/>
        <w:spacing w:before="120" w:line="240" w:lineRule="auto"/>
        <w:ind w:left="1017" w:firstLine="0"/>
        <w:rPr>
          <w:rStyle w:val="Bodytext11pt"/>
        </w:rPr>
      </w:pPr>
      <w:r w:rsidRPr="00444F69">
        <w:rPr>
          <w:rStyle w:val="Bodytext11pt"/>
        </w:rPr>
        <w:t>Each Act that is specified in a Schedule to this Act is amended or repealed as set out in the applicable items in the Schedule concerned, and any other item in a Schedule to this Act has effect according to its terms</w:t>
      </w:r>
    </w:p>
    <w:p w14:paraId="41926E47" w14:textId="77777777" w:rsidR="0004071F" w:rsidRDefault="0004071F" w:rsidP="00EE4BCF">
      <w:pPr>
        <w:rPr>
          <w:rStyle w:val="Bodytext11pt"/>
          <w:rFonts w:eastAsia="Courier New"/>
        </w:rPr>
        <w:sectPr w:rsidR="0004071F" w:rsidSect="0004071F">
          <w:headerReference w:type="even" r:id="rId12"/>
          <w:footerReference w:type="even" r:id="rId13"/>
          <w:pgSz w:w="12240" w:h="15840" w:code="1"/>
          <w:pgMar w:top="1440" w:right="1440" w:bottom="1440" w:left="1440" w:header="0" w:footer="465" w:gutter="0"/>
          <w:cols w:space="720"/>
          <w:noEndnote/>
          <w:docGrid w:linePitch="360"/>
        </w:sectPr>
      </w:pPr>
    </w:p>
    <w:p w14:paraId="299D82B2" w14:textId="04D21FFF" w:rsidR="00EC7C8C" w:rsidRDefault="00EC7C8C" w:rsidP="0075351A">
      <w:pPr>
        <w:spacing w:before="120"/>
        <w:rPr>
          <w:rFonts w:ascii="Times New Roman" w:hAnsi="Times New Roman" w:cs="Times New Roman"/>
          <w:b/>
          <w:sz w:val="22"/>
          <w:szCs w:val="22"/>
        </w:rPr>
      </w:pPr>
      <w:bookmarkStart w:id="7" w:name="bookmark7"/>
      <w:r w:rsidRPr="0075351A">
        <w:rPr>
          <w:rFonts w:ascii="Times New Roman" w:hAnsi="Times New Roman" w:cs="Times New Roman"/>
          <w:b/>
          <w:sz w:val="28"/>
          <w:szCs w:val="22"/>
        </w:rPr>
        <w:lastRenderedPageBreak/>
        <w:t>Schedule 1-Amendment of the Health and Other Services (Compensation) Act 1995</w:t>
      </w:r>
    </w:p>
    <w:p w14:paraId="1AABA588" w14:textId="346A21D4" w:rsidR="00F818BB" w:rsidRPr="008F0393" w:rsidRDefault="005F12DC" w:rsidP="00EE4BCF">
      <w:pPr>
        <w:spacing w:before="120"/>
        <w:rPr>
          <w:rFonts w:ascii="Times New Roman" w:hAnsi="Times New Roman" w:cs="Times New Roman"/>
          <w:b/>
          <w:sz w:val="22"/>
          <w:szCs w:val="22"/>
        </w:rPr>
      </w:pPr>
      <w:r w:rsidRPr="0075351A">
        <w:rPr>
          <w:rFonts w:ascii="Times New Roman" w:hAnsi="Times New Roman" w:cs="Times New Roman"/>
          <w:b/>
          <w:szCs w:val="22"/>
        </w:rPr>
        <w:t>1</w:t>
      </w:r>
      <w:r w:rsidR="00CF3741" w:rsidRPr="0075351A">
        <w:rPr>
          <w:rFonts w:ascii="Times New Roman" w:hAnsi="Times New Roman" w:cs="Times New Roman"/>
          <w:b/>
          <w:szCs w:val="22"/>
        </w:rPr>
        <w:t xml:space="preserve"> </w:t>
      </w:r>
      <w:r w:rsidR="00440A6B" w:rsidRPr="0075351A">
        <w:rPr>
          <w:rFonts w:ascii="Times New Roman" w:hAnsi="Times New Roman" w:cs="Times New Roman"/>
          <w:b/>
          <w:szCs w:val="22"/>
        </w:rPr>
        <w:t>Subsection 3(1)</w:t>
      </w:r>
      <w:bookmarkEnd w:id="7"/>
    </w:p>
    <w:p w14:paraId="45FA1518" w14:textId="77777777" w:rsidR="00F818BB" w:rsidRPr="00444F69" w:rsidRDefault="00440A6B" w:rsidP="000E2066">
      <w:pPr>
        <w:pStyle w:val="BodyText1"/>
        <w:spacing w:before="120" w:line="240" w:lineRule="auto"/>
        <w:ind w:left="558" w:hanging="18"/>
        <w:rPr>
          <w:sz w:val="22"/>
        </w:rPr>
      </w:pPr>
      <w:r w:rsidRPr="00444F69">
        <w:rPr>
          <w:rStyle w:val="Bodytext11pt"/>
        </w:rPr>
        <w:t>Insert:</w:t>
      </w:r>
    </w:p>
    <w:p w14:paraId="26080686" w14:textId="77777777" w:rsidR="00F818BB" w:rsidRPr="00444F69" w:rsidRDefault="00440A6B" w:rsidP="000F0070">
      <w:pPr>
        <w:pStyle w:val="BodyText1"/>
        <w:spacing w:before="120" w:line="240" w:lineRule="auto"/>
        <w:ind w:left="1044" w:hanging="54"/>
        <w:rPr>
          <w:sz w:val="22"/>
        </w:rPr>
      </w:pPr>
      <w:r w:rsidRPr="00A05343">
        <w:rPr>
          <w:rStyle w:val="Bodytext11pt0"/>
          <w:b/>
        </w:rPr>
        <w:t>advance payment</w:t>
      </w:r>
      <w:r w:rsidRPr="00A05343">
        <w:rPr>
          <w:rStyle w:val="Bodytext11pt"/>
        </w:rPr>
        <w:t xml:space="preserve"> means a payment made under section 33B.</w:t>
      </w:r>
    </w:p>
    <w:p w14:paraId="1CEEFD20" w14:textId="233D8008" w:rsidR="00F818BB" w:rsidRPr="008F0393" w:rsidRDefault="00EC0632" w:rsidP="00EE4BCF">
      <w:pPr>
        <w:spacing w:before="120"/>
        <w:rPr>
          <w:rFonts w:ascii="Times New Roman" w:hAnsi="Times New Roman" w:cs="Times New Roman"/>
          <w:b/>
          <w:sz w:val="22"/>
        </w:rPr>
      </w:pPr>
      <w:bookmarkStart w:id="8" w:name="bookmark8"/>
      <w:r w:rsidRPr="0075351A">
        <w:rPr>
          <w:rFonts w:ascii="Times New Roman" w:hAnsi="Times New Roman" w:cs="Times New Roman"/>
          <w:b/>
        </w:rPr>
        <w:t>2</w:t>
      </w:r>
      <w:r w:rsidR="00CF3741" w:rsidRPr="0075351A">
        <w:rPr>
          <w:rFonts w:ascii="Times New Roman" w:hAnsi="Times New Roman" w:cs="Times New Roman"/>
          <w:b/>
        </w:rPr>
        <w:t xml:space="preserve"> </w:t>
      </w:r>
      <w:r w:rsidR="00440A6B" w:rsidRPr="0075351A">
        <w:rPr>
          <w:rFonts w:ascii="Times New Roman" w:hAnsi="Times New Roman" w:cs="Times New Roman"/>
          <w:b/>
        </w:rPr>
        <w:t>Subsection 12(3)</w:t>
      </w:r>
      <w:bookmarkEnd w:id="8"/>
    </w:p>
    <w:p w14:paraId="1771822E" w14:textId="77777777" w:rsidR="00F818BB" w:rsidRPr="00A05343" w:rsidRDefault="00440A6B" w:rsidP="00DD1158">
      <w:pPr>
        <w:pStyle w:val="BodyText1"/>
        <w:spacing w:before="120" w:line="240" w:lineRule="auto"/>
        <w:ind w:left="540" w:firstLine="0"/>
        <w:rPr>
          <w:sz w:val="22"/>
        </w:rPr>
      </w:pPr>
      <w:r w:rsidRPr="00A05343">
        <w:rPr>
          <w:rStyle w:val="Bodytext11pt"/>
        </w:rPr>
        <w:t>Repeal the subsection, substitute:</w:t>
      </w:r>
    </w:p>
    <w:p w14:paraId="789BD21C" w14:textId="77777777" w:rsidR="00F818BB" w:rsidRPr="00A05343" w:rsidRDefault="00440A6B" w:rsidP="000F0070">
      <w:pPr>
        <w:pStyle w:val="BodyText1"/>
        <w:spacing w:before="120" w:line="240" w:lineRule="auto"/>
        <w:ind w:left="810" w:hanging="270"/>
        <w:rPr>
          <w:sz w:val="22"/>
        </w:rPr>
      </w:pPr>
      <w:r w:rsidRPr="00A05343">
        <w:rPr>
          <w:rStyle w:val="Bodytext11pt"/>
        </w:rPr>
        <w:t>(3) If, before the commencement of this Act:</w:t>
      </w:r>
    </w:p>
    <w:p w14:paraId="0CD86D3E" w14:textId="77777777" w:rsidR="00F818BB" w:rsidRPr="0075351A" w:rsidRDefault="005F12DC" w:rsidP="000F0070">
      <w:pPr>
        <w:spacing w:before="120"/>
        <w:ind w:left="1350" w:hanging="360"/>
        <w:rPr>
          <w:rFonts w:ascii="Times New Roman" w:hAnsi="Times New Roman" w:cs="Times New Roman"/>
          <w:sz w:val="22"/>
        </w:rPr>
      </w:pPr>
      <w:r w:rsidRPr="0075351A">
        <w:rPr>
          <w:rFonts w:ascii="Times New Roman" w:hAnsi="Times New Roman" w:cs="Times New Roman"/>
          <w:sz w:val="22"/>
        </w:rPr>
        <w:t xml:space="preserve">(a) </w:t>
      </w:r>
      <w:r w:rsidR="00440A6B" w:rsidRPr="0075351A">
        <w:rPr>
          <w:rFonts w:ascii="Times New Roman" w:hAnsi="Times New Roman" w:cs="Times New Roman"/>
          <w:sz w:val="22"/>
        </w:rPr>
        <w:t>a person has made a claim against another person, for compensation in respect of an injury, by claiming compensation from:</w:t>
      </w:r>
    </w:p>
    <w:p w14:paraId="65E39ABE" w14:textId="77777777" w:rsidR="00F818BB" w:rsidRPr="0075351A" w:rsidRDefault="005F12DC" w:rsidP="000F0070">
      <w:pPr>
        <w:spacing w:before="120"/>
        <w:ind w:left="1800" w:hanging="360"/>
        <w:rPr>
          <w:rFonts w:ascii="Times New Roman" w:hAnsi="Times New Roman" w:cs="Times New Roman"/>
          <w:sz w:val="22"/>
        </w:rPr>
      </w:pPr>
      <w:r w:rsidRPr="0075351A">
        <w:rPr>
          <w:rFonts w:ascii="Times New Roman" w:hAnsi="Times New Roman" w:cs="Times New Roman"/>
          <w:sz w:val="22"/>
        </w:rPr>
        <w:t xml:space="preserve">(i) </w:t>
      </w:r>
      <w:r w:rsidR="00440A6B" w:rsidRPr="0075351A">
        <w:rPr>
          <w:rFonts w:ascii="Times New Roman" w:hAnsi="Times New Roman" w:cs="Times New Roman"/>
          <w:sz w:val="22"/>
        </w:rPr>
        <w:t>an insurer in relation to the claim; or</w:t>
      </w:r>
    </w:p>
    <w:p w14:paraId="67B46634" w14:textId="77777777" w:rsidR="00F818BB" w:rsidRPr="0075351A" w:rsidRDefault="005F12DC" w:rsidP="000F0070">
      <w:pPr>
        <w:spacing w:before="120"/>
        <w:ind w:left="1829" w:hanging="475"/>
        <w:rPr>
          <w:rFonts w:ascii="Times New Roman" w:hAnsi="Times New Roman" w:cs="Times New Roman"/>
          <w:sz w:val="22"/>
        </w:rPr>
      </w:pPr>
      <w:r w:rsidRPr="0075351A">
        <w:rPr>
          <w:rFonts w:ascii="Times New Roman" w:hAnsi="Times New Roman" w:cs="Times New Roman"/>
          <w:sz w:val="22"/>
        </w:rPr>
        <w:t xml:space="preserve">(ii) </w:t>
      </w:r>
      <w:r w:rsidR="00440A6B" w:rsidRPr="0075351A">
        <w:rPr>
          <w:rFonts w:ascii="Times New Roman" w:hAnsi="Times New Roman" w:cs="Times New Roman"/>
          <w:sz w:val="22"/>
        </w:rPr>
        <w:t>a representative organisation in relation to the claim; and</w:t>
      </w:r>
    </w:p>
    <w:p w14:paraId="0EC1CA69" w14:textId="1836BED7" w:rsidR="00F818BB" w:rsidRPr="00A05343" w:rsidRDefault="005F12DC" w:rsidP="000F0070">
      <w:pPr>
        <w:spacing w:before="120"/>
        <w:ind w:left="1350" w:hanging="360"/>
        <w:rPr>
          <w:rFonts w:ascii="Times New Roman" w:hAnsi="Times New Roman" w:cs="Times New Roman"/>
          <w:sz w:val="22"/>
          <w:szCs w:val="22"/>
        </w:rPr>
      </w:pPr>
      <w:r w:rsidRPr="0075351A">
        <w:rPr>
          <w:rFonts w:ascii="Times New Roman" w:hAnsi="Times New Roman" w:cs="Times New Roman"/>
          <w:sz w:val="22"/>
        </w:rPr>
        <w:t xml:space="preserve">(b) </w:t>
      </w:r>
      <w:r w:rsidR="00440A6B" w:rsidRPr="0075351A">
        <w:rPr>
          <w:rFonts w:ascii="Times New Roman" w:hAnsi="Times New Roman" w:cs="Times New Roman"/>
          <w:sz w:val="22"/>
        </w:rPr>
        <w:t xml:space="preserve">a judgment, settlement or reimbursement arrangement has not been made in respect </w:t>
      </w:r>
      <w:r w:rsidR="00440A6B" w:rsidRPr="00A05343">
        <w:rPr>
          <w:rFonts w:ascii="Times New Roman" w:hAnsi="Times New Roman" w:cs="Times New Roman"/>
          <w:sz w:val="22"/>
          <w:szCs w:val="22"/>
        </w:rPr>
        <w:t>of</w:t>
      </w:r>
      <w:r w:rsidR="00440A6B" w:rsidRPr="00A05343">
        <w:rPr>
          <w:rStyle w:val="Bodytext11pt"/>
          <w:rFonts w:eastAsia="Courier New"/>
        </w:rPr>
        <w:t xml:space="preserve"> the claim;</w:t>
      </w:r>
    </w:p>
    <w:p w14:paraId="3B7ED8BD" w14:textId="77777777" w:rsidR="00F818BB" w:rsidRPr="00444F69" w:rsidRDefault="00440A6B" w:rsidP="000F0070">
      <w:pPr>
        <w:pStyle w:val="BodyText1"/>
        <w:spacing w:before="120" w:line="240" w:lineRule="auto"/>
        <w:ind w:left="900" w:firstLine="0"/>
        <w:rPr>
          <w:sz w:val="22"/>
        </w:rPr>
      </w:pPr>
      <w:r w:rsidRPr="00A05343">
        <w:rPr>
          <w:rStyle w:val="Bodytext11pt"/>
        </w:rPr>
        <w:t>the insurer or representative organisation must, within the notification period, give to the Commission notice of the claim.</w:t>
      </w:r>
    </w:p>
    <w:p w14:paraId="0C4DA627" w14:textId="79EAFD8A" w:rsidR="00F818BB" w:rsidRPr="008F0393" w:rsidRDefault="008F0393" w:rsidP="00EE4BCF">
      <w:pPr>
        <w:spacing w:before="120"/>
        <w:rPr>
          <w:rFonts w:ascii="Times New Roman" w:hAnsi="Times New Roman" w:cs="Times New Roman"/>
          <w:b/>
          <w:sz w:val="22"/>
        </w:rPr>
      </w:pPr>
      <w:bookmarkStart w:id="9" w:name="bookmark9"/>
      <w:r w:rsidRPr="0075351A">
        <w:rPr>
          <w:rFonts w:ascii="Times New Roman" w:hAnsi="Times New Roman" w:cs="Times New Roman"/>
          <w:b/>
        </w:rPr>
        <w:t>3</w:t>
      </w:r>
      <w:r w:rsidR="00CF3741" w:rsidRPr="0075351A">
        <w:rPr>
          <w:rFonts w:ascii="Times New Roman" w:hAnsi="Times New Roman" w:cs="Times New Roman"/>
          <w:b/>
        </w:rPr>
        <w:t xml:space="preserve"> </w:t>
      </w:r>
      <w:r w:rsidR="00440A6B" w:rsidRPr="0075351A">
        <w:rPr>
          <w:rFonts w:ascii="Times New Roman" w:hAnsi="Times New Roman" w:cs="Times New Roman"/>
          <w:b/>
        </w:rPr>
        <w:t>After paragraph 12(4)(a)</w:t>
      </w:r>
      <w:bookmarkEnd w:id="9"/>
    </w:p>
    <w:p w14:paraId="19EBD154" w14:textId="77777777" w:rsidR="00F818BB" w:rsidRPr="00A05343" w:rsidRDefault="00440A6B" w:rsidP="00DD1158">
      <w:pPr>
        <w:pStyle w:val="BodyText1"/>
        <w:spacing w:before="120" w:line="240" w:lineRule="auto"/>
        <w:ind w:left="540" w:firstLine="0"/>
        <w:rPr>
          <w:sz w:val="22"/>
        </w:rPr>
      </w:pPr>
      <w:r w:rsidRPr="00A05343">
        <w:rPr>
          <w:rStyle w:val="Bodytext11pt"/>
        </w:rPr>
        <w:t>Insert:</w:t>
      </w:r>
    </w:p>
    <w:p w14:paraId="06CA4EF9" w14:textId="77777777" w:rsidR="00F818BB" w:rsidRPr="00444F69" w:rsidRDefault="00440A6B" w:rsidP="000F0070">
      <w:pPr>
        <w:pStyle w:val="BodyText1"/>
        <w:spacing w:before="120" w:line="240" w:lineRule="auto"/>
        <w:ind w:left="1485" w:hanging="405"/>
        <w:rPr>
          <w:sz w:val="22"/>
        </w:rPr>
      </w:pPr>
      <w:r w:rsidRPr="00A05343">
        <w:rPr>
          <w:rStyle w:val="Bodytext11pt"/>
        </w:rPr>
        <w:t>(aa) a judgment, settlement or reimbursement arrangement has not been made in respect of the claim before that commencement; and</w:t>
      </w:r>
    </w:p>
    <w:p w14:paraId="1A445690" w14:textId="0D3FF37B" w:rsidR="00F818BB" w:rsidRPr="005B0B91" w:rsidRDefault="005B0B91" w:rsidP="00EE4BCF">
      <w:pPr>
        <w:spacing w:before="120"/>
        <w:rPr>
          <w:rFonts w:ascii="Times New Roman" w:hAnsi="Times New Roman" w:cs="Times New Roman"/>
          <w:b/>
          <w:sz w:val="22"/>
        </w:rPr>
      </w:pPr>
      <w:bookmarkStart w:id="10" w:name="bookmark10"/>
      <w:r w:rsidRPr="0075351A">
        <w:rPr>
          <w:rFonts w:ascii="Times New Roman" w:hAnsi="Times New Roman" w:cs="Times New Roman"/>
          <w:b/>
        </w:rPr>
        <w:t>4</w:t>
      </w:r>
      <w:r w:rsidR="00CF3741" w:rsidRPr="0075351A">
        <w:rPr>
          <w:rFonts w:ascii="Times New Roman" w:hAnsi="Times New Roman" w:cs="Times New Roman"/>
          <w:b/>
        </w:rPr>
        <w:t xml:space="preserve"> </w:t>
      </w:r>
      <w:r w:rsidR="00440A6B" w:rsidRPr="0075351A">
        <w:rPr>
          <w:rFonts w:ascii="Times New Roman" w:hAnsi="Times New Roman" w:cs="Times New Roman"/>
          <w:b/>
        </w:rPr>
        <w:t>Subsection 13(2)</w:t>
      </w:r>
      <w:bookmarkEnd w:id="10"/>
    </w:p>
    <w:p w14:paraId="4AB99D51" w14:textId="77777777" w:rsidR="00F818BB" w:rsidRPr="00444F69" w:rsidRDefault="00440A6B" w:rsidP="000F0070">
      <w:pPr>
        <w:pStyle w:val="BodyText1"/>
        <w:spacing w:before="120" w:line="240" w:lineRule="auto"/>
        <w:ind w:left="540" w:firstLine="0"/>
        <w:rPr>
          <w:sz w:val="22"/>
        </w:rPr>
      </w:pPr>
      <w:r w:rsidRPr="00A05343">
        <w:rPr>
          <w:rStyle w:val="Bodytext11pt"/>
        </w:rPr>
        <w:t>Omit “or (if the arrangement was made before the commencement of this Act) within 28 days after that commencement,".</w:t>
      </w:r>
    </w:p>
    <w:p w14:paraId="4DD4FF72" w14:textId="0732E28C" w:rsidR="005B0B91" w:rsidRPr="005B0B91" w:rsidRDefault="005B0B91" w:rsidP="00EE4BCF">
      <w:pPr>
        <w:spacing w:before="120"/>
        <w:rPr>
          <w:rFonts w:ascii="Times New Roman" w:hAnsi="Times New Roman" w:cs="Times New Roman"/>
          <w:b/>
          <w:sz w:val="22"/>
        </w:rPr>
      </w:pPr>
      <w:r w:rsidRPr="0075351A">
        <w:rPr>
          <w:rFonts w:ascii="Times New Roman" w:hAnsi="Times New Roman" w:cs="Times New Roman"/>
          <w:b/>
        </w:rPr>
        <w:t>5</w:t>
      </w:r>
      <w:r w:rsidR="00CF3741" w:rsidRPr="0075351A">
        <w:rPr>
          <w:rFonts w:ascii="Times New Roman" w:hAnsi="Times New Roman" w:cs="Times New Roman"/>
          <w:b/>
        </w:rPr>
        <w:t xml:space="preserve"> </w:t>
      </w:r>
      <w:r w:rsidRPr="0075351A">
        <w:rPr>
          <w:rFonts w:ascii="Times New Roman" w:hAnsi="Times New Roman" w:cs="Times New Roman"/>
          <w:b/>
        </w:rPr>
        <w:t>Subsection 13(2)</w:t>
      </w:r>
    </w:p>
    <w:p w14:paraId="7F589C24" w14:textId="77777777" w:rsidR="00F818BB" w:rsidRPr="00444F69" w:rsidRDefault="00440A6B" w:rsidP="000F0070">
      <w:pPr>
        <w:pStyle w:val="BodyText1"/>
        <w:spacing w:before="120" w:line="240" w:lineRule="auto"/>
        <w:ind w:left="630" w:hanging="90"/>
        <w:rPr>
          <w:sz w:val="22"/>
        </w:rPr>
      </w:pPr>
      <w:r w:rsidRPr="00A05343">
        <w:rPr>
          <w:rStyle w:val="Bodytext11pt"/>
        </w:rPr>
        <w:t>Omit “subsection (4)”, substitute “subsections (4) and (4A)”.</w:t>
      </w:r>
    </w:p>
    <w:p w14:paraId="056B0838" w14:textId="1E8E4335" w:rsidR="00F818BB" w:rsidRPr="005B0B91" w:rsidRDefault="005B0B91" w:rsidP="00EE4BCF">
      <w:pPr>
        <w:spacing w:before="120"/>
        <w:rPr>
          <w:rFonts w:ascii="Times New Roman" w:hAnsi="Times New Roman" w:cs="Times New Roman"/>
          <w:b/>
          <w:sz w:val="22"/>
        </w:rPr>
      </w:pPr>
      <w:bookmarkStart w:id="11" w:name="bookmark12"/>
      <w:r w:rsidRPr="0075351A">
        <w:rPr>
          <w:rFonts w:ascii="Times New Roman" w:hAnsi="Times New Roman" w:cs="Times New Roman"/>
          <w:b/>
        </w:rPr>
        <w:t>6</w:t>
      </w:r>
      <w:r w:rsidR="00CF3741" w:rsidRPr="0075351A">
        <w:rPr>
          <w:rFonts w:ascii="Times New Roman" w:hAnsi="Times New Roman" w:cs="Times New Roman"/>
          <w:b/>
        </w:rPr>
        <w:t xml:space="preserve"> </w:t>
      </w:r>
      <w:r w:rsidR="00440A6B" w:rsidRPr="0075351A">
        <w:rPr>
          <w:rFonts w:ascii="Times New Roman" w:hAnsi="Times New Roman" w:cs="Times New Roman"/>
          <w:b/>
        </w:rPr>
        <w:t>At the end of subsection 18(4)</w:t>
      </w:r>
      <w:bookmarkEnd w:id="11"/>
    </w:p>
    <w:p w14:paraId="7626F8A0" w14:textId="77777777" w:rsidR="00F818BB" w:rsidRPr="00A05343" w:rsidRDefault="00440A6B" w:rsidP="000F0070">
      <w:pPr>
        <w:pStyle w:val="BodyText1"/>
        <w:spacing w:before="120" w:line="240" w:lineRule="auto"/>
        <w:ind w:left="720" w:hanging="180"/>
        <w:rPr>
          <w:sz w:val="22"/>
        </w:rPr>
      </w:pPr>
      <w:r w:rsidRPr="00A05343">
        <w:rPr>
          <w:rStyle w:val="Bodytext11pt"/>
        </w:rPr>
        <w:t>Add:</w:t>
      </w:r>
    </w:p>
    <w:p w14:paraId="501CF960" w14:textId="77777777" w:rsidR="00FF685E" w:rsidRDefault="00440A6B" w:rsidP="000F0070">
      <w:pPr>
        <w:pStyle w:val="BodyText1"/>
        <w:spacing w:before="120" w:line="240" w:lineRule="auto"/>
        <w:ind w:left="1440" w:hanging="810"/>
        <w:rPr>
          <w:rStyle w:val="Bodytext11pt"/>
        </w:rPr>
      </w:pPr>
      <w:r w:rsidRPr="00A05343">
        <w:rPr>
          <w:rStyle w:val="Bodytext11pt"/>
        </w:rPr>
        <w:t>; and (c) an advance payment has not been made in respect of the compensation payable under the judgment or settlement.</w:t>
      </w:r>
    </w:p>
    <w:p w14:paraId="0297BD68" w14:textId="77777777" w:rsidR="0004071F" w:rsidRDefault="0004071F" w:rsidP="000F0070">
      <w:pPr>
        <w:spacing w:before="120" w:after="60"/>
        <w:rPr>
          <w:rStyle w:val="Bodytext11pt"/>
          <w:rFonts w:eastAsia="Courier New"/>
        </w:rPr>
        <w:sectPr w:rsidR="0004071F" w:rsidSect="0004071F">
          <w:headerReference w:type="default" r:id="rId14"/>
          <w:pgSz w:w="12240" w:h="15840" w:code="1"/>
          <w:pgMar w:top="1440" w:right="1440" w:bottom="1440" w:left="1440" w:header="540" w:footer="465" w:gutter="0"/>
          <w:cols w:space="720"/>
          <w:noEndnote/>
          <w:docGrid w:linePitch="360"/>
        </w:sectPr>
      </w:pPr>
    </w:p>
    <w:p w14:paraId="1249F6FB" w14:textId="46CAD65B" w:rsidR="00F818BB" w:rsidRPr="00A05343" w:rsidRDefault="001C755E" w:rsidP="00EC7C8C">
      <w:pPr>
        <w:spacing w:before="120"/>
        <w:rPr>
          <w:rFonts w:ascii="Times New Roman" w:hAnsi="Times New Roman" w:cs="Times New Roman"/>
          <w:b/>
          <w:sz w:val="22"/>
        </w:rPr>
      </w:pPr>
      <w:bookmarkStart w:id="12" w:name="bookmark13"/>
      <w:r w:rsidRPr="0075351A">
        <w:rPr>
          <w:rFonts w:ascii="Times New Roman" w:hAnsi="Times New Roman" w:cs="Times New Roman"/>
          <w:b/>
        </w:rPr>
        <w:lastRenderedPageBreak/>
        <w:t>7</w:t>
      </w:r>
      <w:r w:rsidR="00CF3741" w:rsidRPr="0075351A">
        <w:rPr>
          <w:rFonts w:ascii="Times New Roman" w:hAnsi="Times New Roman" w:cs="Times New Roman"/>
          <w:b/>
        </w:rPr>
        <w:t xml:space="preserve"> </w:t>
      </w:r>
      <w:r w:rsidR="00440A6B" w:rsidRPr="0075351A">
        <w:rPr>
          <w:rFonts w:ascii="Times New Roman" w:hAnsi="Times New Roman" w:cs="Times New Roman"/>
          <w:b/>
        </w:rPr>
        <w:t>After subsection 18(4)</w:t>
      </w:r>
      <w:bookmarkEnd w:id="12"/>
    </w:p>
    <w:p w14:paraId="3A94B781" w14:textId="77777777" w:rsidR="00F818BB" w:rsidRPr="00A05343" w:rsidRDefault="00440A6B" w:rsidP="000F0070">
      <w:pPr>
        <w:pStyle w:val="BodyText1"/>
        <w:spacing w:before="120" w:line="240" w:lineRule="auto"/>
        <w:ind w:left="720" w:hanging="180"/>
        <w:rPr>
          <w:sz w:val="22"/>
        </w:rPr>
      </w:pPr>
      <w:r w:rsidRPr="00A05343">
        <w:rPr>
          <w:rStyle w:val="Bodytext11pt"/>
        </w:rPr>
        <w:t>Insert:</w:t>
      </w:r>
    </w:p>
    <w:p w14:paraId="7650A2CE" w14:textId="77777777" w:rsidR="00F818BB" w:rsidRPr="00A05343" w:rsidRDefault="00440A6B" w:rsidP="000F0070">
      <w:pPr>
        <w:pStyle w:val="BodyText1"/>
        <w:spacing w:before="120" w:line="240" w:lineRule="auto"/>
        <w:ind w:left="630" w:hanging="180"/>
        <w:rPr>
          <w:sz w:val="22"/>
        </w:rPr>
      </w:pPr>
      <w:r w:rsidRPr="00A05343">
        <w:rPr>
          <w:rStyle w:val="Bodytext11pt"/>
        </w:rPr>
        <w:t>(4A) If an advance payment has been made under section 33B, the period cannot be extended:</w:t>
      </w:r>
    </w:p>
    <w:p w14:paraId="0E82BBF7" w14:textId="77777777" w:rsidR="00F818BB" w:rsidRPr="00A05343" w:rsidRDefault="001C755E" w:rsidP="000F0070">
      <w:pPr>
        <w:spacing w:before="120"/>
        <w:ind w:left="1242" w:hanging="333"/>
      </w:pPr>
      <w:r w:rsidRPr="00A05343">
        <w:rPr>
          <w:rStyle w:val="Bodytext11pt"/>
          <w:rFonts w:eastAsia="Courier New"/>
        </w:rPr>
        <w:t xml:space="preserve">(a) </w:t>
      </w:r>
      <w:r w:rsidR="00440A6B" w:rsidRPr="00A05343">
        <w:rPr>
          <w:rStyle w:val="Bodytext11pt"/>
          <w:rFonts w:eastAsia="Courier New"/>
        </w:rPr>
        <w:t>if only one notice under section 17 has been given to the claimant in relation to the claim for compensation in question—beyond the period of 12 months after the claimant received that notice; or</w:t>
      </w:r>
    </w:p>
    <w:p w14:paraId="4871A169" w14:textId="77777777" w:rsidR="00F818BB" w:rsidRPr="00444F69" w:rsidRDefault="001C755E" w:rsidP="000F0070">
      <w:pPr>
        <w:spacing w:before="120"/>
        <w:ind w:left="1242" w:hanging="333"/>
      </w:pPr>
      <w:r w:rsidRPr="00A05343">
        <w:rPr>
          <w:rStyle w:val="Bodytext11pt"/>
          <w:rFonts w:eastAsia="Courier New"/>
        </w:rPr>
        <w:t xml:space="preserve">(b) </w:t>
      </w:r>
      <w:r w:rsidR="00440A6B" w:rsidRPr="00A05343">
        <w:rPr>
          <w:rStyle w:val="Bodytext11pt"/>
          <w:rFonts w:eastAsia="Courier New"/>
        </w:rPr>
        <w:t>in any other case—beyond the period of 12 months after the claimant received the last notice given to the claimant in relation to the claim for compensation.</w:t>
      </w:r>
    </w:p>
    <w:p w14:paraId="4A4A1934" w14:textId="4125B6A9" w:rsidR="00F818BB" w:rsidRPr="00A05343" w:rsidRDefault="006D2869" w:rsidP="00EC7C8C">
      <w:pPr>
        <w:spacing w:before="120"/>
        <w:rPr>
          <w:rFonts w:ascii="Times New Roman" w:hAnsi="Times New Roman" w:cs="Times New Roman"/>
          <w:b/>
          <w:sz w:val="22"/>
        </w:rPr>
      </w:pPr>
      <w:bookmarkStart w:id="13" w:name="bookmark14"/>
      <w:r w:rsidRPr="0075351A">
        <w:rPr>
          <w:rFonts w:ascii="Times New Roman" w:hAnsi="Times New Roman" w:cs="Times New Roman"/>
          <w:b/>
        </w:rPr>
        <w:t>8</w:t>
      </w:r>
      <w:r w:rsidR="00CF3741" w:rsidRPr="0075351A">
        <w:rPr>
          <w:rFonts w:ascii="Times New Roman" w:hAnsi="Times New Roman" w:cs="Times New Roman"/>
          <w:b/>
        </w:rPr>
        <w:t xml:space="preserve"> </w:t>
      </w:r>
      <w:r w:rsidR="00440A6B" w:rsidRPr="0075351A">
        <w:rPr>
          <w:rFonts w:ascii="Times New Roman" w:hAnsi="Times New Roman" w:cs="Times New Roman"/>
          <w:b/>
        </w:rPr>
        <w:t>After paragraph 23(3)(f)</w:t>
      </w:r>
      <w:bookmarkEnd w:id="13"/>
    </w:p>
    <w:p w14:paraId="17B5B47D" w14:textId="77777777" w:rsidR="00F818BB" w:rsidRPr="00444F69" w:rsidRDefault="00440A6B" w:rsidP="000F0070">
      <w:pPr>
        <w:pStyle w:val="BodyText1"/>
        <w:spacing w:before="120" w:line="240" w:lineRule="auto"/>
        <w:ind w:left="720" w:hanging="180"/>
        <w:rPr>
          <w:sz w:val="22"/>
        </w:rPr>
      </w:pPr>
      <w:r w:rsidRPr="00A05343">
        <w:rPr>
          <w:rStyle w:val="Bodytext11pt1"/>
        </w:rPr>
        <w:t>Insert</w:t>
      </w:r>
      <w:r w:rsidRPr="00A05343">
        <w:rPr>
          <w:rStyle w:val="Bodytext11pt"/>
        </w:rPr>
        <w:t>:</w:t>
      </w:r>
    </w:p>
    <w:p w14:paraId="30D9D5A9" w14:textId="77777777" w:rsidR="00F818BB" w:rsidRPr="00444F69" w:rsidRDefault="006D2869" w:rsidP="000F0070">
      <w:pPr>
        <w:pStyle w:val="BodyText1"/>
        <w:spacing w:before="120" w:line="240" w:lineRule="auto"/>
        <w:ind w:left="1566" w:hanging="396"/>
        <w:rPr>
          <w:sz w:val="22"/>
        </w:rPr>
      </w:pPr>
      <w:r>
        <w:rPr>
          <w:rStyle w:val="Bodytext11pt"/>
        </w:rPr>
        <w:t xml:space="preserve">(fa) </w:t>
      </w:r>
      <w:r w:rsidR="00440A6B" w:rsidRPr="00444F69">
        <w:rPr>
          <w:rStyle w:val="Bodytext11pt"/>
        </w:rPr>
        <w:t>whether the compensation payer or insurer intends to make an advance payment in respect of the compensation; and</w:t>
      </w:r>
    </w:p>
    <w:p w14:paraId="2FE67B5A" w14:textId="77777777" w:rsidR="00F818BB" w:rsidRPr="00444F69" w:rsidRDefault="006D2869" w:rsidP="000F0070">
      <w:pPr>
        <w:pStyle w:val="BodyText1"/>
        <w:spacing w:before="120" w:line="240" w:lineRule="auto"/>
        <w:ind w:left="1566" w:hanging="396"/>
        <w:rPr>
          <w:sz w:val="22"/>
        </w:rPr>
      </w:pPr>
      <w:r>
        <w:rPr>
          <w:rStyle w:val="Bodytext11pt"/>
        </w:rPr>
        <w:t xml:space="preserve">(fb) </w:t>
      </w:r>
      <w:r w:rsidR="00440A6B" w:rsidRPr="00444F69">
        <w:rPr>
          <w:rStyle w:val="Bodytext11pt"/>
        </w:rPr>
        <w:t>if the compensation payer or insurer intends to make an advance payment—whether the compensable person has been notified under section 33A; and</w:t>
      </w:r>
    </w:p>
    <w:p w14:paraId="3817060F" w14:textId="13401C05" w:rsidR="00F818BB" w:rsidRPr="00A05343" w:rsidRDefault="006D2869" w:rsidP="00EC7C8C">
      <w:pPr>
        <w:spacing w:before="120"/>
        <w:rPr>
          <w:rFonts w:ascii="Times New Roman" w:hAnsi="Times New Roman" w:cs="Times New Roman"/>
          <w:b/>
          <w:sz w:val="22"/>
        </w:rPr>
      </w:pPr>
      <w:bookmarkStart w:id="14" w:name="bookmark15"/>
      <w:r w:rsidRPr="0075351A">
        <w:rPr>
          <w:rFonts w:ascii="Times New Roman" w:hAnsi="Times New Roman" w:cs="Times New Roman"/>
          <w:b/>
        </w:rPr>
        <w:t>9</w:t>
      </w:r>
      <w:r w:rsidR="00CF3741" w:rsidRPr="0075351A">
        <w:rPr>
          <w:rFonts w:ascii="Times New Roman" w:hAnsi="Times New Roman" w:cs="Times New Roman"/>
          <w:b/>
        </w:rPr>
        <w:t xml:space="preserve"> </w:t>
      </w:r>
      <w:r w:rsidR="00440A6B" w:rsidRPr="0075351A">
        <w:rPr>
          <w:rFonts w:ascii="Times New Roman" w:hAnsi="Times New Roman" w:cs="Times New Roman"/>
          <w:b/>
        </w:rPr>
        <w:t>After subsection 23(5)</w:t>
      </w:r>
      <w:bookmarkEnd w:id="14"/>
    </w:p>
    <w:p w14:paraId="66504989" w14:textId="77777777" w:rsidR="00F818BB" w:rsidRPr="00A05343" w:rsidRDefault="00440A6B" w:rsidP="000F0070">
      <w:pPr>
        <w:pStyle w:val="BodyText1"/>
        <w:spacing w:before="120" w:line="240" w:lineRule="auto"/>
        <w:ind w:left="720" w:hanging="180"/>
        <w:rPr>
          <w:sz w:val="22"/>
        </w:rPr>
      </w:pPr>
      <w:r w:rsidRPr="00A05343">
        <w:rPr>
          <w:rStyle w:val="Bodytext11pt"/>
        </w:rPr>
        <w:t>Insert:</w:t>
      </w:r>
    </w:p>
    <w:p w14:paraId="3121EFAD" w14:textId="77777777" w:rsidR="00F818BB" w:rsidRPr="00A05343" w:rsidRDefault="00440A6B" w:rsidP="000F0070">
      <w:pPr>
        <w:pStyle w:val="BodyText1"/>
        <w:spacing w:before="120" w:line="240" w:lineRule="auto"/>
        <w:ind w:left="630" w:hanging="135"/>
        <w:rPr>
          <w:sz w:val="22"/>
        </w:rPr>
      </w:pPr>
      <w:r w:rsidRPr="00A05343">
        <w:rPr>
          <w:rStyle w:val="Bodytext11pt"/>
        </w:rPr>
        <w:t>(5A) If:</w:t>
      </w:r>
    </w:p>
    <w:p w14:paraId="7DF490B1" w14:textId="77777777" w:rsidR="00F818BB" w:rsidRPr="00A05343" w:rsidRDefault="006D2869" w:rsidP="000F0070">
      <w:pPr>
        <w:pStyle w:val="BodyText1"/>
        <w:spacing w:before="120" w:line="240" w:lineRule="auto"/>
        <w:ind w:left="1260" w:hanging="90"/>
        <w:rPr>
          <w:sz w:val="22"/>
        </w:rPr>
      </w:pPr>
      <w:r w:rsidRPr="00A05343">
        <w:rPr>
          <w:rStyle w:val="Bodytext11pt"/>
        </w:rPr>
        <w:t xml:space="preserve">(a) </w:t>
      </w:r>
      <w:r w:rsidR="00440A6B" w:rsidRPr="00A05343">
        <w:rPr>
          <w:rStyle w:val="Bodytext11pt"/>
        </w:rPr>
        <w:t>the judgment or settlement was made before the commencement of Division 2A; and</w:t>
      </w:r>
    </w:p>
    <w:p w14:paraId="2A5FD621" w14:textId="77777777" w:rsidR="00F818BB" w:rsidRPr="00A05343" w:rsidRDefault="006D2869" w:rsidP="000F0070">
      <w:pPr>
        <w:pStyle w:val="BodyText1"/>
        <w:spacing w:before="120" w:line="240" w:lineRule="auto"/>
        <w:ind w:left="1521" w:hanging="351"/>
        <w:rPr>
          <w:sz w:val="22"/>
        </w:rPr>
      </w:pPr>
      <w:r w:rsidRPr="00A05343">
        <w:rPr>
          <w:rStyle w:val="Bodytext11pt"/>
        </w:rPr>
        <w:t xml:space="preserve">(b) </w:t>
      </w:r>
      <w:r w:rsidR="00440A6B" w:rsidRPr="00A05343">
        <w:rPr>
          <w:rStyle w:val="Bodytext11pt"/>
        </w:rPr>
        <w:t>notice of the judgment or settlement had already been given under subsection (1) before that commencement;</w:t>
      </w:r>
    </w:p>
    <w:p w14:paraId="39A68555" w14:textId="77777777" w:rsidR="00F818BB" w:rsidRPr="00444F69" w:rsidRDefault="00440A6B" w:rsidP="000F0070">
      <w:pPr>
        <w:pStyle w:val="BodyText1"/>
        <w:spacing w:before="120" w:line="240" w:lineRule="auto"/>
        <w:ind w:left="990" w:firstLine="0"/>
        <w:rPr>
          <w:sz w:val="22"/>
        </w:rPr>
      </w:pPr>
      <w:r w:rsidRPr="00A05343">
        <w:rPr>
          <w:rStyle w:val="Bodytext11pt"/>
        </w:rPr>
        <w:t>the notifiable person may, within 28 days after that commencement, give to the Commission a further notice in writing that contains all of the information and other matters that a notice under subsection (1) is required to contain under this section (as in force after that commencement).</w:t>
      </w:r>
    </w:p>
    <w:p w14:paraId="4455E372" w14:textId="67D47F01" w:rsidR="00F818BB" w:rsidRPr="006D2869" w:rsidRDefault="006D2869" w:rsidP="00EC7C8C">
      <w:pPr>
        <w:spacing w:before="120"/>
        <w:rPr>
          <w:rFonts w:ascii="Times New Roman" w:hAnsi="Times New Roman" w:cs="Times New Roman"/>
          <w:b/>
          <w:sz w:val="22"/>
        </w:rPr>
      </w:pPr>
      <w:bookmarkStart w:id="15" w:name="bookmark16"/>
      <w:r w:rsidRPr="0075351A">
        <w:rPr>
          <w:rFonts w:ascii="Times New Roman" w:hAnsi="Times New Roman" w:cs="Times New Roman"/>
          <w:b/>
        </w:rPr>
        <w:t>10</w:t>
      </w:r>
      <w:r w:rsidR="00CF3741" w:rsidRPr="0075351A">
        <w:rPr>
          <w:rFonts w:ascii="Times New Roman" w:hAnsi="Times New Roman" w:cs="Times New Roman"/>
          <w:b/>
        </w:rPr>
        <w:t xml:space="preserve"> </w:t>
      </w:r>
      <w:r w:rsidR="00440A6B" w:rsidRPr="0075351A">
        <w:rPr>
          <w:rFonts w:ascii="Times New Roman" w:hAnsi="Times New Roman" w:cs="Times New Roman"/>
          <w:b/>
        </w:rPr>
        <w:t>Subsection 24(1)</w:t>
      </w:r>
      <w:bookmarkEnd w:id="15"/>
    </w:p>
    <w:p w14:paraId="2E0376E3" w14:textId="77777777" w:rsidR="00F818BB" w:rsidRPr="00444F69" w:rsidRDefault="00440A6B" w:rsidP="00EE4BCF">
      <w:pPr>
        <w:pStyle w:val="BodyText1"/>
        <w:spacing w:before="120" w:line="240" w:lineRule="auto"/>
        <w:ind w:left="540" w:firstLine="0"/>
        <w:rPr>
          <w:sz w:val="22"/>
        </w:rPr>
      </w:pPr>
      <w:r w:rsidRPr="00444F69">
        <w:rPr>
          <w:rStyle w:val="Bodytext11pt"/>
        </w:rPr>
        <w:t>Omit “If’, substitute “Subject to subsection (1A), if".</w:t>
      </w:r>
    </w:p>
    <w:p w14:paraId="55F4C093" w14:textId="75A7C229" w:rsidR="00F818BB" w:rsidRPr="006D2869" w:rsidRDefault="006D2869" w:rsidP="00EC7C8C">
      <w:pPr>
        <w:spacing w:before="120"/>
        <w:rPr>
          <w:rFonts w:ascii="Times New Roman" w:hAnsi="Times New Roman" w:cs="Times New Roman"/>
          <w:b/>
          <w:sz w:val="22"/>
        </w:rPr>
      </w:pPr>
      <w:bookmarkStart w:id="16" w:name="bookmark17"/>
      <w:r w:rsidRPr="0075351A">
        <w:rPr>
          <w:rFonts w:ascii="Times New Roman" w:hAnsi="Times New Roman" w:cs="Times New Roman"/>
          <w:b/>
        </w:rPr>
        <w:t>11</w:t>
      </w:r>
      <w:r w:rsidR="00CF3741" w:rsidRPr="0075351A">
        <w:rPr>
          <w:rFonts w:ascii="Times New Roman" w:hAnsi="Times New Roman" w:cs="Times New Roman"/>
          <w:b/>
        </w:rPr>
        <w:t xml:space="preserve"> </w:t>
      </w:r>
      <w:r w:rsidR="00440A6B" w:rsidRPr="0075351A">
        <w:rPr>
          <w:rFonts w:ascii="Times New Roman" w:hAnsi="Times New Roman" w:cs="Times New Roman"/>
          <w:b/>
        </w:rPr>
        <w:t>After subsection 24(1)</w:t>
      </w:r>
      <w:bookmarkEnd w:id="16"/>
    </w:p>
    <w:p w14:paraId="298CA6A3" w14:textId="77777777" w:rsidR="00F818BB" w:rsidRDefault="00440A6B" w:rsidP="00EE4BCF">
      <w:pPr>
        <w:pStyle w:val="BodyText1"/>
        <w:spacing w:before="120" w:line="240" w:lineRule="auto"/>
        <w:ind w:left="540" w:firstLine="0"/>
        <w:rPr>
          <w:rStyle w:val="Bodytext11pt"/>
        </w:rPr>
      </w:pPr>
      <w:r w:rsidRPr="00444F69">
        <w:rPr>
          <w:rStyle w:val="Bodytext11pt"/>
        </w:rPr>
        <w:t>Insert:</w:t>
      </w:r>
    </w:p>
    <w:p w14:paraId="13E18FE3" w14:textId="77777777" w:rsidR="0004071F" w:rsidRDefault="0004071F" w:rsidP="00EE4BCF">
      <w:pPr>
        <w:rPr>
          <w:rStyle w:val="Bodytext11pt"/>
          <w:rFonts w:eastAsia="Courier New"/>
        </w:rPr>
        <w:sectPr w:rsidR="0004071F" w:rsidSect="0004071F">
          <w:headerReference w:type="even" r:id="rId15"/>
          <w:pgSz w:w="12240" w:h="15840" w:code="1"/>
          <w:pgMar w:top="1440" w:right="1440" w:bottom="1440" w:left="1440" w:header="630" w:footer="645" w:gutter="0"/>
          <w:cols w:space="720"/>
          <w:noEndnote/>
          <w:docGrid w:linePitch="360"/>
        </w:sectPr>
      </w:pPr>
    </w:p>
    <w:p w14:paraId="4F59B4AE" w14:textId="77777777" w:rsidR="00F818BB" w:rsidRPr="00A05343" w:rsidRDefault="00440A6B" w:rsidP="005B417B">
      <w:pPr>
        <w:pStyle w:val="BodyText1"/>
        <w:spacing w:before="120" w:line="240" w:lineRule="auto"/>
        <w:ind w:left="936" w:hanging="486"/>
        <w:rPr>
          <w:sz w:val="22"/>
        </w:rPr>
      </w:pPr>
      <w:r w:rsidRPr="00A05343">
        <w:rPr>
          <w:rStyle w:val="Bodytext11pt"/>
        </w:rPr>
        <w:lastRenderedPageBreak/>
        <w:t xml:space="preserve">(1A) A notice under subsection (1) is not required if the compensation payer or insurer makes an advance payment </w:t>
      </w:r>
      <w:r w:rsidRPr="00A05343">
        <w:rPr>
          <w:rStyle w:val="Bodytext11pt1"/>
        </w:rPr>
        <w:t>in</w:t>
      </w:r>
      <w:r w:rsidRPr="00A05343">
        <w:rPr>
          <w:rStyle w:val="Bodytext11pt"/>
        </w:rPr>
        <w:t xml:space="preserve"> respect of the compensation.</w:t>
      </w:r>
    </w:p>
    <w:p w14:paraId="3F756069" w14:textId="77F58FC9" w:rsidR="00F818BB" w:rsidRPr="00A05343" w:rsidRDefault="001F1D25" w:rsidP="0037035E">
      <w:pPr>
        <w:spacing w:before="120"/>
        <w:rPr>
          <w:rFonts w:ascii="Times New Roman" w:hAnsi="Times New Roman" w:cs="Times New Roman"/>
          <w:b/>
          <w:sz w:val="22"/>
        </w:rPr>
      </w:pPr>
      <w:bookmarkStart w:id="17" w:name="bookmark18"/>
      <w:r w:rsidRPr="0075351A">
        <w:rPr>
          <w:rFonts w:ascii="Times New Roman" w:hAnsi="Times New Roman" w:cs="Times New Roman"/>
          <w:b/>
        </w:rPr>
        <w:t>12</w:t>
      </w:r>
      <w:r w:rsidR="00CF3741" w:rsidRPr="0075351A">
        <w:rPr>
          <w:rFonts w:ascii="Times New Roman" w:hAnsi="Times New Roman" w:cs="Times New Roman"/>
          <w:b/>
        </w:rPr>
        <w:t xml:space="preserve"> </w:t>
      </w:r>
      <w:r w:rsidR="00440A6B" w:rsidRPr="0075351A">
        <w:rPr>
          <w:rFonts w:ascii="Times New Roman" w:hAnsi="Times New Roman" w:cs="Times New Roman"/>
          <w:b/>
        </w:rPr>
        <w:t>After subsection 32(1)</w:t>
      </w:r>
      <w:bookmarkEnd w:id="17"/>
    </w:p>
    <w:p w14:paraId="150076E3" w14:textId="77777777" w:rsidR="00F818BB" w:rsidRPr="00444F69" w:rsidRDefault="00440A6B" w:rsidP="00EE4BCF">
      <w:pPr>
        <w:pStyle w:val="BodyText1"/>
        <w:spacing w:before="120" w:line="240" w:lineRule="auto"/>
        <w:ind w:left="540" w:firstLine="0"/>
        <w:rPr>
          <w:sz w:val="22"/>
        </w:rPr>
      </w:pPr>
      <w:r w:rsidRPr="00444F69">
        <w:rPr>
          <w:rStyle w:val="Bodytext11pt"/>
        </w:rPr>
        <w:t>Insert:</w:t>
      </w:r>
    </w:p>
    <w:p w14:paraId="4DDD94AB" w14:textId="77777777" w:rsidR="00F818BB" w:rsidRPr="00444F69" w:rsidRDefault="00440A6B" w:rsidP="005B417B">
      <w:pPr>
        <w:pStyle w:val="BodyText1"/>
        <w:spacing w:before="120" w:line="240" w:lineRule="auto"/>
        <w:ind w:left="936" w:hanging="486"/>
        <w:rPr>
          <w:sz w:val="22"/>
        </w:rPr>
      </w:pPr>
      <w:r w:rsidRPr="00444F69">
        <w:rPr>
          <w:rStyle w:val="Bodytext11pt"/>
        </w:rPr>
        <w:t>(1A) Subsection (1) does not apply if the compensation payer or insurer makes an advance payment in respect of the compensation.</w:t>
      </w:r>
    </w:p>
    <w:p w14:paraId="489D326C" w14:textId="256444C0" w:rsidR="00F818BB" w:rsidRPr="00A05343" w:rsidRDefault="001F1D25" w:rsidP="0037035E">
      <w:pPr>
        <w:spacing w:before="120"/>
        <w:rPr>
          <w:rFonts w:ascii="Times New Roman" w:hAnsi="Times New Roman" w:cs="Times New Roman"/>
          <w:b/>
          <w:sz w:val="22"/>
        </w:rPr>
      </w:pPr>
      <w:bookmarkStart w:id="18" w:name="bookmark19"/>
      <w:r w:rsidRPr="0075351A">
        <w:rPr>
          <w:rFonts w:ascii="Times New Roman" w:hAnsi="Times New Roman" w:cs="Times New Roman"/>
          <w:b/>
        </w:rPr>
        <w:t>13</w:t>
      </w:r>
      <w:r w:rsidR="00CF3741" w:rsidRPr="0075351A">
        <w:rPr>
          <w:rFonts w:ascii="Times New Roman" w:hAnsi="Times New Roman" w:cs="Times New Roman"/>
          <w:b/>
        </w:rPr>
        <w:t xml:space="preserve"> </w:t>
      </w:r>
      <w:r w:rsidR="00440A6B" w:rsidRPr="0075351A">
        <w:rPr>
          <w:rFonts w:ascii="Times New Roman" w:hAnsi="Times New Roman" w:cs="Times New Roman"/>
          <w:b/>
        </w:rPr>
        <w:t>After Division 2 of Part 3</w:t>
      </w:r>
      <w:bookmarkEnd w:id="18"/>
    </w:p>
    <w:p w14:paraId="51A42BF4" w14:textId="77777777" w:rsidR="00F818BB" w:rsidRPr="00444F69" w:rsidRDefault="00440A6B" w:rsidP="00EE4BCF">
      <w:pPr>
        <w:pStyle w:val="BodyText1"/>
        <w:spacing w:before="120" w:line="240" w:lineRule="auto"/>
        <w:ind w:left="540" w:firstLine="0"/>
        <w:rPr>
          <w:sz w:val="22"/>
        </w:rPr>
      </w:pPr>
      <w:r w:rsidRPr="00444F69">
        <w:rPr>
          <w:rStyle w:val="Bodytext11pt"/>
        </w:rPr>
        <w:t>Insert:</w:t>
      </w:r>
    </w:p>
    <w:p w14:paraId="22371DDD" w14:textId="6F32C819" w:rsidR="00F818BB" w:rsidRPr="006F1434" w:rsidRDefault="00440A6B" w:rsidP="00EE4BCF">
      <w:pPr>
        <w:spacing w:before="120"/>
        <w:rPr>
          <w:rFonts w:ascii="Times New Roman" w:hAnsi="Times New Roman" w:cs="Times New Roman"/>
          <w:b/>
          <w:sz w:val="22"/>
          <w:szCs w:val="22"/>
        </w:rPr>
      </w:pPr>
      <w:bookmarkStart w:id="19" w:name="bookmark20"/>
      <w:r w:rsidRPr="0075351A">
        <w:rPr>
          <w:rFonts w:ascii="Times New Roman" w:hAnsi="Times New Roman" w:cs="Times New Roman"/>
          <w:b/>
          <w:sz w:val="26"/>
          <w:szCs w:val="26"/>
        </w:rPr>
        <w:t>Division 2A—Advance payments to the Commonwealth</w:t>
      </w:r>
      <w:bookmarkEnd w:id="19"/>
    </w:p>
    <w:p w14:paraId="3781622E" w14:textId="77777777" w:rsidR="00F818BB" w:rsidRPr="001F1D25" w:rsidRDefault="00440A6B" w:rsidP="00EE4BCF">
      <w:pPr>
        <w:spacing w:before="120"/>
        <w:rPr>
          <w:rFonts w:ascii="Times New Roman" w:hAnsi="Times New Roman" w:cs="Times New Roman"/>
          <w:b/>
          <w:sz w:val="22"/>
        </w:rPr>
      </w:pPr>
      <w:bookmarkStart w:id="20" w:name="bookmark21"/>
      <w:r w:rsidRPr="001F1D25">
        <w:rPr>
          <w:rFonts w:ascii="Times New Roman" w:hAnsi="Times New Roman" w:cs="Times New Roman"/>
          <w:b/>
          <w:sz w:val="22"/>
        </w:rPr>
        <w:t>33A Notice of advance payment</w:t>
      </w:r>
      <w:bookmarkEnd w:id="20"/>
    </w:p>
    <w:p w14:paraId="79A04FB5" w14:textId="77777777" w:rsidR="00F818BB" w:rsidRPr="00444F69" w:rsidRDefault="001F1D25" w:rsidP="00DE71EB">
      <w:pPr>
        <w:pStyle w:val="BodyText1"/>
        <w:spacing w:before="120" w:line="240" w:lineRule="auto"/>
        <w:ind w:left="936" w:hanging="306"/>
        <w:rPr>
          <w:sz w:val="22"/>
        </w:rPr>
      </w:pPr>
      <w:r>
        <w:rPr>
          <w:rStyle w:val="Bodytext11pt"/>
        </w:rPr>
        <w:t xml:space="preserve">(1) </w:t>
      </w:r>
      <w:r w:rsidR="00440A6B" w:rsidRPr="00444F69">
        <w:rPr>
          <w:rStyle w:val="Bodytext11pt"/>
        </w:rPr>
        <w:t>If a compensation payer or insurer intends to make an advance payment in respect of the compensation payable under a judgment or settlement, the compensation payer or insurer must notify the compensable person in writing.</w:t>
      </w:r>
    </w:p>
    <w:p w14:paraId="161EBA28" w14:textId="77777777" w:rsidR="00F818BB" w:rsidRPr="00444F69" w:rsidRDefault="001F1D25" w:rsidP="00EE4BCF">
      <w:pPr>
        <w:pStyle w:val="BodyText1"/>
        <w:spacing w:before="120" w:line="240" w:lineRule="auto"/>
        <w:ind w:left="630" w:firstLine="0"/>
        <w:rPr>
          <w:sz w:val="22"/>
        </w:rPr>
      </w:pPr>
      <w:r>
        <w:rPr>
          <w:rStyle w:val="Bodytext11pt"/>
        </w:rPr>
        <w:t xml:space="preserve">(2) </w:t>
      </w:r>
      <w:r w:rsidR="00440A6B" w:rsidRPr="00444F69">
        <w:rPr>
          <w:rStyle w:val="Bodytext11pt"/>
        </w:rPr>
        <w:t>The notice must state:</w:t>
      </w:r>
    </w:p>
    <w:p w14:paraId="33D85D7C" w14:textId="77777777" w:rsidR="00F818BB" w:rsidRPr="00A05343" w:rsidRDefault="001F1D25" w:rsidP="00DE71EB">
      <w:pPr>
        <w:pStyle w:val="BodyText1"/>
        <w:spacing w:before="120" w:line="240" w:lineRule="auto"/>
        <w:ind w:left="1395" w:hanging="315"/>
        <w:rPr>
          <w:sz w:val="22"/>
        </w:rPr>
      </w:pPr>
      <w:r w:rsidRPr="00A05343">
        <w:rPr>
          <w:rStyle w:val="Bodytext11pt"/>
        </w:rPr>
        <w:t xml:space="preserve">(a) </w:t>
      </w:r>
      <w:r w:rsidR="00440A6B" w:rsidRPr="00A05343">
        <w:rPr>
          <w:rStyle w:val="Bodytext11pt"/>
        </w:rPr>
        <w:t>that the compensation payer or insurer intends to make the advance payment; and</w:t>
      </w:r>
    </w:p>
    <w:p w14:paraId="0E87266E" w14:textId="77777777" w:rsidR="00F818BB" w:rsidRPr="00A05343" w:rsidRDefault="001F1D25" w:rsidP="00DE71EB">
      <w:pPr>
        <w:pStyle w:val="BodyText1"/>
        <w:spacing w:before="120" w:line="240" w:lineRule="auto"/>
        <w:ind w:left="1395" w:hanging="315"/>
        <w:rPr>
          <w:sz w:val="22"/>
        </w:rPr>
      </w:pPr>
      <w:r w:rsidRPr="00A05343">
        <w:rPr>
          <w:rStyle w:val="Bodytext11pt"/>
        </w:rPr>
        <w:t xml:space="preserve">(b) </w:t>
      </w:r>
      <w:r w:rsidR="00440A6B" w:rsidRPr="00A05343">
        <w:rPr>
          <w:rStyle w:val="Bodytext11pt"/>
        </w:rPr>
        <w:t>the amount of the advance payment; and</w:t>
      </w:r>
    </w:p>
    <w:p w14:paraId="71DA0F44" w14:textId="77777777" w:rsidR="00F818BB" w:rsidRPr="00A05343" w:rsidRDefault="001F1D25" w:rsidP="00DE71EB">
      <w:pPr>
        <w:pStyle w:val="BodyText1"/>
        <w:spacing w:before="120" w:line="240" w:lineRule="auto"/>
        <w:ind w:left="1395" w:hanging="315"/>
        <w:rPr>
          <w:sz w:val="22"/>
        </w:rPr>
      </w:pPr>
      <w:r w:rsidRPr="00A05343">
        <w:rPr>
          <w:rStyle w:val="Bodytext11pt"/>
        </w:rPr>
        <w:t>(c)</w:t>
      </w:r>
      <w:r w:rsidR="00C112A5" w:rsidRPr="00A05343">
        <w:rPr>
          <w:rStyle w:val="Bodytext11pt"/>
        </w:rPr>
        <w:t xml:space="preserve"> </w:t>
      </w:r>
      <w:r w:rsidR="00440A6B" w:rsidRPr="00A05343">
        <w:rPr>
          <w:rStyle w:val="Bodytext11pt"/>
        </w:rPr>
        <w:t>the circumstances in which the Commonwealth can retain some or all of the advance payment; and</w:t>
      </w:r>
    </w:p>
    <w:p w14:paraId="5588A494" w14:textId="77777777" w:rsidR="00F818BB" w:rsidRPr="00444F69" w:rsidRDefault="001F1D25" w:rsidP="00DE71EB">
      <w:pPr>
        <w:pStyle w:val="BodyText1"/>
        <w:spacing w:before="120" w:line="240" w:lineRule="auto"/>
        <w:ind w:left="1395" w:hanging="315"/>
        <w:rPr>
          <w:sz w:val="22"/>
        </w:rPr>
      </w:pPr>
      <w:r w:rsidRPr="00A05343">
        <w:rPr>
          <w:rStyle w:val="Bodytext11pt"/>
        </w:rPr>
        <w:t>(d)</w:t>
      </w:r>
      <w:r w:rsidR="00C112A5" w:rsidRPr="00A05343">
        <w:rPr>
          <w:rStyle w:val="Bodytext11pt"/>
        </w:rPr>
        <w:t xml:space="preserve"> </w:t>
      </w:r>
      <w:r w:rsidR="00440A6B" w:rsidRPr="00A05343">
        <w:rPr>
          <w:rStyle w:val="Bodytext11pt"/>
        </w:rPr>
        <w:t>the circumstances in which the compensable person will be required to make an additional payment to the Commonwealth in respect of eligible benefits.</w:t>
      </w:r>
    </w:p>
    <w:p w14:paraId="761EABC9" w14:textId="77777777" w:rsidR="00F818BB" w:rsidRPr="00444F69" w:rsidRDefault="00C112A5" w:rsidP="00EE4BCF">
      <w:pPr>
        <w:pStyle w:val="BodyText1"/>
        <w:spacing w:before="120" w:line="240" w:lineRule="auto"/>
        <w:ind w:left="630" w:firstLine="0"/>
        <w:rPr>
          <w:sz w:val="22"/>
        </w:rPr>
      </w:pPr>
      <w:r>
        <w:rPr>
          <w:rStyle w:val="Bodytext11pt"/>
        </w:rPr>
        <w:t xml:space="preserve">(3) </w:t>
      </w:r>
      <w:r w:rsidR="00440A6B" w:rsidRPr="00444F69">
        <w:rPr>
          <w:rStyle w:val="Bodytext11pt"/>
        </w:rPr>
        <w:t>The notice must be given to the compensable person:</w:t>
      </w:r>
    </w:p>
    <w:p w14:paraId="11B13F0D" w14:textId="77777777" w:rsidR="00F818BB" w:rsidRPr="00A05343" w:rsidRDefault="00C112A5" w:rsidP="00DE71EB">
      <w:pPr>
        <w:pStyle w:val="BodyText1"/>
        <w:spacing w:before="120" w:line="240" w:lineRule="auto"/>
        <w:ind w:left="1395" w:hanging="315"/>
        <w:rPr>
          <w:rStyle w:val="Bodytext11pt1"/>
        </w:rPr>
      </w:pPr>
      <w:r w:rsidRPr="00A05343">
        <w:rPr>
          <w:rStyle w:val="Bodytext11pt1"/>
        </w:rPr>
        <w:t xml:space="preserve">(a) </w:t>
      </w:r>
      <w:r w:rsidR="00440A6B" w:rsidRPr="00A05343">
        <w:rPr>
          <w:rStyle w:val="Bodytext11pt1"/>
        </w:rPr>
        <w:t>if the judgment or settlement was made after the commencement of this Division—before the judgment or settlement was made; or</w:t>
      </w:r>
    </w:p>
    <w:p w14:paraId="57CC811B" w14:textId="77777777" w:rsidR="00C112A5" w:rsidRPr="00A05343" w:rsidRDefault="00C112A5" w:rsidP="00DE71EB">
      <w:pPr>
        <w:pStyle w:val="BodyText1"/>
        <w:spacing w:before="120" w:line="240" w:lineRule="auto"/>
        <w:ind w:left="1395" w:hanging="315"/>
        <w:rPr>
          <w:rStyle w:val="Bodytext11pt1"/>
        </w:rPr>
      </w:pPr>
      <w:r w:rsidRPr="00A05343">
        <w:rPr>
          <w:rStyle w:val="Bodytext11pt1"/>
        </w:rPr>
        <w:t xml:space="preserve">(b) </w:t>
      </w:r>
      <w:r w:rsidR="00440A6B" w:rsidRPr="00A05343">
        <w:rPr>
          <w:rStyle w:val="Bodytext11pt1"/>
        </w:rPr>
        <w:t>if the judgment or settlement was made before that commencement—before the advance payment in question is made and, in any case, within 28 days after that commencement.</w:t>
      </w:r>
    </w:p>
    <w:p w14:paraId="5B81C92A" w14:textId="77777777" w:rsidR="0004071F" w:rsidRDefault="0004071F" w:rsidP="00EE4BCF">
      <w:pPr>
        <w:rPr>
          <w:rStyle w:val="Bodytext11pt"/>
          <w:rFonts w:eastAsia="Courier New"/>
        </w:rPr>
        <w:sectPr w:rsidR="0004071F" w:rsidSect="0004071F">
          <w:pgSz w:w="12240" w:h="15840" w:code="1"/>
          <w:pgMar w:top="1440" w:right="1440" w:bottom="1440" w:left="1440" w:header="630" w:footer="645" w:gutter="0"/>
          <w:cols w:space="720"/>
          <w:noEndnote/>
          <w:docGrid w:linePitch="360"/>
        </w:sectPr>
      </w:pPr>
    </w:p>
    <w:p w14:paraId="1D0F40BA" w14:textId="77777777" w:rsidR="00F818BB" w:rsidRPr="00C112A5" w:rsidRDefault="00440A6B" w:rsidP="00EE4BCF">
      <w:pPr>
        <w:pStyle w:val="Bodytext60"/>
        <w:spacing w:before="120" w:line="240" w:lineRule="auto"/>
        <w:rPr>
          <w:b w:val="0"/>
          <w:sz w:val="22"/>
        </w:rPr>
      </w:pPr>
      <w:r w:rsidRPr="00C112A5">
        <w:rPr>
          <w:rStyle w:val="Bodytext614pt"/>
          <w:b/>
          <w:bCs/>
          <w:sz w:val="22"/>
        </w:rPr>
        <w:lastRenderedPageBreak/>
        <w:t>33B</w:t>
      </w:r>
      <w:r w:rsidRPr="00C112A5">
        <w:rPr>
          <w:b w:val="0"/>
          <w:sz w:val="22"/>
        </w:rPr>
        <w:t xml:space="preserve"> </w:t>
      </w:r>
      <w:r w:rsidRPr="00C112A5">
        <w:rPr>
          <w:sz w:val="22"/>
        </w:rPr>
        <w:t>Advance payments</w:t>
      </w:r>
    </w:p>
    <w:p w14:paraId="6D32EBB2" w14:textId="77777777" w:rsidR="00F818BB" w:rsidRPr="00A05343" w:rsidRDefault="00C112A5" w:rsidP="00DE71EB">
      <w:pPr>
        <w:pStyle w:val="BodyText1"/>
        <w:spacing w:before="120" w:line="240" w:lineRule="auto"/>
        <w:ind w:left="981" w:hanging="351"/>
        <w:rPr>
          <w:sz w:val="22"/>
        </w:rPr>
      </w:pPr>
      <w:r w:rsidRPr="00A05343">
        <w:rPr>
          <w:rStyle w:val="Bodytext11pt"/>
        </w:rPr>
        <w:t>(1)</w:t>
      </w:r>
      <w:r w:rsidR="00DE71EB" w:rsidRPr="00A05343">
        <w:rPr>
          <w:rStyle w:val="Bodytext11pt"/>
        </w:rPr>
        <w:t xml:space="preserve"> </w:t>
      </w:r>
      <w:r w:rsidR="00440A6B" w:rsidRPr="00A05343">
        <w:rPr>
          <w:rStyle w:val="Bodytext11pt"/>
        </w:rPr>
        <w:t>A compensation payer or insurer may make an advance payment to the Commonwealth in respect of the compensation payable under a judgment or settlement if:</w:t>
      </w:r>
    </w:p>
    <w:p w14:paraId="5588FA7B" w14:textId="77777777" w:rsidR="00F818BB" w:rsidRPr="00A05343" w:rsidRDefault="00C112A5" w:rsidP="00DE71EB">
      <w:pPr>
        <w:pStyle w:val="BodyText1"/>
        <w:spacing w:before="120" w:line="240" w:lineRule="auto"/>
        <w:ind w:left="1467" w:hanging="315"/>
        <w:rPr>
          <w:sz w:val="22"/>
        </w:rPr>
      </w:pPr>
      <w:r w:rsidRPr="00A05343">
        <w:rPr>
          <w:rStyle w:val="Bodytext11pt"/>
        </w:rPr>
        <w:t>(a)</w:t>
      </w:r>
      <w:r w:rsidR="00C373DF" w:rsidRPr="00A05343">
        <w:rPr>
          <w:rStyle w:val="Bodytext11pt"/>
        </w:rPr>
        <w:t xml:space="preserve"> </w:t>
      </w:r>
      <w:r w:rsidR="00440A6B" w:rsidRPr="00A05343">
        <w:rPr>
          <w:rStyle w:val="Bodytext11pt"/>
        </w:rPr>
        <w:t>during the 3 months preceding the judgment or settlement, a notice under section 21 had not been given; and</w:t>
      </w:r>
    </w:p>
    <w:p w14:paraId="02FE3367" w14:textId="77777777" w:rsidR="00F818BB" w:rsidRPr="00A05343" w:rsidRDefault="00C112A5" w:rsidP="00DE71EB">
      <w:pPr>
        <w:pStyle w:val="BodyText1"/>
        <w:spacing w:before="120" w:line="240" w:lineRule="auto"/>
        <w:ind w:left="1467" w:hanging="315"/>
        <w:rPr>
          <w:sz w:val="22"/>
        </w:rPr>
      </w:pPr>
      <w:r w:rsidRPr="00A05343">
        <w:rPr>
          <w:rStyle w:val="Bodytext11pt"/>
        </w:rPr>
        <w:t>(b)</w:t>
      </w:r>
      <w:r w:rsidR="00C373DF" w:rsidRPr="00A05343">
        <w:rPr>
          <w:rStyle w:val="Bodytext11pt"/>
        </w:rPr>
        <w:t xml:space="preserve"> </w:t>
      </w:r>
      <w:r w:rsidR="00440A6B" w:rsidRPr="00A05343">
        <w:rPr>
          <w:rStyle w:val="Bodytext11pt"/>
        </w:rPr>
        <w:t xml:space="preserve">a </w:t>
      </w:r>
      <w:r w:rsidR="00440A6B" w:rsidRPr="00A05343">
        <w:rPr>
          <w:rStyle w:val="Bodytext11pt1"/>
        </w:rPr>
        <w:t>notice</w:t>
      </w:r>
      <w:r w:rsidR="00440A6B" w:rsidRPr="00A05343">
        <w:rPr>
          <w:rStyle w:val="Bodytext11pt"/>
        </w:rPr>
        <w:t xml:space="preserve"> under section 23 has been given indicating that the compensation payer or insurer intends to make an advance payment; and</w:t>
      </w:r>
    </w:p>
    <w:p w14:paraId="6D06AD6A" w14:textId="77777777" w:rsidR="00F818BB" w:rsidRPr="00A05343" w:rsidRDefault="00C112A5" w:rsidP="00DE71EB">
      <w:pPr>
        <w:pStyle w:val="BodyText1"/>
        <w:spacing w:before="120" w:line="240" w:lineRule="auto"/>
        <w:ind w:left="1467" w:hanging="315"/>
        <w:rPr>
          <w:sz w:val="22"/>
        </w:rPr>
      </w:pPr>
      <w:r w:rsidRPr="00A05343">
        <w:rPr>
          <w:rStyle w:val="Bodytext11pt"/>
        </w:rPr>
        <w:t>(c)</w:t>
      </w:r>
      <w:r w:rsidR="00C373DF" w:rsidRPr="00A05343">
        <w:rPr>
          <w:rStyle w:val="Bodytext11pt"/>
        </w:rPr>
        <w:t xml:space="preserve"> </w:t>
      </w:r>
      <w:r w:rsidR="00440A6B" w:rsidRPr="00A05343">
        <w:rPr>
          <w:rStyle w:val="Bodytext11pt"/>
        </w:rPr>
        <w:t xml:space="preserve">a </w:t>
      </w:r>
      <w:r w:rsidR="00440A6B" w:rsidRPr="00A05343">
        <w:rPr>
          <w:rStyle w:val="Bodytext11pt1"/>
        </w:rPr>
        <w:t>notice</w:t>
      </w:r>
      <w:r w:rsidR="00440A6B" w:rsidRPr="00A05343">
        <w:rPr>
          <w:rStyle w:val="Bodytext11pt"/>
        </w:rPr>
        <w:t xml:space="preserve"> under section 33A has been given; and</w:t>
      </w:r>
    </w:p>
    <w:p w14:paraId="3437A1CA" w14:textId="77777777" w:rsidR="00F818BB" w:rsidRPr="00A05343" w:rsidRDefault="00C112A5" w:rsidP="00DE71EB">
      <w:pPr>
        <w:pStyle w:val="BodyText1"/>
        <w:spacing w:before="120" w:line="240" w:lineRule="auto"/>
        <w:ind w:left="1467" w:hanging="315"/>
        <w:rPr>
          <w:sz w:val="22"/>
        </w:rPr>
      </w:pPr>
      <w:r w:rsidRPr="00A05343">
        <w:rPr>
          <w:rStyle w:val="Bodytext11pt"/>
        </w:rPr>
        <w:t xml:space="preserve">(d) </w:t>
      </w:r>
      <w:r w:rsidR="00440A6B" w:rsidRPr="00A05343">
        <w:rPr>
          <w:rStyle w:val="Bodytext11pt"/>
        </w:rPr>
        <w:t xml:space="preserve">the </w:t>
      </w:r>
      <w:r w:rsidR="00440A6B" w:rsidRPr="00A05343">
        <w:rPr>
          <w:rStyle w:val="Bodytext11pt1"/>
        </w:rPr>
        <w:t>amount</w:t>
      </w:r>
      <w:r w:rsidR="00440A6B" w:rsidRPr="00A05343">
        <w:rPr>
          <w:rStyle w:val="Bodytext11pt"/>
        </w:rPr>
        <w:t xml:space="preserve"> of the compensation payable under the judgment or settlement is not less than $3,000 or such other amount as the Minister determines.</w:t>
      </w:r>
    </w:p>
    <w:p w14:paraId="55468A8A" w14:textId="77777777" w:rsidR="00F818BB" w:rsidRPr="00A05343" w:rsidRDefault="00C112A5" w:rsidP="00DE71EB">
      <w:pPr>
        <w:pStyle w:val="BodyText1"/>
        <w:spacing w:before="120" w:line="240" w:lineRule="auto"/>
        <w:ind w:left="981" w:hanging="351"/>
        <w:rPr>
          <w:sz w:val="22"/>
        </w:rPr>
      </w:pPr>
      <w:r w:rsidRPr="00A05343">
        <w:rPr>
          <w:rStyle w:val="Bodytext11pt"/>
        </w:rPr>
        <w:t xml:space="preserve">(2) </w:t>
      </w:r>
      <w:r w:rsidR="00440A6B" w:rsidRPr="00A05343">
        <w:rPr>
          <w:rStyle w:val="Bodytext11pt"/>
        </w:rPr>
        <w:t xml:space="preserve">The </w:t>
      </w:r>
      <w:r w:rsidR="00440A6B" w:rsidRPr="00A05343">
        <w:rPr>
          <w:rStyle w:val="Bodytext11pt1"/>
        </w:rPr>
        <w:t>advance</w:t>
      </w:r>
      <w:r w:rsidR="00440A6B" w:rsidRPr="00A05343">
        <w:rPr>
          <w:rStyle w:val="Bodytext11pt"/>
        </w:rPr>
        <w:t xml:space="preserve"> </w:t>
      </w:r>
      <w:r w:rsidR="00440A6B" w:rsidRPr="00A05343">
        <w:rPr>
          <w:rStyle w:val="Bodytext11pt1"/>
        </w:rPr>
        <w:t>payment</w:t>
      </w:r>
      <w:r w:rsidR="00440A6B" w:rsidRPr="00A05343">
        <w:rPr>
          <w:rStyle w:val="Bodytext11pt"/>
        </w:rPr>
        <w:t xml:space="preserve"> must be an amount equal to 10%, or such other percentage as the Minister determines, of the amount of compensation payable under the judgment or settlement.</w:t>
      </w:r>
    </w:p>
    <w:p w14:paraId="0E3DA6E7" w14:textId="77777777" w:rsidR="00F818BB" w:rsidRPr="00DE71EB" w:rsidRDefault="00C112A5" w:rsidP="00DE71EB">
      <w:pPr>
        <w:pStyle w:val="BodyText1"/>
        <w:spacing w:before="120" w:line="240" w:lineRule="auto"/>
        <w:ind w:left="981" w:hanging="351"/>
        <w:rPr>
          <w:sz w:val="22"/>
        </w:rPr>
      </w:pPr>
      <w:r w:rsidRPr="00DE71EB">
        <w:rPr>
          <w:rStyle w:val="Bodytext11pt"/>
        </w:rPr>
        <w:t xml:space="preserve">(3) </w:t>
      </w:r>
      <w:r w:rsidR="00440A6B" w:rsidRPr="00DE71EB">
        <w:rPr>
          <w:rStyle w:val="Bodytext11pt"/>
        </w:rPr>
        <w:t xml:space="preserve">The advance </w:t>
      </w:r>
      <w:r w:rsidR="00440A6B" w:rsidRPr="00DE71EB">
        <w:rPr>
          <w:rStyle w:val="Bodytext11pt1"/>
        </w:rPr>
        <w:t>payment</w:t>
      </w:r>
      <w:r w:rsidR="00440A6B" w:rsidRPr="00DE71EB">
        <w:rPr>
          <w:rStyle w:val="Bodytext11pt"/>
        </w:rPr>
        <w:t xml:space="preserve"> must be made:</w:t>
      </w:r>
    </w:p>
    <w:p w14:paraId="6E38AC6E" w14:textId="77777777" w:rsidR="00F818BB" w:rsidRPr="00A05343" w:rsidRDefault="00C112A5" w:rsidP="00DE71EB">
      <w:pPr>
        <w:pStyle w:val="BodyText1"/>
        <w:spacing w:before="120" w:line="240" w:lineRule="auto"/>
        <w:ind w:left="1467" w:hanging="315"/>
        <w:rPr>
          <w:sz w:val="22"/>
        </w:rPr>
      </w:pPr>
      <w:r w:rsidRPr="00A05343">
        <w:rPr>
          <w:rStyle w:val="Bodytext11pt"/>
        </w:rPr>
        <w:t xml:space="preserve">(a) </w:t>
      </w:r>
      <w:r w:rsidR="00440A6B" w:rsidRPr="00A05343">
        <w:rPr>
          <w:rStyle w:val="Bodytext11pt"/>
        </w:rPr>
        <w:t>if the judgment or settlement was made after the commencement of this Division—within 28 days after the judgment or settlement was made; or</w:t>
      </w:r>
    </w:p>
    <w:p w14:paraId="0F3BE0DD" w14:textId="77777777" w:rsidR="00F818BB" w:rsidRPr="00A05343" w:rsidRDefault="00C112A5" w:rsidP="00DE71EB">
      <w:pPr>
        <w:pStyle w:val="BodyText1"/>
        <w:spacing w:before="120" w:line="240" w:lineRule="auto"/>
        <w:ind w:left="1467" w:hanging="315"/>
        <w:rPr>
          <w:sz w:val="22"/>
        </w:rPr>
      </w:pPr>
      <w:r w:rsidRPr="00A05343">
        <w:rPr>
          <w:rStyle w:val="Bodytext11pt"/>
        </w:rPr>
        <w:t xml:space="preserve">(b) </w:t>
      </w:r>
      <w:r w:rsidR="00440A6B" w:rsidRPr="00A05343">
        <w:rPr>
          <w:rStyle w:val="Bodytext11pt"/>
        </w:rPr>
        <w:t>if the judgment or settlement was made before that commencement—within 28 days after that commencement.</w:t>
      </w:r>
    </w:p>
    <w:p w14:paraId="072E3D27" w14:textId="1D2EE573" w:rsidR="00F818BB" w:rsidRPr="00444F69" w:rsidRDefault="00C112A5" w:rsidP="00DE71EB">
      <w:pPr>
        <w:pStyle w:val="BodyText1"/>
        <w:spacing w:before="120" w:line="240" w:lineRule="auto"/>
        <w:ind w:left="981" w:hanging="351"/>
        <w:rPr>
          <w:sz w:val="22"/>
        </w:rPr>
      </w:pPr>
      <w:r w:rsidRPr="00A05343">
        <w:rPr>
          <w:rStyle w:val="Bodytext11pt"/>
        </w:rPr>
        <w:t xml:space="preserve">(4) </w:t>
      </w:r>
      <w:r w:rsidR="00440A6B" w:rsidRPr="00A05343">
        <w:rPr>
          <w:rStyle w:val="Bodytext11pt"/>
        </w:rPr>
        <w:t>Determinations made under paragraph (</w:t>
      </w:r>
      <w:r w:rsidR="0075351A">
        <w:rPr>
          <w:rStyle w:val="Bodytext11pt"/>
        </w:rPr>
        <w:t>1</w:t>
      </w:r>
      <w:r w:rsidR="00440A6B" w:rsidRPr="00A05343">
        <w:rPr>
          <w:rStyle w:val="Bodytext11pt"/>
        </w:rPr>
        <w:t xml:space="preserve">)(d) and subsection (2) are disallowable instruments for the purposes of section 46A of the </w:t>
      </w:r>
      <w:r w:rsidR="00440A6B" w:rsidRPr="00A05343">
        <w:rPr>
          <w:rStyle w:val="Bodytext11pt0"/>
        </w:rPr>
        <w:t>Acts Interpretation Act 1901</w:t>
      </w:r>
      <w:r w:rsidR="00440A6B" w:rsidRPr="00A05343">
        <w:rPr>
          <w:rStyle w:val="Bodytext11pt"/>
        </w:rPr>
        <w:t>.</w:t>
      </w:r>
    </w:p>
    <w:p w14:paraId="13ECC3DB" w14:textId="77777777" w:rsidR="00F818BB" w:rsidRPr="00C112A5" w:rsidRDefault="00440A6B" w:rsidP="00EE4BCF">
      <w:pPr>
        <w:pStyle w:val="Bodytext60"/>
        <w:spacing w:before="120" w:line="240" w:lineRule="auto"/>
        <w:rPr>
          <w:sz w:val="22"/>
        </w:rPr>
      </w:pPr>
      <w:r w:rsidRPr="00C112A5">
        <w:rPr>
          <w:rStyle w:val="Bodytext612pt"/>
          <w:b/>
          <w:bCs/>
          <w:sz w:val="22"/>
        </w:rPr>
        <w:t>33C</w:t>
      </w:r>
      <w:r w:rsidRPr="00C112A5">
        <w:rPr>
          <w:b w:val="0"/>
          <w:sz w:val="22"/>
        </w:rPr>
        <w:t xml:space="preserve"> </w:t>
      </w:r>
      <w:r w:rsidRPr="00C112A5">
        <w:rPr>
          <w:sz w:val="22"/>
        </w:rPr>
        <w:t>Notice of past benefits</w:t>
      </w:r>
    </w:p>
    <w:p w14:paraId="7D22755B" w14:textId="77777777" w:rsidR="00F818BB" w:rsidRPr="00444F69" w:rsidRDefault="00C112A5" w:rsidP="00A82F9E">
      <w:pPr>
        <w:pStyle w:val="BodyText1"/>
        <w:spacing w:before="120" w:line="240" w:lineRule="auto"/>
        <w:ind w:left="945" w:hanging="315"/>
        <w:rPr>
          <w:sz w:val="22"/>
        </w:rPr>
      </w:pPr>
      <w:r>
        <w:rPr>
          <w:rStyle w:val="Bodytext11pt"/>
        </w:rPr>
        <w:t xml:space="preserve">(1) </w:t>
      </w:r>
      <w:r w:rsidR="00440A6B" w:rsidRPr="00444F69">
        <w:rPr>
          <w:rStyle w:val="Bodytext11pt"/>
        </w:rPr>
        <w:t>If a compensation payer or insurer makes an advance payment, the Commission must give to the compensable person a written notice setting out the total amount of eligible benefits paid by the Commonwealth in respect of services and care rendered or provided in the course of treatment of, or as a result of, the compensable person’s injury.</w:t>
      </w:r>
    </w:p>
    <w:p w14:paraId="2DFD2B3B" w14:textId="77777777" w:rsidR="00F818BB" w:rsidRPr="00444F69" w:rsidRDefault="00C112A5" w:rsidP="00A82F9E">
      <w:pPr>
        <w:pStyle w:val="BodyText1"/>
        <w:spacing w:before="120" w:line="240" w:lineRule="auto"/>
        <w:ind w:left="945" w:hanging="315"/>
        <w:rPr>
          <w:sz w:val="22"/>
        </w:rPr>
      </w:pPr>
      <w:r>
        <w:rPr>
          <w:rStyle w:val="Bodytext11pt"/>
        </w:rPr>
        <w:t xml:space="preserve">(2) </w:t>
      </w:r>
      <w:r w:rsidR="00440A6B" w:rsidRPr="00444F69">
        <w:rPr>
          <w:rStyle w:val="Bodytext11pt"/>
        </w:rPr>
        <w:t>The notice must not, in relation to the period covered by a statement given under section 18, take account of any eligible benefits that were paid in respect of services or care not specified in:</w:t>
      </w:r>
    </w:p>
    <w:p w14:paraId="647043FC" w14:textId="77777777" w:rsidR="00F818BB" w:rsidRPr="007A57D2" w:rsidRDefault="00C112A5" w:rsidP="00A82F9E">
      <w:pPr>
        <w:pStyle w:val="BodyText1"/>
        <w:spacing w:before="120" w:line="240" w:lineRule="auto"/>
        <w:ind w:left="1035" w:firstLine="45"/>
        <w:rPr>
          <w:sz w:val="22"/>
        </w:rPr>
      </w:pPr>
      <w:r w:rsidRPr="007A57D2">
        <w:rPr>
          <w:rStyle w:val="Bodytext11pt"/>
        </w:rPr>
        <w:t xml:space="preserve">(a) </w:t>
      </w:r>
      <w:r w:rsidR="00440A6B" w:rsidRPr="007A57D2">
        <w:rPr>
          <w:rStyle w:val="Bodytext11pt"/>
        </w:rPr>
        <w:t>that statement; or</w:t>
      </w:r>
    </w:p>
    <w:p w14:paraId="41ECF450" w14:textId="77777777" w:rsidR="00F818BB" w:rsidRDefault="00C112A5" w:rsidP="00A82F9E">
      <w:pPr>
        <w:pStyle w:val="BodyText1"/>
        <w:spacing w:before="120" w:line="240" w:lineRule="auto"/>
        <w:ind w:left="1035" w:firstLine="45"/>
        <w:rPr>
          <w:rStyle w:val="Bodytext11pt"/>
        </w:rPr>
      </w:pPr>
      <w:r w:rsidRPr="007A57D2">
        <w:rPr>
          <w:rStyle w:val="Bodytext11pt"/>
        </w:rPr>
        <w:t xml:space="preserve">(b) </w:t>
      </w:r>
      <w:r w:rsidR="00440A6B" w:rsidRPr="007A57D2">
        <w:rPr>
          <w:rStyle w:val="Bodytext11pt"/>
        </w:rPr>
        <w:t>that statement as amended under section 33E.</w:t>
      </w:r>
    </w:p>
    <w:p w14:paraId="3A656BC4" w14:textId="77777777" w:rsidR="0004071F" w:rsidRDefault="0004071F" w:rsidP="00EE4BCF">
      <w:pPr>
        <w:rPr>
          <w:rStyle w:val="Bodytext11pt"/>
          <w:rFonts w:eastAsia="Courier New"/>
        </w:rPr>
        <w:sectPr w:rsidR="0004071F" w:rsidSect="0004071F">
          <w:pgSz w:w="12240" w:h="15840" w:code="1"/>
          <w:pgMar w:top="1440" w:right="1440" w:bottom="1440" w:left="1440" w:header="630" w:footer="465" w:gutter="0"/>
          <w:cols w:space="720"/>
          <w:noEndnote/>
          <w:docGrid w:linePitch="360"/>
        </w:sectPr>
      </w:pPr>
    </w:p>
    <w:p w14:paraId="5FE41BB6" w14:textId="77777777" w:rsidR="00F818BB" w:rsidRPr="00A82F78" w:rsidRDefault="00440A6B" w:rsidP="00EE4BCF">
      <w:pPr>
        <w:pStyle w:val="Bodytext60"/>
        <w:spacing w:before="120" w:line="240" w:lineRule="auto"/>
        <w:rPr>
          <w:sz w:val="22"/>
        </w:rPr>
      </w:pPr>
      <w:r w:rsidRPr="00A82F78">
        <w:rPr>
          <w:rStyle w:val="Bodytext614pt"/>
          <w:b/>
          <w:bCs/>
          <w:sz w:val="22"/>
        </w:rPr>
        <w:lastRenderedPageBreak/>
        <w:t>33D</w:t>
      </w:r>
      <w:r w:rsidRPr="00A82F78">
        <w:rPr>
          <w:sz w:val="22"/>
        </w:rPr>
        <w:t xml:space="preserve"> Time within which notice of past benefits must be given</w:t>
      </w:r>
    </w:p>
    <w:p w14:paraId="4D080955" w14:textId="77777777" w:rsidR="00F818BB" w:rsidRPr="00444F69" w:rsidRDefault="00A82F78" w:rsidP="00963EF3">
      <w:pPr>
        <w:pStyle w:val="BodyText1"/>
        <w:spacing w:before="120" w:line="240" w:lineRule="auto"/>
        <w:ind w:left="954" w:hanging="324"/>
        <w:rPr>
          <w:sz w:val="22"/>
        </w:rPr>
      </w:pPr>
      <w:r>
        <w:rPr>
          <w:rStyle w:val="Bodytext11pt"/>
        </w:rPr>
        <w:t xml:space="preserve">(1) </w:t>
      </w:r>
      <w:r w:rsidR="00440A6B" w:rsidRPr="00444F69">
        <w:rPr>
          <w:rStyle w:val="Bodytext11pt"/>
        </w:rPr>
        <w:t>Subject to subsections (2) and (3), the notice under section 33C must be given within 3 months after:</w:t>
      </w:r>
    </w:p>
    <w:p w14:paraId="485AD127" w14:textId="77777777" w:rsidR="00F818BB" w:rsidRPr="00444F69" w:rsidRDefault="00A82F78" w:rsidP="00963EF3">
      <w:pPr>
        <w:pStyle w:val="BodyText1"/>
        <w:spacing w:before="120" w:line="240" w:lineRule="auto"/>
        <w:ind w:left="1476" w:hanging="306"/>
        <w:rPr>
          <w:sz w:val="22"/>
        </w:rPr>
      </w:pPr>
      <w:r>
        <w:rPr>
          <w:rStyle w:val="Bodytext11pt"/>
        </w:rPr>
        <w:t xml:space="preserve">(a) </w:t>
      </w:r>
      <w:r w:rsidR="00440A6B" w:rsidRPr="00444F69">
        <w:rPr>
          <w:rStyle w:val="Bodytext11pt"/>
        </w:rPr>
        <w:t>the Commission receives notice under section 23 indicating that the compensation payer or insurer intends to make an advance payment; or</w:t>
      </w:r>
    </w:p>
    <w:p w14:paraId="5F16A5C0" w14:textId="77777777" w:rsidR="00F818BB" w:rsidRPr="00444F69" w:rsidRDefault="00A82F78" w:rsidP="00963EF3">
      <w:pPr>
        <w:pStyle w:val="BodyText1"/>
        <w:spacing w:before="120" w:line="240" w:lineRule="auto"/>
        <w:ind w:left="1476" w:hanging="306"/>
        <w:rPr>
          <w:sz w:val="22"/>
        </w:rPr>
      </w:pPr>
      <w:r>
        <w:rPr>
          <w:rStyle w:val="Bodytext11pt"/>
        </w:rPr>
        <w:t xml:space="preserve">(b) </w:t>
      </w:r>
      <w:r w:rsidR="00440A6B" w:rsidRPr="00444F69">
        <w:rPr>
          <w:rStyle w:val="Bodytext11pt"/>
        </w:rPr>
        <w:t xml:space="preserve">the </w:t>
      </w:r>
      <w:r w:rsidR="00440A6B" w:rsidRPr="00963EF3">
        <w:rPr>
          <w:rStyle w:val="Bodytext11pt1"/>
        </w:rPr>
        <w:t>advance</w:t>
      </w:r>
      <w:r w:rsidR="00440A6B" w:rsidRPr="00444F69">
        <w:rPr>
          <w:rStyle w:val="Bodytext11pt"/>
        </w:rPr>
        <w:t xml:space="preserve"> payment is made; whichever is the later.</w:t>
      </w:r>
    </w:p>
    <w:p w14:paraId="02E195C3" w14:textId="77777777" w:rsidR="00F818BB" w:rsidRPr="00444F69" w:rsidRDefault="00A82F78" w:rsidP="00963EF3">
      <w:pPr>
        <w:pStyle w:val="BodyText1"/>
        <w:spacing w:before="120" w:line="240" w:lineRule="auto"/>
        <w:ind w:left="954" w:hanging="324"/>
        <w:rPr>
          <w:sz w:val="22"/>
        </w:rPr>
      </w:pPr>
      <w:r>
        <w:rPr>
          <w:rStyle w:val="Bodytext11pt"/>
        </w:rPr>
        <w:t xml:space="preserve">(2) </w:t>
      </w:r>
      <w:r w:rsidR="00440A6B" w:rsidRPr="00444F69">
        <w:rPr>
          <w:rStyle w:val="Bodytext11pt"/>
        </w:rPr>
        <w:t xml:space="preserve">If the Managing Director gives a notice under subsection 33E(2) to the compensable person, </w:t>
      </w:r>
      <w:r w:rsidR="00440A6B" w:rsidRPr="00963EF3">
        <w:rPr>
          <w:rStyle w:val="Bodytext11pt1"/>
        </w:rPr>
        <w:t>the</w:t>
      </w:r>
      <w:r w:rsidR="00440A6B" w:rsidRPr="00444F69">
        <w:rPr>
          <w:rStyle w:val="Bodytext11pt"/>
        </w:rPr>
        <w:t xml:space="preserve"> notice </w:t>
      </w:r>
      <w:r w:rsidR="00440A6B" w:rsidRPr="00963EF3">
        <w:rPr>
          <w:rStyle w:val="Bodytext11pt1"/>
        </w:rPr>
        <w:t>under</w:t>
      </w:r>
      <w:r w:rsidR="00440A6B" w:rsidRPr="00444F69">
        <w:rPr>
          <w:rStyle w:val="Bodytext11pt"/>
        </w:rPr>
        <w:t xml:space="preserve"> section 33C need not be given until:</w:t>
      </w:r>
    </w:p>
    <w:p w14:paraId="233B199B" w14:textId="77777777" w:rsidR="00F818BB" w:rsidRPr="00444F69" w:rsidRDefault="00A82F78" w:rsidP="00963EF3">
      <w:pPr>
        <w:pStyle w:val="BodyText1"/>
        <w:spacing w:before="120" w:line="240" w:lineRule="auto"/>
        <w:ind w:left="1476" w:hanging="306"/>
        <w:rPr>
          <w:sz w:val="22"/>
        </w:rPr>
      </w:pPr>
      <w:r>
        <w:rPr>
          <w:rStyle w:val="Bodytext11pt"/>
        </w:rPr>
        <w:t xml:space="preserve">(a) </w:t>
      </w:r>
      <w:r w:rsidR="00440A6B" w:rsidRPr="00444F69">
        <w:rPr>
          <w:rStyle w:val="Bodytext11pt"/>
        </w:rPr>
        <w:t>the end of the 3 month period referred to in subsection (1); or</w:t>
      </w:r>
    </w:p>
    <w:p w14:paraId="2D5218E4" w14:textId="77777777" w:rsidR="00F818BB" w:rsidRPr="00444F69" w:rsidRDefault="00A82F78" w:rsidP="00963EF3">
      <w:pPr>
        <w:pStyle w:val="BodyText1"/>
        <w:spacing w:before="120" w:line="240" w:lineRule="auto"/>
        <w:ind w:left="1476" w:hanging="306"/>
        <w:rPr>
          <w:sz w:val="22"/>
        </w:rPr>
      </w:pPr>
      <w:r>
        <w:rPr>
          <w:rStyle w:val="Bodytext11pt"/>
        </w:rPr>
        <w:t xml:space="preserve">(b) </w:t>
      </w:r>
      <w:r w:rsidR="00440A6B" w:rsidRPr="00444F69">
        <w:rPr>
          <w:rStyle w:val="Bodytext11pt"/>
        </w:rPr>
        <w:t>the end of the period of 28 days after the Managing Director accepts an amended statement under section 33E as being substantially correct;</w:t>
      </w:r>
    </w:p>
    <w:p w14:paraId="4191BB8B" w14:textId="77777777" w:rsidR="00F818BB" w:rsidRPr="00444F69" w:rsidRDefault="00440A6B" w:rsidP="00963EF3">
      <w:pPr>
        <w:pStyle w:val="BodyText1"/>
        <w:spacing w:before="120" w:line="240" w:lineRule="auto"/>
        <w:ind w:left="900" w:firstLine="90"/>
        <w:rPr>
          <w:sz w:val="22"/>
        </w:rPr>
      </w:pPr>
      <w:r w:rsidRPr="00A05343">
        <w:rPr>
          <w:rStyle w:val="Bodytext11pt"/>
        </w:rPr>
        <w:t>whichever is the later.</w:t>
      </w:r>
    </w:p>
    <w:p w14:paraId="0ED49FBC" w14:textId="77777777" w:rsidR="00F818BB" w:rsidRPr="00444F69" w:rsidRDefault="00A82F78" w:rsidP="00EE4BCF">
      <w:pPr>
        <w:pStyle w:val="BodyText1"/>
        <w:spacing w:before="120" w:line="240" w:lineRule="auto"/>
        <w:ind w:left="630" w:firstLine="0"/>
        <w:rPr>
          <w:sz w:val="22"/>
        </w:rPr>
      </w:pPr>
      <w:r>
        <w:rPr>
          <w:rStyle w:val="Bodytext11pt"/>
        </w:rPr>
        <w:t xml:space="preserve">(3) </w:t>
      </w:r>
      <w:r w:rsidR="00440A6B" w:rsidRPr="00444F69">
        <w:rPr>
          <w:rStyle w:val="Bodytext11pt"/>
        </w:rPr>
        <w:t>If:</w:t>
      </w:r>
    </w:p>
    <w:p w14:paraId="0E00B9C7" w14:textId="77777777" w:rsidR="00F818BB" w:rsidRPr="00444F69" w:rsidRDefault="00A82F78" w:rsidP="00963EF3">
      <w:pPr>
        <w:pStyle w:val="BodyText1"/>
        <w:spacing w:before="120" w:line="240" w:lineRule="auto"/>
        <w:ind w:left="1476" w:hanging="306"/>
        <w:rPr>
          <w:sz w:val="22"/>
        </w:rPr>
      </w:pPr>
      <w:r>
        <w:rPr>
          <w:rStyle w:val="Bodytext11pt"/>
        </w:rPr>
        <w:t xml:space="preserve">(a) </w:t>
      </w:r>
      <w:r w:rsidR="00440A6B" w:rsidRPr="00444F69">
        <w:rPr>
          <w:rStyle w:val="Bodytext11pt"/>
        </w:rPr>
        <w:t>the Managing Director has not given a notice under subsection 33E(2) to the compensable person; and</w:t>
      </w:r>
    </w:p>
    <w:p w14:paraId="4CE3CFE6" w14:textId="77777777" w:rsidR="00F818BB" w:rsidRPr="00444F69" w:rsidRDefault="00A82F78" w:rsidP="00963EF3">
      <w:pPr>
        <w:pStyle w:val="BodyText1"/>
        <w:spacing w:before="120" w:line="240" w:lineRule="auto"/>
        <w:ind w:left="1476" w:hanging="306"/>
        <w:rPr>
          <w:sz w:val="22"/>
        </w:rPr>
      </w:pPr>
      <w:r>
        <w:rPr>
          <w:rStyle w:val="Bodytext11pt"/>
        </w:rPr>
        <w:t xml:space="preserve">(b) </w:t>
      </w:r>
      <w:r w:rsidR="00440A6B" w:rsidRPr="00444F69">
        <w:rPr>
          <w:rStyle w:val="Bodytext11pt"/>
        </w:rPr>
        <w:t>the period for giving a statement under section 18 has been extended under subsection 18(3); and</w:t>
      </w:r>
    </w:p>
    <w:p w14:paraId="5AAB84C4" w14:textId="77777777" w:rsidR="00F818BB" w:rsidRPr="00444F69" w:rsidRDefault="00A82F78" w:rsidP="00963EF3">
      <w:pPr>
        <w:pStyle w:val="BodyText1"/>
        <w:spacing w:before="120" w:line="240" w:lineRule="auto"/>
        <w:ind w:left="1476" w:hanging="306"/>
        <w:rPr>
          <w:sz w:val="22"/>
        </w:rPr>
      </w:pPr>
      <w:r>
        <w:rPr>
          <w:rStyle w:val="Bodytext11pt"/>
        </w:rPr>
        <w:t xml:space="preserve">(c) </w:t>
      </w:r>
      <w:r w:rsidR="00440A6B" w:rsidRPr="00444F69">
        <w:rPr>
          <w:rStyle w:val="Bodytext11pt"/>
        </w:rPr>
        <w:t xml:space="preserve">the date of expiry of </w:t>
      </w:r>
      <w:r w:rsidR="00440A6B" w:rsidRPr="00963EF3">
        <w:rPr>
          <w:rStyle w:val="Bodytext11pt1"/>
        </w:rPr>
        <w:t>the</w:t>
      </w:r>
      <w:r w:rsidR="00440A6B" w:rsidRPr="00444F69">
        <w:rPr>
          <w:rStyle w:val="Bodytext11pt"/>
        </w:rPr>
        <w:t xml:space="preserve"> period of the extension is after the end of the 3 month period referred to in subsection (1);</w:t>
      </w:r>
    </w:p>
    <w:p w14:paraId="011147B9" w14:textId="77777777" w:rsidR="00F818BB" w:rsidRPr="00444F69" w:rsidRDefault="00440A6B" w:rsidP="00963EF3">
      <w:pPr>
        <w:pStyle w:val="BodyText1"/>
        <w:spacing w:before="120" w:line="240" w:lineRule="auto"/>
        <w:ind w:left="900" w:firstLine="36"/>
        <w:rPr>
          <w:sz w:val="22"/>
        </w:rPr>
      </w:pPr>
      <w:r w:rsidRPr="00A05343">
        <w:rPr>
          <w:rStyle w:val="Bodytext11pt"/>
        </w:rPr>
        <w:t>the notice under section 33C must be given within 28 days after that date of expiry.</w:t>
      </w:r>
    </w:p>
    <w:p w14:paraId="0EF922A2" w14:textId="77777777" w:rsidR="00F818BB" w:rsidRPr="00A82F78" w:rsidRDefault="00440A6B" w:rsidP="00EE4BCF">
      <w:pPr>
        <w:pStyle w:val="Bodytext60"/>
        <w:spacing w:before="120" w:line="240" w:lineRule="auto"/>
        <w:rPr>
          <w:sz w:val="22"/>
        </w:rPr>
      </w:pPr>
      <w:r w:rsidRPr="00A82F78">
        <w:rPr>
          <w:rStyle w:val="Bodytext612pt"/>
          <w:b/>
          <w:bCs/>
          <w:sz w:val="22"/>
        </w:rPr>
        <w:t>33E</w:t>
      </w:r>
      <w:r w:rsidRPr="00A82F78">
        <w:rPr>
          <w:sz w:val="22"/>
        </w:rPr>
        <w:t xml:space="preserve"> Notice of statement that is not substantially correct</w:t>
      </w:r>
    </w:p>
    <w:p w14:paraId="06B24A97" w14:textId="77777777" w:rsidR="00F818BB" w:rsidRPr="00444F69" w:rsidRDefault="00A82F78" w:rsidP="00963EF3">
      <w:pPr>
        <w:pStyle w:val="BodyText1"/>
        <w:spacing w:before="120" w:line="240" w:lineRule="auto"/>
        <w:ind w:left="954" w:hanging="324"/>
        <w:rPr>
          <w:sz w:val="22"/>
        </w:rPr>
      </w:pPr>
      <w:r>
        <w:rPr>
          <w:rStyle w:val="Bodytext11pt"/>
        </w:rPr>
        <w:t xml:space="preserve">(1) </w:t>
      </w:r>
      <w:r w:rsidR="00440A6B" w:rsidRPr="00963EF3">
        <w:rPr>
          <w:rStyle w:val="Bodytext11pt1"/>
        </w:rPr>
        <w:t>This</w:t>
      </w:r>
      <w:r w:rsidR="00440A6B" w:rsidRPr="00444F69">
        <w:rPr>
          <w:rStyle w:val="Bodytext11pt"/>
        </w:rPr>
        <w:t xml:space="preserve"> section applies only if an advance payment is made.</w:t>
      </w:r>
    </w:p>
    <w:p w14:paraId="00E44881" w14:textId="77777777" w:rsidR="00F818BB" w:rsidRPr="00444F69" w:rsidRDefault="00A82F78" w:rsidP="00963EF3">
      <w:pPr>
        <w:pStyle w:val="BodyText1"/>
        <w:spacing w:before="120" w:line="240" w:lineRule="auto"/>
        <w:ind w:left="954" w:hanging="324"/>
        <w:rPr>
          <w:sz w:val="22"/>
        </w:rPr>
      </w:pPr>
      <w:r>
        <w:rPr>
          <w:rStyle w:val="Bodytext11pt"/>
        </w:rPr>
        <w:t xml:space="preserve">(2) </w:t>
      </w:r>
      <w:r w:rsidR="00440A6B" w:rsidRPr="00444F69">
        <w:rPr>
          <w:rStyle w:val="Bodytext11pt"/>
        </w:rPr>
        <w:t xml:space="preserve">If </w:t>
      </w:r>
      <w:r w:rsidR="00440A6B" w:rsidRPr="00963EF3">
        <w:rPr>
          <w:rStyle w:val="Bodytext11pt1"/>
        </w:rPr>
        <w:t>the</w:t>
      </w:r>
      <w:r w:rsidR="00440A6B" w:rsidRPr="00444F69">
        <w:rPr>
          <w:rStyle w:val="Bodytext11pt"/>
        </w:rPr>
        <w:t xml:space="preserve"> Managing Director is satisfied that a statement given to the Commission under section 18 or this section is not substantially correct, the Managing Director must give to the compensable person a written notice:</w:t>
      </w:r>
    </w:p>
    <w:p w14:paraId="50BE3D30" w14:textId="77777777" w:rsidR="00F818BB" w:rsidRPr="00444F69" w:rsidRDefault="00A82F78" w:rsidP="00963EF3">
      <w:pPr>
        <w:pStyle w:val="BodyText1"/>
        <w:spacing w:before="120" w:line="240" w:lineRule="auto"/>
        <w:ind w:left="1476" w:hanging="306"/>
        <w:rPr>
          <w:sz w:val="22"/>
        </w:rPr>
      </w:pPr>
      <w:r>
        <w:rPr>
          <w:rStyle w:val="Bodytext11pt"/>
        </w:rPr>
        <w:t xml:space="preserve">(a) </w:t>
      </w:r>
      <w:r w:rsidR="00440A6B" w:rsidRPr="00963EF3">
        <w:rPr>
          <w:rStyle w:val="Bodytext11pt1"/>
        </w:rPr>
        <w:t>specifying</w:t>
      </w:r>
      <w:r w:rsidR="00440A6B" w:rsidRPr="00444F69">
        <w:rPr>
          <w:rStyle w:val="Bodytext11pt"/>
        </w:rPr>
        <w:t xml:space="preserve"> that the statement is not substantially correct; and</w:t>
      </w:r>
    </w:p>
    <w:p w14:paraId="2D3E451A" w14:textId="77777777" w:rsidR="00F818BB" w:rsidRPr="00444F69" w:rsidRDefault="00A82F78" w:rsidP="00963EF3">
      <w:pPr>
        <w:pStyle w:val="BodyText1"/>
        <w:spacing w:before="120" w:line="240" w:lineRule="auto"/>
        <w:ind w:left="1476" w:hanging="306"/>
        <w:rPr>
          <w:sz w:val="22"/>
        </w:rPr>
      </w:pPr>
      <w:r>
        <w:rPr>
          <w:rStyle w:val="Bodytext11pt"/>
        </w:rPr>
        <w:t xml:space="preserve">(b) </w:t>
      </w:r>
      <w:r w:rsidR="00440A6B" w:rsidRPr="00444F69">
        <w:rPr>
          <w:rStyle w:val="Bodytext11pt"/>
        </w:rPr>
        <w:t>requiring the claimant to give an amended statement that is substantially correct; and</w:t>
      </w:r>
    </w:p>
    <w:p w14:paraId="48EDB7EF" w14:textId="77777777" w:rsidR="00412197" w:rsidRDefault="00A82F78" w:rsidP="00963EF3">
      <w:pPr>
        <w:pStyle w:val="BodyText1"/>
        <w:spacing w:before="120" w:line="240" w:lineRule="auto"/>
        <w:ind w:left="1476" w:hanging="306"/>
        <w:rPr>
          <w:rStyle w:val="Bodytext11pt"/>
        </w:rPr>
      </w:pPr>
      <w:r>
        <w:rPr>
          <w:rStyle w:val="Bodytext11pt"/>
        </w:rPr>
        <w:t xml:space="preserve">(c) </w:t>
      </w:r>
      <w:r w:rsidR="00440A6B" w:rsidRPr="00444F69">
        <w:rPr>
          <w:rStyle w:val="Bodytext11pt"/>
        </w:rPr>
        <w:t xml:space="preserve">stating </w:t>
      </w:r>
      <w:r w:rsidR="00440A6B" w:rsidRPr="00963EF3">
        <w:rPr>
          <w:rStyle w:val="Bodytext11pt1"/>
        </w:rPr>
        <w:t>the</w:t>
      </w:r>
      <w:r w:rsidR="00440A6B" w:rsidRPr="00444F69">
        <w:rPr>
          <w:rStyle w:val="Bodytext11pt"/>
        </w:rPr>
        <w:t xml:space="preserve"> period within which the claimant is required to give the amended statement to the Commission.</w:t>
      </w:r>
    </w:p>
    <w:p w14:paraId="62B61C38" w14:textId="77777777" w:rsidR="0004071F" w:rsidRDefault="0004071F" w:rsidP="00EE4BCF">
      <w:pPr>
        <w:rPr>
          <w:rStyle w:val="Bodytext11pt"/>
          <w:rFonts w:eastAsia="Courier New"/>
        </w:rPr>
        <w:sectPr w:rsidR="0004071F" w:rsidSect="0004071F">
          <w:pgSz w:w="12240" w:h="15840" w:code="1"/>
          <w:pgMar w:top="1440" w:right="1440" w:bottom="1440" w:left="1440" w:header="540" w:footer="555" w:gutter="0"/>
          <w:cols w:space="720"/>
          <w:noEndnote/>
          <w:docGrid w:linePitch="360"/>
        </w:sectPr>
      </w:pPr>
    </w:p>
    <w:p w14:paraId="7F658CB9" w14:textId="77777777" w:rsidR="00F818BB" w:rsidRPr="00444F69" w:rsidRDefault="00495498" w:rsidP="00963EF3">
      <w:pPr>
        <w:pStyle w:val="BodyText1"/>
        <w:spacing w:before="120" w:line="240" w:lineRule="auto"/>
        <w:ind w:left="954" w:hanging="324"/>
        <w:rPr>
          <w:sz w:val="22"/>
        </w:rPr>
      </w:pPr>
      <w:r>
        <w:rPr>
          <w:rStyle w:val="Bodytext11pt"/>
        </w:rPr>
        <w:lastRenderedPageBreak/>
        <w:t xml:space="preserve">(3) </w:t>
      </w:r>
      <w:r w:rsidR="00440A6B" w:rsidRPr="00444F69">
        <w:rPr>
          <w:rStyle w:val="Bodytext11pt"/>
        </w:rPr>
        <w:t xml:space="preserve">The notice must be given before the last day on which the Managing Director could give to the </w:t>
      </w:r>
      <w:r w:rsidR="00440A6B" w:rsidRPr="00963EF3">
        <w:rPr>
          <w:rStyle w:val="Bodytext11pt1"/>
        </w:rPr>
        <w:t>compensable</w:t>
      </w:r>
      <w:r w:rsidR="00440A6B" w:rsidRPr="00444F69">
        <w:rPr>
          <w:rStyle w:val="Bodytext11pt"/>
        </w:rPr>
        <w:t xml:space="preserve"> person the notice under section 33C.</w:t>
      </w:r>
    </w:p>
    <w:p w14:paraId="75D48320" w14:textId="77777777" w:rsidR="00F818BB" w:rsidRPr="00444F69" w:rsidRDefault="00495498" w:rsidP="00963EF3">
      <w:pPr>
        <w:pStyle w:val="BodyText1"/>
        <w:spacing w:before="120" w:line="240" w:lineRule="auto"/>
        <w:ind w:left="954" w:hanging="324"/>
        <w:rPr>
          <w:sz w:val="22"/>
        </w:rPr>
      </w:pPr>
      <w:r>
        <w:rPr>
          <w:rStyle w:val="Bodytext11pt"/>
        </w:rPr>
        <w:t xml:space="preserve">(4) </w:t>
      </w:r>
      <w:r w:rsidR="00440A6B" w:rsidRPr="00444F69">
        <w:rPr>
          <w:rStyle w:val="Bodytext11pt"/>
        </w:rPr>
        <w:t>The claimant must give to the Commission the statement required by the notice within the period of 28 days after being given the notice.</w:t>
      </w:r>
    </w:p>
    <w:p w14:paraId="74B74E72" w14:textId="77777777" w:rsidR="00F818BB" w:rsidRPr="00444F69" w:rsidRDefault="00495498" w:rsidP="00963EF3">
      <w:pPr>
        <w:pStyle w:val="BodyText1"/>
        <w:spacing w:before="120" w:line="240" w:lineRule="auto"/>
        <w:ind w:left="954" w:hanging="324"/>
        <w:rPr>
          <w:sz w:val="22"/>
        </w:rPr>
      </w:pPr>
      <w:r>
        <w:rPr>
          <w:rStyle w:val="Bodytext11pt"/>
        </w:rPr>
        <w:t xml:space="preserve">(5) </w:t>
      </w:r>
      <w:r w:rsidR="00440A6B" w:rsidRPr="00444F69">
        <w:rPr>
          <w:rStyle w:val="Bodytext11pt"/>
        </w:rPr>
        <w:t xml:space="preserve">In </w:t>
      </w:r>
      <w:r w:rsidR="00440A6B" w:rsidRPr="00963EF3">
        <w:rPr>
          <w:rStyle w:val="Bodytext11pt1"/>
        </w:rPr>
        <w:t>deciding</w:t>
      </w:r>
      <w:r w:rsidR="00440A6B" w:rsidRPr="00444F69">
        <w:rPr>
          <w:rStyle w:val="Bodytext11pt"/>
        </w:rPr>
        <w:t xml:space="preserve"> whether a statement is substantially correct, the Managing Director may have regard to:</w:t>
      </w:r>
    </w:p>
    <w:p w14:paraId="374953F1" w14:textId="77777777" w:rsidR="00F818BB" w:rsidRPr="00444F69" w:rsidRDefault="00495498" w:rsidP="00963EF3">
      <w:pPr>
        <w:pStyle w:val="BodyText1"/>
        <w:spacing w:before="120" w:line="240" w:lineRule="auto"/>
        <w:ind w:left="1476" w:hanging="306"/>
        <w:rPr>
          <w:sz w:val="22"/>
        </w:rPr>
      </w:pPr>
      <w:r>
        <w:rPr>
          <w:rStyle w:val="Bodytext11pt"/>
        </w:rPr>
        <w:t xml:space="preserve">(a) </w:t>
      </w:r>
      <w:r w:rsidR="00440A6B" w:rsidRPr="00444F69">
        <w:rPr>
          <w:rStyle w:val="Bodytext11pt"/>
        </w:rPr>
        <w:t xml:space="preserve">the date on </w:t>
      </w:r>
      <w:r w:rsidR="00440A6B" w:rsidRPr="00963EF3">
        <w:rPr>
          <w:rStyle w:val="Bodytext11pt1"/>
        </w:rPr>
        <w:t>which</w:t>
      </w:r>
      <w:r w:rsidR="00440A6B" w:rsidRPr="00444F69">
        <w:rPr>
          <w:rStyle w:val="Bodytext11pt"/>
        </w:rPr>
        <w:t xml:space="preserve"> the compensable person suffered the injury; and</w:t>
      </w:r>
    </w:p>
    <w:p w14:paraId="13260704" w14:textId="77777777" w:rsidR="00F818BB" w:rsidRPr="00444F69" w:rsidRDefault="00495498" w:rsidP="00963EF3">
      <w:pPr>
        <w:pStyle w:val="BodyText1"/>
        <w:spacing w:before="120" w:line="240" w:lineRule="auto"/>
        <w:ind w:left="1476" w:hanging="306"/>
        <w:rPr>
          <w:sz w:val="22"/>
        </w:rPr>
      </w:pPr>
      <w:r>
        <w:rPr>
          <w:rStyle w:val="Bodytext11pt"/>
        </w:rPr>
        <w:t xml:space="preserve">(b) </w:t>
      </w:r>
      <w:r w:rsidR="00440A6B" w:rsidRPr="00444F69">
        <w:rPr>
          <w:rStyle w:val="Bodytext11pt"/>
        </w:rPr>
        <w:t>the nature of the injury that the compensable person suffered; and</w:t>
      </w:r>
    </w:p>
    <w:p w14:paraId="34E7DC5A" w14:textId="77777777" w:rsidR="00F818BB" w:rsidRPr="00444F69" w:rsidRDefault="00495498" w:rsidP="00963EF3">
      <w:pPr>
        <w:pStyle w:val="BodyText1"/>
        <w:spacing w:before="120" w:line="240" w:lineRule="auto"/>
        <w:ind w:left="1476" w:hanging="306"/>
        <w:rPr>
          <w:sz w:val="22"/>
        </w:rPr>
      </w:pPr>
      <w:r>
        <w:rPr>
          <w:rStyle w:val="Bodytext11pt"/>
        </w:rPr>
        <w:t xml:space="preserve">(c) </w:t>
      </w:r>
      <w:r w:rsidR="00440A6B" w:rsidRPr="00444F69">
        <w:rPr>
          <w:rStyle w:val="Bodytext11pt"/>
        </w:rPr>
        <w:t>the treatment of the injury; and</w:t>
      </w:r>
    </w:p>
    <w:p w14:paraId="3DFD2F81" w14:textId="77777777" w:rsidR="00F818BB" w:rsidRPr="00444F69" w:rsidRDefault="00495498" w:rsidP="00963EF3">
      <w:pPr>
        <w:pStyle w:val="BodyText1"/>
        <w:spacing w:before="120" w:line="240" w:lineRule="auto"/>
        <w:ind w:left="1476" w:hanging="306"/>
        <w:rPr>
          <w:sz w:val="22"/>
        </w:rPr>
      </w:pPr>
      <w:r>
        <w:rPr>
          <w:rStyle w:val="Bodytext11pt"/>
        </w:rPr>
        <w:t xml:space="preserve">(d) </w:t>
      </w:r>
      <w:r w:rsidR="00440A6B" w:rsidRPr="00444F69">
        <w:rPr>
          <w:rStyle w:val="Bodytext11pt"/>
        </w:rPr>
        <w:t xml:space="preserve">statistical </w:t>
      </w:r>
      <w:r w:rsidR="00440A6B" w:rsidRPr="00963EF3">
        <w:rPr>
          <w:rStyle w:val="Bodytext11pt1"/>
        </w:rPr>
        <w:t>information</w:t>
      </w:r>
      <w:r w:rsidR="00440A6B" w:rsidRPr="00444F69">
        <w:rPr>
          <w:rStyle w:val="Bodytext11pt"/>
        </w:rPr>
        <w:t xml:space="preserve"> about claims for eligible benefits in relation to injuries of substantially the same kind as the injury in respect of which the claim was made; and</w:t>
      </w:r>
    </w:p>
    <w:p w14:paraId="3514344B" w14:textId="77777777" w:rsidR="00F818BB" w:rsidRPr="00444F69" w:rsidRDefault="00495498" w:rsidP="00963EF3">
      <w:pPr>
        <w:pStyle w:val="BodyText1"/>
        <w:spacing w:before="120" w:line="240" w:lineRule="auto"/>
        <w:ind w:left="1476" w:hanging="306"/>
        <w:rPr>
          <w:sz w:val="22"/>
        </w:rPr>
      </w:pPr>
      <w:r>
        <w:rPr>
          <w:rStyle w:val="Bodytext11pt"/>
        </w:rPr>
        <w:t xml:space="preserve">(e) </w:t>
      </w:r>
      <w:r w:rsidR="00440A6B" w:rsidRPr="00444F69">
        <w:rPr>
          <w:rStyle w:val="Bodytext11pt"/>
        </w:rPr>
        <w:t xml:space="preserve">expert </w:t>
      </w:r>
      <w:r w:rsidR="00440A6B" w:rsidRPr="00963EF3">
        <w:rPr>
          <w:rStyle w:val="Bodytext11pt1"/>
        </w:rPr>
        <w:t>medical</w:t>
      </w:r>
      <w:r w:rsidR="00440A6B" w:rsidRPr="00444F69">
        <w:rPr>
          <w:rStyle w:val="Bodytext11pt"/>
        </w:rPr>
        <w:t xml:space="preserve"> opinion about the treatment that is usual or may reasonably be expected in relation to injuries of that kind; and</w:t>
      </w:r>
    </w:p>
    <w:p w14:paraId="6326DF36" w14:textId="77777777" w:rsidR="00F818BB" w:rsidRPr="00444F69" w:rsidRDefault="00495498" w:rsidP="00963EF3">
      <w:pPr>
        <w:pStyle w:val="BodyText1"/>
        <w:spacing w:before="120" w:line="240" w:lineRule="auto"/>
        <w:ind w:left="1476" w:hanging="306"/>
        <w:rPr>
          <w:sz w:val="22"/>
        </w:rPr>
      </w:pPr>
      <w:r>
        <w:rPr>
          <w:rStyle w:val="Bodytext11pt"/>
        </w:rPr>
        <w:t>(f)</w:t>
      </w:r>
      <w:r w:rsidR="00440A6B" w:rsidRPr="00444F69">
        <w:rPr>
          <w:rStyle w:val="Bodytext11pt"/>
        </w:rPr>
        <w:t xml:space="preserve"> any other </w:t>
      </w:r>
      <w:r w:rsidR="00440A6B" w:rsidRPr="00963EF3">
        <w:rPr>
          <w:rStyle w:val="Bodytext11pt1"/>
        </w:rPr>
        <w:t>matter</w:t>
      </w:r>
      <w:r w:rsidR="00440A6B" w:rsidRPr="00444F69">
        <w:rPr>
          <w:rStyle w:val="Bodytext11pt"/>
        </w:rPr>
        <w:t xml:space="preserve"> that the Managing Director considers relevant.</w:t>
      </w:r>
    </w:p>
    <w:p w14:paraId="654DFCC5" w14:textId="77777777" w:rsidR="00F818BB" w:rsidRPr="00963EF3" w:rsidRDefault="00495498" w:rsidP="00963EF3">
      <w:pPr>
        <w:pStyle w:val="BodyText1"/>
        <w:spacing w:before="120" w:line="240" w:lineRule="auto"/>
        <w:ind w:left="954" w:hanging="324"/>
        <w:rPr>
          <w:sz w:val="22"/>
          <w:szCs w:val="22"/>
        </w:rPr>
      </w:pPr>
      <w:r w:rsidRPr="00963EF3">
        <w:rPr>
          <w:rStyle w:val="Bodytext11pt"/>
        </w:rPr>
        <w:t xml:space="preserve">(6) </w:t>
      </w:r>
      <w:r w:rsidR="00440A6B" w:rsidRPr="00963EF3">
        <w:rPr>
          <w:rStyle w:val="Bodytext11pt"/>
        </w:rPr>
        <w:t xml:space="preserve">A reference in subsection (5) to the treatment of the injury includes a reference to the provision of nursing </w:t>
      </w:r>
      <w:r w:rsidR="00440A6B" w:rsidRPr="00963EF3">
        <w:rPr>
          <w:sz w:val="22"/>
          <w:szCs w:val="22"/>
        </w:rPr>
        <w:t>home</w:t>
      </w:r>
      <w:r w:rsidR="00440A6B" w:rsidRPr="00963EF3">
        <w:rPr>
          <w:rStyle w:val="Bodytext11pt"/>
        </w:rPr>
        <w:t xml:space="preserve"> care as a result of the injury.</w:t>
      </w:r>
    </w:p>
    <w:p w14:paraId="7BE70FD1" w14:textId="77777777" w:rsidR="00F818BB" w:rsidRPr="00963EF3" w:rsidRDefault="00495498" w:rsidP="00963EF3">
      <w:pPr>
        <w:pStyle w:val="BodyText1"/>
        <w:spacing w:before="120" w:line="240" w:lineRule="auto"/>
        <w:ind w:left="954" w:hanging="324"/>
        <w:rPr>
          <w:sz w:val="22"/>
          <w:szCs w:val="22"/>
        </w:rPr>
      </w:pPr>
      <w:r w:rsidRPr="00963EF3">
        <w:rPr>
          <w:rStyle w:val="Bodytext11pt"/>
        </w:rPr>
        <w:t xml:space="preserve">(7) </w:t>
      </w:r>
      <w:r w:rsidR="00440A6B" w:rsidRPr="00963EF3">
        <w:rPr>
          <w:rStyle w:val="Bodytext11pt"/>
        </w:rPr>
        <w:t>Sections 18 and 19 apply to an amended statement under this section as if it were a statement under section 18.</w:t>
      </w:r>
    </w:p>
    <w:p w14:paraId="6A56C799" w14:textId="77777777" w:rsidR="00F818BB" w:rsidRPr="00495498" w:rsidRDefault="00440A6B" w:rsidP="00EE4BCF">
      <w:pPr>
        <w:spacing w:before="120"/>
        <w:rPr>
          <w:rFonts w:ascii="Times New Roman" w:hAnsi="Times New Roman" w:cs="Times New Roman"/>
          <w:b/>
          <w:sz w:val="22"/>
          <w:szCs w:val="22"/>
        </w:rPr>
      </w:pPr>
      <w:bookmarkStart w:id="21" w:name="bookmark22"/>
      <w:r w:rsidRPr="00495498">
        <w:rPr>
          <w:rFonts w:ascii="Times New Roman" w:hAnsi="Times New Roman" w:cs="Times New Roman"/>
          <w:b/>
          <w:sz w:val="22"/>
          <w:szCs w:val="22"/>
        </w:rPr>
        <w:t>33F Notice of acceptance of amended statement</w:t>
      </w:r>
      <w:bookmarkEnd w:id="21"/>
    </w:p>
    <w:p w14:paraId="1E343065" w14:textId="77777777" w:rsidR="00F818BB" w:rsidRPr="00444F69" w:rsidRDefault="00495498" w:rsidP="00963EF3">
      <w:pPr>
        <w:pStyle w:val="BodyText1"/>
        <w:spacing w:before="120" w:line="240" w:lineRule="auto"/>
        <w:ind w:left="954" w:hanging="324"/>
        <w:rPr>
          <w:sz w:val="22"/>
        </w:rPr>
      </w:pPr>
      <w:r>
        <w:rPr>
          <w:rStyle w:val="Bodytext11pt"/>
        </w:rPr>
        <w:t xml:space="preserve">(1) </w:t>
      </w:r>
      <w:r w:rsidR="00440A6B" w:rsidRPr="00444F69">
        <w:rPr>
          <w:rStyle w:val="Bodytext11pt"/>
        </w:rPr>
        <w:t xml:space="preserve">If the Managing Director accepts an amended statement under section 33E as being </w:t>
      </w:r>
      <w:r w:rsidR="00440A6B" w:rsidRPr="00963EF3">
        <w:rPr>
          <w:rStyle w:val="Bodytext11pt1"/>
        </w:rPr>
        <w:t>substantially</w:t>
      </w:r>
      <w:r w:rsidR="00440A6B" w:rsidRPr="00444F69">
        <w:rPr>
          <w:rStyle w:val="Bodytext11pt"/>
        </w:rPr>
        <w:t xml:space="preserve"> correct, the Managing Director must, as soon as practicable after accepting the statement, notify the compensable person, in writing, accordingly.</w:t>
      </w:r>
    </w:p>
    <w:p w14:paraId="5331572D" w14:textId="77777777" w:rsidR="00495498" w:rsidRDefault="00495498" w:rsidP="00963EF3">
      <w:pPr>
        <w:pStyle w:val="BodyText1"/>
        <w:spacing w:before="120" w:line="240" w:lineRule="auto"/>
        <w:ind w:left="954" w:hanging="324"/>
        <w:rPr>
          <w:rStyle w:val="Bodytext11pt"/>
        </w:rPr>
      </w:pPr>
      <w:r>
        <w:rPr>
          <w:rStyle w:val="Bodytext11pt"/>
        </w:rPr>
        <w:t xml:space="preserve">(2) </w:t>
      </w:r>
      <w:r w:rsidR="00440A6B" w:rsidRPr="00444F69">
        <w:rPr>
          <w:rStyle w:val="Bodytext11pt"/>
        </w:rPr>
        <w:t>An amended statement given to the Commission under section 33E is taken to have been accepted by the Managing Director as being substantially correct if, within 28 days after the Commission is given the statement, a notice under subsection 33E(2) in relation to the statement is not given to the compensable person.</w:t>
      </w:r>
    </w:p>
    <w:p w14:paraId="26EA33F0" w14:textId="77777777" w:rsidR="0004071F" w:rsidRDefault="0004071F" w:rsidP="00EE4BCF">
      <w:pPr>
        <w:spacing w:before="120"/>
        <w:rPr>
          <w:rStyle w:val="Bodytext11pt"/>
          <w:rFonts w:eastAsia="Courier New"/>
        </w:rPr>
        <w:sectPr w:rsidR="0004071F" w:rsidSect="0004071F">
          <w:pgSz w:w="12240" w:h="15840" w:code="1"/>
          <w:pgMar w:top="1440" w:right="1440" w:bottom="1440" w:left="1440" w:header="630" w:footer="645" w:gutter="0"/>
          <w:cols w:space="720"/>
          <w:noEndnote/>
          <w:docGrid w:linePitch="360"/>
        </w:sectPr>
      </w:pPr>
    </w:p>
    <w:p w14:paraId="01D748D2" w14:textId="77777777" w:rsidR="00F818BB" w:rsidRPr="00A22C39" w:rsidRDefault="00440A6B" w:rsidP="00EE4BCF">
      <w:pPr>
        <w:spacing w:before="120"/>
        <w:rPr>
          <w:rFonts w:ascii="Times New Roman" w:hAnsi="Times New Roman" w:cs="Times New Roman"/>
          <w:b/>
          <w:sz w:val="22"/>
          <w:szCs w:val="22"/>
        </w:rPr>
      </w:pPr>
      <w:bookmarkStart w:id="22" w:name="bookmark23"/>
      <w:r w:rsidRPr="00A22C39">
        <w:rPr>
          <w:rStyle w:val="Heading714pt"/>
          <w:rFonts w:eastAsia="Courier New"/>
          <w:sz w:val="22"/>
          <w:szCs w:val="22"/>
        </w:rPr>
        <w:lastRenderedPageBreak/>
        <w:t>33G</w:t>
      </w:r>
      <w:r w:rsidRPr="00A22C39">
        <w:rPr>
          <w:rFonts w:ascii="Times New Roman" w:hAnsi="Times New Roman" w:cs="Times New Roman"/>
          <w:b/>
          <w:sz w:val="22"/>
          <w:szCs w:val="22"/>
        </w:rPr>
        <w:t xml:space="preserve"> Review of decision under section 33E by the Administrative Appeals Tribunal</w:t>
      </w:r>
      <w:bookmarkEnd w:id="22"/>
      <w:r w:rsidR="00A22C39">
        <w:rPr>
          <w:rFonts w:ascii="Times New Roman" w:hAnsi="Times New Roman" w:cs="Times New Roman"/>
          <w:b/>
          <w:sz w:val="22"/>
          <w:szCs w:val="22"/>
        </w:rPr>
        <w:t>`</w:t>
      </w:r>
    </w:p>
    <w:p w14:paraId="3B115078" w14:textId="77777777" w:rsidR="00F818BB" w:rsidRPr="00444F69" w:rsidRDefault="00A22C39" w:rsidP="00963EF3">
      <w:pPr>
        <w:pStyle w:val="BodyText1"/>
        <w:spacing w:before="120" w:line="240" w:lineRule="auto"/>
        <w:ind w:left="954" w:hanging="324"/>
        <w:rPr>
          <w:sz w:val="22"/>
        </w:rPr>
      </w:pPr>
      <w:r>
        <w:rPr>
          <w:rStyle w:val="Bodytext11pt"/>
        </w:rPr>
        <w:t xml:space="preserve">(1) </w:t>
      </w:r>
      <w:r w:rsidR="00440A6B" w:rsidRPr="00963EF3">
        <w:rPr>
          <w:rStyle w:val="Bodytext11pt1"/>
        </w:rPr>
        <w:t>Application</w:t>
      </w:r>
      <w:r w:rsidR="00440A6B" w:rsidRPr="00444F69">
        <w:rPr>
          <w:rStyle w:val="Bodytext11pt"/>
        </w:rPr>
        <w:t xml:space="preserve"> may be made to the Administrative Appeals Tribunal for review of a decision by the Managing Director that a statement under section 18, or an amended statement under section 33E, is not substantially correct.</w:t>
      </w:r>
    </w:p>
    <w:p w14:paraId="2248DD92" w14:textId="77777777" w:rsidR="00F818BB" w:rsidRPr="00CF3741" w:rsidRDefault="00A22C39" w:rsidP="00963EF3">
      <w:pPr>
        <w:pStyle w:val="Bodytext70"/>
        <w:spacing w:before="120" w:line="240" w:lineRule="auto"/>
        <w:ind w:left="1440" w:hanging="504"/>
        <w:jc w:val="left"/>
        <w:rPr>
          <w:i w:val="0"/>
          <w:sz w:val="20"/>
          <w:szCs w:val="20"/>
        </w:rPr>
      </w:pPr>
      <w:r w:rsidRPr="00A05343">
        <w:rPr>
          <w:rStyle w:val="Bodytext711pt0"/>
          <w:sz w:val="20"/>
          <w:szCs w:val="20"/>
        </w:rPr>
        <w:t>Note:</w:t>
      </w:r>
      <w:r w:rsidR="00963EF3" w:rsidRPr="00A05343">
        <w:rPr>
          <w:rStyle w:val="Bodytext711pt0"/>
          <w:sz w:val="20"/>
          <w:szCs w:val="20"/>
        </w:rPr>
        <w:t xml:space="preserve"> </w:t>
      </w:r>
      <w:r w:rsidR="00440A6B" w:rsidRPr="00A05343">
        <w:rPr>
          <w:rStyle w:val="Bodytext711pt0"/>
          <w:sz w:val="20"/>
          <w:szCs w:val="20"/>
        </w:rPr>
        <w:t xml:space="preserve">Section 27A of the </w:t>
      </w:r>
      <w:r w:rsidR="00440A6B" w:rsidRPr="00A05343">
        <w:rPr>
          <w:rStyle w:val="Bodytext711pt"/>
          <w:i/>
          <w:iCs/>
          <w:sz w:val="20"/>
          <w:szCs w:val="20"/>
        </w:rPr>
        <w:t>Administrative Appeals Tribunal Act</w:t>
      </w:r>
      <w:r w:rsidR="00440A6B" w:rsidRPr="00A05343">
        <w:rPr>
          <w:rStyle w:val="Bodytext711pt"/>
          <w:iCs/>
          <w:sz w:val="20"/>
          <w:szCs w:val="20"/>
        </w:rPr>
        <w:t xml:space="preserve"> </w:t>
      </w:r>
      <w:r w:rsidR="00440A6B" w:rsidRPr="00A05343">
        <w:rPr>
          <w:rStyle w:val="Bodytext711pt"/>
          <w:i/>
          <w:iCs/>
          <w:sz w:val="20"/>
          <w:szCs w:val="20"/>
        </w:rPr>
        <w:t>1975</w:t>
      </w:r>
      <w:r w:rsidR="00440A6B" w:rsidRPr="00A05343">
        <w:rPr>
          <w:rStyle w:val="Bodytext711pt0"/>
          <w:i/>
          <w:sz w:val="20"/>
          <w:szCs w:val="20"/>
        </w:rPr>
        <w:t xml:space="preserve"> </w:t>
      </w:r>
      <w:r w:rsidR="00440A6B" w:rsidRPr="00A05343">
        <w:rPr>
          <w:rStyle w:val="Bodytext711pt0"/>
          <w:sz w:val="20"/>
          <w:szCs w:val="20"/>
        </w:rPr>
        <w:t>requires</w:t>
      </w:r>
      <w:r w:rsidRPr="00A05343">
        <w:rPr>
          <w:rStyle w:val="Bodytext711pt0"/>
          <w:sz w:val="20"/>
          <w:szCs w:val="20"/>
        </w:rPr>
        <w:t xml:space="preserve"> </w:t>
      </w:r>
      <w:r w:rsidR="00440A6B" w:rsidRPr="00A05343">
        <w:rPr>
          <w:rStyle w:val="Bodytext811pt"/>
          <w:i w:val="0"/>
          <w:sz w:val="20"/>
          <w:szCs w:val="20"/>
        </w:rPr>
        <w:t>the decision-maker to notify persons whose interests are affected by the decision of the making of the decision and their right to have the decision reviewed. In so notifying, the decision-maker must have regard to the Code of Practice determined under section 27B of that Act.</w:t>
      </w:r>
    </w:p>
    <w:p w14:paraId="6068E994" w14:textId="77777777" w:rsidR="00F818BB" w:rsidRPr="00444F69" w:rsidRDefault="00EC4074" w:rsidP="00963EF3">
      <w:pPr>
        <w:pStyle w:val="BodyText1"/>
        <w:spacing w:before="120" w:line="240" w:lineRule="auto"/>
        <w:ind w:left="954" w:hanging="324"/>
        <w:rPr>
          <w:sz w:val="22"/>
        </w:rPr>
      </w:pPr>
      <w:r>
        <w:rPr>
          <w:rStyle w:val="Bodytext11pt"/>
        </w:rPr>
        <w:t xml:space="preserve">(2) </w:t>
      </w:r>
      <w:r w:rsidR="00440A6B" w:rsidRPr="00444F69">
        <w:rPr>
          <w:rStyle w:val="Bodytext11pt"/>
        </w:rPr>
        <w:t xml:space="preserve">Despite subsection 43(6) of the </w:t>
      </w:r>
      <w:r w:rsidR="00440A6B" w:rsidRPr="008E74A0">
        <w:rPr>
          <w:rStyle w:val="Bodytext11pt0"/>
        </w:rPr>
        <w:t>Administrative Appeals Tribunal Act 1975</w:t>
      </w:r>
      <w:r w:rsidR="00440A6B" w:rsidRPr="008E74A0">
        <w:rPr>
          <w:rStyle w:val="Bodytext11pt"/>
        </w:rPr>
        <w:t>,</w:t>
      </w:r>
      <w:r w:rsidR="00440A6B" w:rsidRPr="00444F69">
        <w:rPr>
          <w:rStyle w:val="Bodytext11pt"/>
        </w:rPr>
        <w:t xml:space="preserve"> the Tribunal’s </w:t>
      </w:r>
      <w:r w:rsidR="00440A6B" w:rsidRPr="00963EF3">
        <w:rPr>
          <w:rStyle w:val="Bodytext11pt1"/>
        </w:rPr>
        <w:t>decision</w:t>
      </w:r>
      <w:r w:rsidR="00440A6B" w:rsidRPr="00444F69">
        <w:rPr>
          <w:rStyle w:val="Bodytext11pt"/>
        </w:rPr>
        <w:t xml:space="preserve"> has effect on and from the day on which it is made.</w:t>
      </w:r>
    </w:p>
    <w:p w14:paraId="33D5ADCE" w14:textId="77777777" w:rsidR="00F818BB" w:rsidRPr="00EC4074" w:rsidRDefault="00440A6B" w:rsidP="00EE4BCF">
      <w:pPr>
        <w:spacing w:before="120"/>
        <w:rPr>
          <w:rFonts w:ascii="Times New Roman" w:hAnsi="Times New Roman" w:cs="Times New Roman"/>
          <w:b/>
          <w:sz w:val="22"/>
          <w:szCs w:val="22"/>
        </w:rPr>
      </w:pPr>
      <w:bookmarkStart w:id="23" w:name="bookmark24"/>
      <w:r w:rsidRPr="00EC4074">
        <w:rPr>
          <w:rFonts w:ascii="Times New Roman" w:hAnsi="Times New Roman" w:cs="Times New Roman"/>
          <w:b/>
          <w:sz w:val="22"/>
          <w:szCs w:val="22"/>
        </w:rPr>
        <w:t>33H Refunds from advance payments</w:t>
      </w:r>
      <w:bookmarkEnd w:id="23"/>
    </w:p>
    <w:p w14:paraId="277985EA" w14:textId="77777777" w:rsidR="00F818BB" w:rsidRPr="00444F69" w:rsidRDefault="00EC4074" w:rsidP="00963EF3">
      <w:pPr>
        <w:pStyle w:val="BodyText1"/>
        <w:spacing w:before="120" w:line="240" w:lineRule="auto"/>
        <w:ind w:left="954" w:hanging="324"/>
        <w:rPr>
          <w:sz w:val="22"/>
        </w:rPr>
      </w:pPr>
      <w:r>
        <w:rPr>
          <w:rStyle w:val="Bodytext11pt"/>
        </w:rPr>
        <w:t xml:space="preserve">(1) </w:t>
      </w:r>
      <w:r w:rsidR="00440A6B" w:rsidRPr="00444F69">
        <w:rPr>
          <w:rStyle w:val="Bodytext11pt"/>
        </w:rPr>
        <w:t xml:space="preserve">If the amount </w:t>
      </w:r>
      <w:r w:rsidR="00440A6B" w:rsidRPr="00963EF3">
        <w:rPr>
          <w:rStyle w:val="Bodytext11pt1"/>
        </w:rPr>
        <w:t>specified</w:t>
      </w:r>
      <w:r w:rsidR="00440A6B" w:rsidRPr="00444F69">
        <w:rPr>
          <w:rStyle w:val="Bodytext11pt"/>
        </w:rPr>
        <w:t xml:space="preserve"> in the notice under section 33C is less than the amount of the advance payment, the difference is payable by the Commonwealth to the compensable person.</w:t>
      </w:r>
    </w:p>
    <w:p w14:paraId="7C131FD2" w14:textId="77777777" w:rsidR="00F818BB" w:rsidRPr="00444F69" w:rsidRDefault="00EC4074" w:rsidP="00963EF3">
      <w:pPr>
        <w:pStyle w:val="BodyText1"/>
        <w:spacing w:before="120" w:line="240" w:lineRule="auto"/>
        <w:ind w:left="954" w:hanging="324"/>
        <w:rPr>
          <w:sz w:val="22"/>
        </w:rPr>
      </w:pPr>
      <w:r>
        <w:rPr>
          <w:rStyle w:val="Bodytext11pt"/>
        </w:rPr>
        <w:t xml:space="preserve">(2) </w:t>
      </w:r>
      <w:r w:rsidR="00440A6B" w:rsidRPr="00444F69">
        <w:rPr>
          <w:rStyle w:val="Bodytext11pt"/>
        </w:rPr>
        <w:t xml:space="preserve">The difference is payable on the last day on which the Commission is required under section 33D to give the </w:t>
      </w:r>
      <w:r w:rsidR="00440A6B" w:rsidRPr="00963EF3">
        <w:rPr>
          <w:rStyle w:val="Bodytext11pt1"/>
        </w:rPr>
        <w:t>notice</w:t>
      </w:r>
      <w:r w:rsidR="00440A6B" w:rsidRPr="00444F69">
        <w:rPr>
          <w:rStyle w:val="Bodytext11pt"/>
        </w:rPr>
        <w:t xml:space="preserve"> to the compensable person.</w:t>
      </w:r>
    </w:p>
    <w:p w14:paraId="04B8B5E0" w14:textId="77777777" w:rsidR="00F818BB" w:rsidRPr="00963EF3" w:rsidRDefault="00EC4074" w:rsidP="00EE4BCF">
      <w:pPr>
        <w:pStyle w:val="BodyText1"/>
        <w:spacing w:before="120" w:line="240" w:lineRule="auto"/>
        <w:ind w:left="630" w:firstLine="0"/>
        <w:rPr>
          <w:sz w:val="22"/>
        </w:rPr>
      </w:pPr>
      <w:r w:rsidRPr="00963EF3">
        <w:rPr>
          <w:rStyle w:val="Bodytext11pt"/>
        </w:rPr>
        <w:t xml:space="preserve">(3) </w:t>
      </w:r>
      <w:r w:rsidR="00440A6B" w:rsidRPr="00963EF3">
        <w:rPr>
          <w:rStyle w:val="Bodytext11pt"/>
        </w:rPr>
        <w:t>An amount payable under this section is recoverable as a debt due to the compensable person.</w:t>
      </w:r>
    </w:p>
    <w:p w14:paraId="3D260C25" w14:textId="77777777" w:rsidR="00F818BB" w:rsidRPr="00EC4074" w:rsidRDefault="00440A6B" w:rsidP="00EE4BCF">
      <w:pPr>
        <w:spacing w:before="120"/>
        <w:rPr>
          <w:rFonts w:ascii="Times New Roman" w:hAnsi="Times New Roman" w:cs="Times New Roman"/>
          <w:b/>
          <w:sz w:val="22"/>
          <w:szCs w:val="22"/>
        </w:rPr>
      </w:pPr>
      <w:bookmarkStart w:id="24" w:name="bookmark25"/>
      <w:r w:rsidRPr="00EC4074">
        <w:rPr>
          <w:rFonts w:ascii="Times New Roman" w:hAnsi="Times New Roman" w:cs="Times New Roman"/>
          <w:b/>
          <w:sz w:val="22"/>
          <w:szCs w:val="22"/>
        </w:rPr>
        <w:t>33J Additional payments to the Commonwealth</w:t>
      </w:r>
      <w:bookmarkEnd w:id="24"/>
    </w:p>
    <w:p w14:paraId="77ACC300" w14:textId="77777777" w:rsidR="00F818BB" w:rsidRPr="00444F69" w:rsidRDefault="00EC4074" w:rsidP="00963EF3">
      <w:pPr>
        <w:pStyle w:val="BodyText1"/>
        <w:spacing w:before="120" w:line="240" w:lineRule="auto"/>
        <w:ind w:left="954" w:hanging="324"/>
        <w:rPr>
          <w:sz w:val="22"/>
        </w:rPr>
      </w:pPr>
      <w:r>
        <w:rPr>
          <w:rStyle w:val="Bodytext11pt"/>
        </w:rPr>
        <w:t xml:space="preserve">(1) </w:t>
      </w:r>
      <w:r w:rsidR="00440A6B" w:rsidRPr="00444F69">
        <w:rPr>
          <w:rStyle w:val="Bodytext11pt"/>
        </w:rPr>
        <w:t>If the amount specified in the notice under section 33C is greater than the amount of the advance payment, the difference is payable by the compensable person to the Commonwealth.</w:t>
      </w:r>
    </w:p>
    <w:p w14:paraId="39C1D5DB" w14:textId="77777777" w:rsidR="00F818BB" w:rsidRPr="00444F69" w:rsidRDefault="00EC4074" w:rsidP="00963EF3">
      <w:pPr>
        <w:pStyle w:val="BodyText1"/>
        <w:spacing w:before="120" w:line="240" w:lineRule="auto"/>
        <w:ind w:left="954" w:hanging="324"/>
        <w:rPr>
          <w:sz w:val="22"/>
        </w:rPr>
      </w:pPr>
      <w:r>
        <w:rPr>
          <w:rStyle w:val="Bodytext11pt"/>
        </w:rPr>
        <w:t xml:space="preserve">(2) </w:t>
      </w:r>
      <w:r w:rsidR="00440A6B" w:rsidRPr="00444F69">
        <w:rPr>
          <w:rStyle w:val="Bodytext11pt"/>
        </w:rPr>
        <w:t>The difference is payable 28 days after the day on which the notice was given to the compensable person.</w:t>
      </w:r>
    </w:p>
    <w:p w14:paraId="5C35F9F7" w14:textId="77777777" w:rsidR="00F818BB" w:rsidRPr="00444F69" w:rsidRDefault="00EC4074" w:rsidP="00963EF3">
      <w:pPr>
        <w:pStyle w:val="BodyText1"/>
        <w:spacing w:before="120" w:line="240" w:lineRule="auto"/>
        <w:ind w:left="954" w:hanging="324"/>
        <w:rPr>
          <w:sz w:val="22"/>
        </w:rPr>
      </w:pPr>
      <w:r>
        <w:rPr>
          <w:rStyle w:val="Bodytext11pt"/>
        </w:rPr>
        <w:t xml:space="preserve">(3) </w:t>
      </w:r>
      <w:r w:rsidR="00440A6B" w:rsidRPr="00444F69">
        <w:rPr>
          <w:rStyle w:val="Bodytext11pt"/>
        </w:rPr>
        <w:t>The notice must specify:</w:t>
      </w:r>
    </w:p>
    <w:p w14:paraId="1DC3568B" w14:textId="77777777" w:rsidR="00F818BB" w:rsidRPr="00444F69" w:rsidRDefault="00EC4074" w:rsidP="00EE4BCF">
      <w:pPr>
        <w:pStyle w:val="BodyText1"/>
        <w:spacing w:before="120" w:line="240" w:lineRule="auto"/>
        <w:ind w:left="1350" w:firstLine="0"/>
        <w:rPr>
          <w:sz w:val="22"/>
        </w:rPr>
      </w:pPr>
      <w:r>
        <w:rPr>
          <w:rStyle w:val="Bodytext11pt"/>
        </w:rPr>
        <w:t xml:space="preserve">(a) </w:t>
      </w:r>
      <w:r w:rsidR="00440A6B" w:rsidRPr="00444F69">
        <w:rPr>
          <w:rStyle w:val="Bodytext11pt"/>
        </w:rPr>
        <w:t>the amount that is payable to the Commonwealth; and</w:t>
      </w:r>
    </w:p>
    <w:p w14:paraId="69DBD5DB" w14:textId="77777777" w:rsidR="00F818BB" w:rsidRPr="00444F69" w:rsidRDefault="00EC4074" w:rsidP="00EE4BCF">
      <w:pPr>
        <w:pStyle w:val="BodyText1"/>
        <w:spacing w:before="120" w:line="240" w:lineRule="auto"/>
        <w:ind w:left="1350" w:firstLine="0"/>
        <w:rPr>
          <w:sz w:val="22"/>
        </w:rPr>
      </w:pPr>
      <w:r>
        <w:rPr>
          <w:rStyle w:val="Bodytext11pt"/>
        </w:rPr>
        <w:t xml:space="preserve">(b) </w:t>
      </w:r>
      <w:r w:rsidR="00440A6B" w:rsidRPr="00444F69">
        <w:rPr>
          <w:rStyle w:val="Bodytext11pt"/>
        </w:rPr>
        <w:t>the day by which it must be paid.</w:t>
      </w:r>
    </w:p>
    <w:p w14:paraId="31A817B7" w14:textId="77777777" w:rsidR="00EC4074" w:rsidRDefault="00EC4074" w:rsidP="00963EF3">
      <w:pPr>
        <w:pStyle w:val="BodyText1"/>
        <w:spacing w:before="120" w:line="240" w:lineRule="auto"/>
        <w:ind w:left="954" w:hanging="324"/>
        <w:rPr>
          <w:rStyle w:val="Bodytext11pt"/>
        </w:rPr>
      </w:pPr>
      <w:r>
        <w:rPr>
          <w:rStyle w:val="Bodytext11pt"/>
        </w:rPr>
        <w:t xml:space="preserve">(4) </w:t>
      </w:r>
      <w:r w:rsidR="00440A6B" w:rsidRPr="00444F69">
        <w:rPr>
          <w:rStyle w:val="Bodytext11pt"/>
        </w:rPr>
        <w:t>An amount payable under this section is recoverable as a debt due to the Commonwealth.</w:t>
      </w:r>
    </w:p>
    <w:p w14:paraId="18A28333" w14:textId="77777777" w:rsidR="0004071F" w:rsidRDefault="0004071F" w:rsidP="00EE4BCF">
      <w:pPr>
        <w:rPr>
          <w:rStyle w:val="Bodytext11pt"/>
          <w:rFonts w:eastAsia="Courier New"/>
        </w:rPr>
        <w:sectPr w:rsidR="0004071F" w:rsidSect="0004071F">
          <w:pgSz w:w="12240" w:h="15840" w:code="1"/>
          <w:pgMar w:top="1440" w:right="1440" w:bottom="1440" w:left="1440" w:header="630" w:footer="825" w:gutter="0"/>
          <w:cols w:space="720"/>
          <w:noEndnote/>
          <w:docGrid w:linePitch="360"/>
        </w:sectPr>
      </w:pPr>
    </w:p>
    <w:p w14:paraId="2D900C74" w14:textId="77777777" w:rsidR="00F818BB" w:rsidRPr="00EC4074" w:rsidRDefault="00440A6B" w:rsidP="00EE4BCF">
      <w:pPr>
        <w:spacing w:before="120"/>
        <w:rPr>
          <w:rFonts w:ascii="Times New Roman" w:hAnsi="Times New Roman" w:cs="Times New Roman"/>
          <w:b/>
          <w:sz w:val="22"/>
          <w:szCs w:val="22"/>
        </w:rPr>
      </w:pPr>
      <w:bookmarkStart w:id="25" w:name="bookmark26"/>
      <w:r w:rsidRPr="00EC4074">
        <w:rPr>
          <w:rFonts w:ascii="Times New Roman" w:hAnsi="Times New Roman" w:cs="Times New Roman"/>
          <w:b/>
          <w:sz w:val="22"/>
          <w:szCs w:val="22"/>
        </w:rPr>
        <w:lastRenderedPageBreak/>
        <w:t>33K Payment of the whole of the advance payment</w:t>
      </w:r>
      <w:bookmarkEnd w:id="25"/>
    </w:p>
    <w:p w14:paraId="0A3A7837" w14:textId="77777777" w:rsidR="00F818BB" w:rsidRPr="00444F69" w:rsidRDefault="00EC4074" w:rsidP="00963EF3">
      <w:pPr>
        <w:pStyle w:val="BodyText1"/>
        <w:spacing w:before="120" w:line="240" w:lineRule="auto"/>
        <w:ind w:left="954" w:hanging="324"/>
        <w:rPr>
          <w:sz w:val="22"/>
        </w:rPr>
      </w:pPr>
      <w:r>
        <w:rPr>
          <w:rStyle w:val="Bodytext11pt"/>
        </w:rPr>
        <w:t xml:space="preserve">(1) </w:t>
      </w:r>
      <w:r w:rsidR="00440A6B" w:rsidRPr="00444F69">
        <w:rPr>
          <w:rStyle w:val="Bodytext11pt"/>
        </w:rPr>
        <w:t>If the Commission does not give a notice under section 33C to the compensable person on or before the day on which the Commission is required to do so, the whole of the advance payment is payable by the Commonwealth to the compensable person on that day.</w:t>
      </w:r>
    </w:p>
    <w:p w14:paraId="002280B2" w14:textId="77777777" w:rsidR="00F818BB" w:rsidRPr="00444F69" w:rsidRDefault="00EC4074" w:rsidP="00963EF3">
      <w:pPr>
        <w:pStyle w:val="BodyText1"/>
        <w:spacing w:before="120" w:line="240" w:lineRule="auto"/>
        <w:ind w:left="954" w:hanging="324"/>
        <w:rPr>
          <w:sz w:val="22"/>
        </w:rPr>
      </w:pPr>
      <w:r>
        <w:rPr>
          <w:rStyle w:val="Bodytext11pt"/>
        </w:rPr>
        <w:t xml:space="preserve">(2) </w:t>
      </w:r>
      <w:r w:rsidR="00440A6B" w:rsidRPr="00444F69">
        <w:rPr>
          <w:rStyle w:val="Bodytext11pt"/>
        </w:rPr>
        <w:t xml:space="preserve">The payment of the whole of the advance payment operates as a discharge of the compensable person’s </w:t>
      </w:r>
      <w:r w:rsidR="00440A6B" w:rsidRPr="00963EF3">
        <w:rPr>
          <w:rStyle w:val="Bodytext11pt1"/>
        </w:rPr>
        <w:t>liability</w:t>
      </w:r>
      <w:r w:rsidR="00440A6B" w:rsidRPr="00444F69">
        <w:rPr>
          <w:rStyle w:val="Bodytext11pt"/>
        </w:rPr>
        <w:t xml:space="preserve"> to pay to the Commonwealth amounts payable under this Act or the Charges Act in </w:t>
      </w:r>
      <w:r w:rsidR="00440A6B" w:rsidRPr="00744747">
        <w:rPr>
          <w:rStyle w:val="Bodytext11pt1"/>
        </w:rPr>
        <w:t>respect</w:t>
      </w:r>
      <w:r w:rsidR="00440A6B" w:rsidRPr="00444F69">
        <w:rPr>
          <w:rStyle w:val="Bodytext11pt"/>
        </w:rPr>
        <w:t xml:space="preserve"> of the compensation payable under the judgment or settlement in question.</w:t>
      </w:r>
    </w:p>
    <w:p w14:paraId="46AFCE4F" w14:textId="77777777" w:rsidR="00F818BB" w:rsidRPr="00EC4074" w:rsidRDefault="00440A6B" w:rsidP="00EE4BCF">
      <w:pPr>
        <w:spacing w:before="120"/>
        <w:rPr>
          <w:rFonts w:ascii="Times New Roman" w:hAnsi="Times New Roman" w:cs="Times New Roman"/>
          <w:b/>
          <w:sz w:val="22"/>
          <w:szCs w:val="22"/>
        </w:rPr>
      </w:pPr>
      <w:bookmarkStart w:id="26" w:name="bookmark27"/>
      <w:r w:rsidRPr="00EC4074">
        <w:rPr>
          <w:rFonts w:ascii="Times New Roman" w:hAnsi="Times New Roman" w:cs="Times New Roman"/>
          <w:b/>
          <w:sz w:val="22"/>
          <w:szCs w:val="22"/>
        </w:rPr>
        <w:t>33L Advance payments to the Commonwealth discharge liability</w:t>
      </w:r>
      <w:bookmarkEnd w:id="26"/>
    </w:p>
    <w:p w14:paraId="618A7587" w14:textId="77777777" w:rsidR="00F818BB" w:rsidRPr="00444F69" w:rsidRDefault="00440A6B" w:rsidP="00963EF3">
      <w:pPr>
        <w:pStyle w:val="BodyText1"/>
        <w:spacing w:before="120" w:line="240" w:lineRule="auto"/>
        <w:ind w:left="990" w:firstLine="0"/>
        <w:rPr>
          <w:sz w:val="22"/>
        </w:rPr>
      </w:pPr>
      <w:r w:rsidRPr="00A05343">
        <w:rPr>
          <w:rStyle w:val="Bodytext11pt"/>
        </w:rPr>
        <w:t>The making of an advance payment by a compensation payer or insurer to the Commonwealth of the amount of compensation payable under a judgment or settlement operates, to the extent of the payment, as a discharge of:</w:t>
      </w:r>
    </w:p>
    <w:p w14:paraId="17CBB98D" w14:textId="77777777" w:rsidR="00F818BB" w:rsidRPr="00444F69" w:rsidRDefault="00EC4074" w:rsidP="00963EF3">
      <w:pPr>
        <w:pStyle w:val="BodyText1"/>
        <w:spacing w:before="120" w:line="240" w:lineRule="auto"/>
        <w:ind w:left="1476" w:hanging="306"/>
        <w:rPr>
          <w:sz w:val="22"/>
        </w:rPr>
      </w:pPr>
      <w:r>
        <w:rPr>
          <w:rStyle w:val="Bodytext11pt"/>
        </w:rPr>
        <w:t xml:space="preserve">(a) </w:t>
      </w:r>
      <w:r w:rsidR="00440A6B" w:rsidRPr="00444F69">
        <w:rPr>
          <w:rStyle w:val="Bodytext11pt"/>
        </w:rPr>
        <w:t xml:space="preserve">the </w:t>
      </w:r>
      <w:r w:rsidR="00440A6B" w:rsidRPr="00963EF3">
        <w:rPr>
          <w:rStyle w:val="Bodytext11pt1"/>
        </w:rPr>
        <w:t>compensation</w:t>
      </w:r>
      <w:r w:rsidR="00440A6B" w:rsidRPr="00444F69">
        <w:rPr>
          <w:rStyle w:val="Bodytext11pt"/>
        </w:rPr>
        <w:t xml:space="preserve"> payer’s or insurer’s liability to the compensable person in respect of the amount of compensation; and</w:t>
      </w:r>
    </w:p>
    <w:p w14:paraId="7D9A1336" w14:textId="77777777" w:rsidR="00F818BB" w:rsidRPr="00444F69" w:rsidRDefault="00EC4074" w:rsidP="00963EF3">
      <w:pPr>
        <w:pStyle w:val="BodyText1"/>
        <w:spacing w:before="120" w:line="240" w:lineRule="auto"/>
        <w:ind w:left="1476" w:hanging="306"/>
        <w:rPr>
          <w:sz w:val="22"/>
        </w:rPr>
      </w:pPr>
      <w:r>
        <w:rPr>
          <w:rStyle w:val="Bodytext11pt"/>
        </w:rPr>
        <w:t xml:space="preserve">(b) </w:t>
      </w:r>
      <w:r w:rsidR="00440A6B" w:rsidRPr="00444F69">
        <w:rPr>
          <w:rStyle w:val="Bodytext11pt"/>
        </w:rPr>
        <w:t xml:space="preserve">the compensable person’s liability to pay to the Commonwealth amounts payable under this Act or </w:t>
      </w:r>
      <w:r w:rsidR="00440A6B" w:rsidRPr="00963EF3">
        <w:rPr>
          <w:rStyle w:val="Bodytext11pt1"/>
        </w:rPr>
        <w:t>the</w:t>
      </w:r>
      <w:r w:rsidR="00440A6B" w:rsidRPr="00444F69">
        <w:rPr>
          <w:rStyle w:val="Bodytext11pt"/>
        </w:rPr>
        <w:t xml:space="preserve"> Charges Act in respect of the amount of compensation.</w:t>
      </w:r>
    </w:p>
    <w:p w14:paraId="1ADFF947" w14:textId="77777777" w:rsidR="00F818BB" w:rsidRPr="00EC4074" w:rsidRDefault="00440A6B" w:rsidP="00EE4BCF">
      <w:pPr>
        <w:spacing w:before="120"/>
        <w:rPr>
          <w:rFonts w:ascii="Times New Roman" w:hAnsi="Times New Roman" w:cs="Times New Roman"/>
          <w:b/>
          <w:sz w:val="22"/>
          <w:szCs w:val="22"/>
        </w:rPr>
      </w:pPr>
      <w:bookmarkStart w:id="27" w:name="bookmark28"/>
      <w:r w:rsidRPr="00EC4074">
        <w:rPr>
          <w:rFonts w:ascii="Times New Roman" w:hAnsi="Times New Roman" w:cs="Times New Roman"/>
          <w:b/>
          <w:sz w:val="22"/>
          <w:szCs w:val="22"/>
        </w:rPr>
        <w:t>33M Interest not payable on advance payments</w:t>
      </w:r>
      <w:bookmarkEnd w:id="27"/>
    </w:p>
    <w:p w14:paraId="1D6AD99C" w14:textId="77777777" w:rsidR="00F818BB" w:rsidRPr="00444F69" w:rsidRDefault="00EC4074" w:rsidP="00744747">
      <w:pPr>
        <w:pStyle w:val="BodyText1"/>
        <w:spacing w:before="120" w:line="240" w:lineRule="auto"/>
        <w:ind w:left="954" w:hanging="324"/>
        <w:rPr>
          <w:sz w:val="22"/>
        </w:rPr>
      </w:pPr>
      <w:bookmarkStart w:id="28" w:name="bookmark29"/>
      <w:r>
        <w:rPr>
          <w:rStyle w:val="Bodytext11pt"/>
        </w:rPr>
        <w:t xml:space="preserve">(1) </w:t>
      </w:r>
      <w:r w:rsidR="00440A6B" w:rsidRPr="00444F69">
        <w:rPr>
          <w:rStyle w:val="Bodytext911pt"/>
        </w:rPr>
        <w:t>If:</w:t>
      </w:r>
      <w:bookmarkEnd w:id="28"/>
    </w:p>
    <w:p w14:paraId="272AEDB8" w14:textId="77777777" w:rsidR="00F818BB" w:rsidRPr="00444F69" w:rsidRDefault="00EC4074" w:rsidP="00744747">
      <w:pPr>
        <w:pStyle w:val="BodyText1"/>
        <w:spacing w:before="120" w:line="240" w:lineRule="auto"/>
        <w:ind w:left="1476" w:hanging="306"/>
        <w:rPr>
          <w:sz w:val="22"/>
        </w:rPr>
      </w:pPr>
      <w:r>
        <w:rPr>
          <w:rStyle w:val="Bodytext11pt"/>
        </w:rPr>
        <w:t xml:space="preserve">(a) </w:t>
      </w:r>
      <w:r w:rsidR="00440A6B" w:rsidRPr="00444F69">
        <w:rPr>
          <w:rStyle w:val="Bodytext11pt1"/>
        </w:rPr>
        <w:t>a compensation payer or insurer makes an advance payment to the Commonwealth of the amount of compensation payable under a judgment or settlement; and</w:t>
      </w:r>
    </w:p>
    <w:p w14:paraId="34EE8097" w14:textId="77777777" w:rsidR="00F818BB" w:rsidRPr="00444F69" w:rsidRDefault="00EC4074" w:rsidP="00744747">
      <w:pPr>
        <w:pStyle w:val="BodyText1"/>
        <w:spacing w:before="120" w:line="240" w:lineRule="auto"/>
        <w:ind w:left="1476" w:hanging="306"/>
        <w:rPr>
          <w:sz w:val="22"/>
        </w:rPr>
      </w:pPr>
      <w:r>
        <w:rPr>
          <w:rStyle w:val="Bodytext11pt"/>
        </w:rPr>
        <w:t xml:space="preserve">(b) </w:t>
      </w:r>
      <w:r w:rsidR="00440A6B" w:rsidRPr="00444F69">
        <w:rPr>
          <w:rStyle w:val="Bodytext11pt1"/>
        </w:rPr>
        <w:t>an Australian law would, apart from this section, make the Commonwealth liable to pay interest on the advance payment, because the advance payment has been retained by the Commonwealth after the judgment or settlement has been made;</w:t>
      </w:r>
    </w:p>
    <w:p w14:paraId="3CC7E50A" w14:textId="77777777" w:rsidR="00F818BB" w:rsidRPr="00444F69" w:rsidRDefault="00440A6B" w:rsidP="00744747">
      <w:pPr>
        <w:pStyle w:val="BodyText1"/>
        <w:spacing w:before="120" w:line="240" w:lineRule="auto"/>
        <w:ind w:left="900" w:firstLine="45"/>
        <w:rPr>
          <w:sz w:val="22"/>
        </w:rPr>
      </w:pPr>
      <w:r w:rsidRPr="00444F69">
        <w:rPr>
          <w:rStyle w:val="Bodytext11pt1"/>
        </w:rPr>
        <w:t>despite that law, the Commonwealth is not liable to pay that interest.</w:t>
      </w:r>
    </w:p>
    <w:p w14:paraId="5BAA95B6" w14:textId="77777777" w:rsidR="00EC4074" w:rsidRDefault="00EC4074" w:rsidP="00744747">
      <w:pPr>
        <w:pStyle w:val="BodyText1"/>
        <w:spacing w:before="120" w:line="240" w:lineRule="auto"/>
        <w:ind w:left="954" w:hanging="324"/>
        <w:rPr>
          <w:rStyle w:val="Bodytext11pt1"/>
        </w:rPr>
      </w:pPr>
      <w:r>
        <w:rPr>
          <w:rStyle w:val="Bodytext11pt"/>
        </w:rPr>
        <w:t xml:space="preserve">(2) </w:t>
      </w:r>
      <w:r w:rsidR="00440A6B" w:rsidRPr="00444F69">
        <w:rPr>
          <w:rStyle w:val="Bodytext11pt1"/>
        </w:rPr>
        <w:t>If the Commonwealth is required to make a payment under section 33H or 33K, subsection (1) does not apply after the expiry of the period within which the payment must be made.</w:t>
      </w:r>
    </w:p>
    <w:p w14:paraId="3A3E423B" w14:textId="77777777" w:rsidR="0004071F" w:rsidRDefault="0004071F" w:rsidP="00744747">
      <w:pPr>
        <w:pStyle w:val="BodyText1"/>
        <w:spacing w:before="120" w:line="240" w:lineRule="auto"/>
        <w:ind w:left="954" w:hanging="324"/>
        <w:rPr>
          <w:rStyle w:val="Bodytext11pt1"/>
          <w:rFonts w:eastAsia="Courier New"/>
        </w:rPr>
        <w:sectPr w:rsidR="0004071F" w:rsidSect="0004071F">
          <w:pgSz w:w="12240" w:h="15840" w:code="1"/>
          <w:pgMar w:top="1440" w:right="1440" w:bottom="1440" w:left="1440" w:header="720" w:footer="555" w:gutter="0"/>
          <w:cols w:space="720"/>
          <w:noEndnote/>
          <w:docGrid w:linePitch="360"/>
        </w:sectPr>
      </w:pPr>
    </w:p>
    <w:p w14:paraId="017FA67B" w14:textId="77777777" w:rsidR="00EE4BCF" w:rsidRPr="00A05343" w:rsidRDefault="00EC4074" w:rsidP="00744747">
      <w:pPr>
        <w:pStyle w:val="BodyText1"/>
        <w:spacing w:before="120" w:line="240" w:lineRule="auto"/>
        <w:ind w:left="954" w:hanging="324"/>
        <w:rPr>
          <w:rStyle w:val="Bodytext11pt"/>
          <w:rFonts w:eastAsia="Courier New"/>
        </w:rPr>
      </w:pPr>
      <w:r w:rsidRPr="00A05343">
        <w:rPr>
          <w:rStyle w:val="Bodytext11pt"/>
          <w:rFonts w:eastAsia="Courier New"/>
        </w:rPr>
        <w:lastRenderedPageBreak/>
        <w:t xml:space="preserve">(3) </w:t>
      </w:r>
      <w:r w:rsidR="00440A6B" w:rsidRPr="00A05343">
        <w:rPr>
          <w:rStyle w:val="Bodytext11pt"/>
          <w:rFonts w:eastAsia="Courier New"/>
        </w:rPr>
        <w:t>If:</w:t>
      </w:r>
    </w:p>
    <w:p w14:paraId="19227662" w14:textId="77777777" w:rsidR="00F818BB" w:rsidRPr="00A05343" w:rsidRDefault="00EC4074" w:rsidP="00744747">
      <w:pPr>
        <w:spacing w:before="120"/>
        <w:ind w:left="1386" w:hanging="306"/>
        <w:rPr>
          <w:sz w:val="22"/>
        </w:rPr>
      </w:pPr>
      <w:r w:rsidRPr="00A05343">
        <w:rPr>
          <w:rStyle w:val="Bodytext11pt"/>
          <w:rFonts w:eastAsia="Courier New"/>
        </w:rPr>
        <w:t xml:space="preserve">(a) </w:t>
      </w:r>
      <w:r w:rsidR="00440A6B" w:rsidRPr="00A05343">
        <w:rPr>
          <w:rStyle w:val="Bodytext11pt"/>
          <w:rFonts w:eastAsia="Courier New"/>
        </w:rPr>
        <w:t>a compensation payer or insurer makes an advance payment to the Commonwealth of the amount of compensation payable under a judgment or settlement; and</w:t>
      </w:r>
    </w:p>
    <w:p w14:paraId="5A243BD5" w14:textId="77777777" w:rsidR="00F818BB" w:rsidRPr="00A05343" w:rsidRDefault="00EC4074" w:rsidP="00744747">
      <w:pPr>
        <w:spacing w:before="120"/>
        <w:ind w:left="1386" w:hanging="306"/>
        <w:rPr>
          <w:sz w:val="22"/>
        </w:rPr>
      </w:pPr>
      <w:r w:rsidRPr="00A05343">
        <w:rPr>
          <w:rStyle w:val="Bodytext11pt"/>
          <w:rFonts w:eastAsia="Courier New"/>
        </w:rPr>
        <w:t xml:space="preserve">(b) </w:t>
      </w:r>
      <w:r w:rsidR="00440A6B" w:rsidRPr="00A05343">
        <w:rPr>
          <w:rStyle w:val="Bodytext11pt"/>
          <w:rFonts w:eastAsia="Courier New"/>
        </w:rPr>
        <w:t>an Australian law would, apart from this section, make the compensation payer or insurer liable to pay interest on the advance payment, because the advance payment has not been paid to the compensable person after the judgment or settlement has been made;</w:t>
      </w:r>
    </w:p>
    <w:p w14:paraId="3B18427E" w14:textId="77777777" w:rsidR="00F818BB" w:rsidRPr="00444F69" w:rsidRDefault="00263A7A" w:rsidP="00744747">
      <w:pPr>
        <w:pStyle w:val="BodyText1"/>
        <w:spacing w:before="120" w:line="240" w:lineRule="auto"/>
        <w:ind w:left="360" w:firstLine="630"/>
        <w:rPr>
          <w:sz w:val="22"/>
        </w:rPr>
      </w:pPr>
      <w:r>
        <w:rPr>
          <w:i/>
          <w:noProof/>
          <w:sz w:val="22"/>
          <w:szCs w:val="22"/>
        </w:rPr>
        <w:pict w14:anchorId="4F737DAF">
          <v:shapetype id="_x0000_t32" coordsize="21600,21600" o:spt="32" o:oned="t" path="m,l21600,21600e" filled="f">
            <v:path arrowok="t" fillok="f" o:connecttype="none"/>
            <o:lock v:ext="edit" shapetype="t"/>
          </v:shapetype>
          <v:shape id="_x0000_s1028" type="#_x0000_t32" style="position:absolute;left:0;text-align:left;margin-left:-12pt;margin-top:21.6pt;width:490.5pt;height:0;z-index:251658240" o:connectortype="straight"/>
        </w:pict>
      </w:r>
      <w:r w:rsidR="00440A6B" w:rsidRPr="00A05343">
        <w:rPr>
          <w:rStyle w:val="Bodytext11pt"/>
        </w:rPr>
        <w:t xml:space="preserve">despite that law, the compensation payer or insurer is </w:t>
      </w:r>
      <w:r w:rsidR="00F86113">
        <w:rPr>
          <w:rStyle w:val="Bodytext11pt"/>
        </w:rPr>
        <w:t>not liable to pay that interest.</w:t>
      </w:r>
    </w:p>
    <w:p w14:paraId="2CBBB158" w14:textId="77777777" w:rsidR="00F818BB" w:rsidRPr="0075351A" w:rsidRDefault="00440A6B" w:rsidP="007F7F2C">
      <w:pPr>
        <w:pStyle w:val="Bodytext50"/>
        <w:spacing w:before="120" w:line="240" w:lineRule="auto"/>
        <w:jc w:val="left"/>
        <w:rPr>
          <w:i w:val="0"/>
        </w:rPr>
      </w:pPr>
      <w:r w:rsidRPr="0075351A">
        <w:rPr>
          <w:rStyle w:val="Bodytext511pt"/>
          <w:iCs/>
          <w:sz w:val="20"/>
        </w:rPr>
        <w:t>[</w:t>
      </w:r>
      <w:r w:rsidRPr="0075351A">
        <w:rPr>
          <w:rStyle w:val="Bodytext511pt"/>
          <w:i/>
          <w:iCs/>
          <w:sz w:val="20"/>
        </w:rPr>
        <w:t>Minister's second reading speech made in—</w:t>
      </w:r>
    </w:p>
    <w:p w14:paraId="378F4114" w14:textId="77777777" w:rsidR="0037035E" w:rsidRPr="0075351A" w:rsidRDefault="00440A6B" w:rsidP="0004071F">
      <w:pPr>
        <w:pStyle w:val="Bodytext50"/>
        <w:spacing w:line="240" w:lineRule="auto"/>
        <w:ind w:left="639"/>
        <w:jc w:val="left"/>
        <w:rPr>
          <w:rStyle w:val="Bodytext511pt"/>
          <w:i/>
          <w:iCs/>
          <w:sz w:val="20"/>
        </w:rPr>
      </w:pPr>
      <w:r w:rsidRPr="0075351A">
        <w:rPr>
          <w:rStyle w:val="Bodytext511pt"/>
          <w:i/>
          <w:iCs/>
          <w:sz w:val="20"/>
        </w:rPr>
        <w:t>Senate on 26 June 1996</w:t>
      </w:r>
      <w:r w:rsidR="0037035E" w:rsidRPr="0075351A">
        <w:rPr>
          <w:rStyle w:val="Bodytext511pt"/>
          <w:i/>
          <w:iCs/>
          <w:sz w:val="20"/>
        </w:rPr>
        <w:t xml:space="preserve"> </w:t>
      </w:r>
    </w:p>
    <w:p w14:paraId="0DC07A61" w14:textId="53972A52" w:rsidR="00F818BB" w:rsidRPr="00444F69" w:rsidRDefault="00440A6B" w:rsidP="0004071F">
      <w:pPr>
        <w:pStyle w:val="Bodytext50"/>
        <w:spacing w:line="240" w:lineRule="auto"/>
        <w:ind w:left="639"/>
        <w:jc w:val="left"/>
        <w:rPr>
          <w:i w:val="0"/>
          <w:sz w:val="22"/>
        </w:rPr>
      </w:pPr>
      <w:r w:rsidRPr="0075351A">
        <w:rPr>
          <w:rStyle w:val="Bodytext511pt"/>
          <w:i/>
          <w:iCs/>
          <w:sz w:val="20"/>
        </w:rPr>
        <w:t>House of Representatives on</w:t>
      </w:r>
      <w:r w:rsidRPr="0075351A">
        <w:rPr>
          <w:rStyle w:val="Bodytext511pt0"/>
          <w:i/>
          <w:sz w:val="20"/>
        </w:rPr>
        <w:t xml:space="preserve"> 22 </w:t>
      </w:r>
      <w:r w:rsidRPr="0075351A">
        <w:rPr>
          <w:rStyle w:val="Bodytext511pt"/>
          <w:i/>
          <w:iCs/>
          <w:sz w:val="20"/>
        </w:rPr>
        <w:t>August 1996</w:t>
      </w:r>
      <w:r w:rsidRPr="0075351A">
        <w:rPr>
          <w:rStyle w:val="Bodytext511pt"/>
          <w:iCs/>
          <w:sz w:val="20"/>
        </w:rPr>
        <w:t>]</w:t>
      </w:r>
    </w:p>
    <w:sectPr w:rsidR="00F818BB" w:rsidRPr="00444F69" w:rsidSect="0004071F">
      <w:pgSz w:w="12240" w:h="15840" w:code="1"/>
      <w:pgMar w:top="1440" w:right="1440" w:bottom="1440" w:left="1440" w:header="630" w:footer="555"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FD09DE" w15:done="0"/>
  <w15:commentEx w15:paraId="5349FCFD" w15:done="0"/>
  <w15:commentEx w15:paraId="7576738E" w15:done="0"/>
  <w15:commentEx w15:paraId="4D6E18F9" w15:done="0"/>
  <w15:commentEx w15:paraId="2E20AF6A" w15:done="0"/>
  <w15:commentEx w15:paraId="2DD74296" w15:done="0"/>
  <w15:commentEx w15:paraId="511E86CE" w15:done="0"/>
  <w15:commentEx w15:paraId="2F9AD392" w15:done="0"/>
  <w15:commentEx w15:paraId="6F2D0C1D" w15:done="0"/>
  <w15:commentEx w15:paraId="3D6BF47C" w15:done="0"/>
  <w15:commentEx w15:paraId="30FCE572" w15:done="0"/>
  <w15:commentEx w15:paraId="02D10132" w15:done="0"/>
  <w15:commentEx w15:paraId="0E3A78F0" w15:done="0"/>
  <w15:commentEx w15:paraId="016E501C" w15:done="0"/>
  <w15:commentEx w15:paraId="6DFC8EA0" w15:done="0"/>
  <w15:commentEx w15:paraId="2C4B096C" w15:done="0"/>
  <w15:commentEx w15:paraId="67A9D142" w15:done="0"/>
  <w15:commentEx w15:paraId="39371B85" w15:done="0"/>
  <w15:commentEx w15:paraId="25937CED" w15:done="0"/>
  <w15:commentEx w15:paraId="12E34EE3" w15:done="0"/>
  <w15:commentEx w15:paraId="0604FE4A" w15:done="0"/>
  <w15:commentEx w15:paraId="57A50F06" w15:done="0"/>
  <w15:commentEx w15:paraId="450E8540" w15:done="0"/>
  <w15:commentEx w15:paraId="33DC1F37" w15:done="0"/>
  <w15:commentEx w15:paraId="4A6D7745" w15:done="0"/>
  <w15:commentEx w15:paraId="377EFC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D09DE" w16cid:durableId="2145A6DC"/>
  <w16cid:commentId w16cid:paraId="5349FCFD" w16cid:durableId="2145A6EB"/>
  <w16cid:commentId w16cid:paraId="7576738E" w16cid:durableId="2145A6F8"/>
  <w16cid:commentId w16cid:paraId="4D6E18F9" w16cid:durableId="2145A70B"/>
  <w16cid:commentId w16cid:paraId="2E20AF6A" w16cid:durableId="2145A703"/>
  <w16cid:commentId w16cid:paraId="2DD74296" w16cid:durableId="2145A70F"/>
  <w16cid:commentId w16cid:paraId="511E86CE" w16cid:durableId="2145A725"/>
  <w16cid:commentId w16cid:paraId="2F9AD392" w16cid:durableId="2145A731"/>
  <w16cid:commentId w16cid:paraId="6F2D0C1D" w16cid:durableId="2145A743"/>
  <w16cid:commentId w16cid:paraId="3D6BF47C" w16cid:durableId="2145A74E"/>
  <w16cid:commentId w16cid:paraId="30FCE572" w16cid:durableId="2145A753"/>
  <w16cid:commentId w16cid:paraId="02D10132" w16cid:durableId="2145A762"/>
  <w16cid:commentId w16cid:paraId="0E3A78F0" w16cid:durableId="2145A759"/>
  <w16cid:commentId w16cid:paraId="016E501C" w16cid:durableId="2145A76C"/>
  <w16cid:commentId w16cid:paraId="6DFC8EA0" w16cid:durableId="2145A773"/>
  <w16cid:commentId w16cid:paraId="2C4B096C" w16cid:durableId="2145A777"/>
  <w16cid:commentId w16cid:paraId="67A9D142" w16cid:durableId="2145A782"/>
  <w16cid:commentId w16cid:paraId="39371B85" w16cid:durableId="2145A787"/>
  <w16cid:commentId w16cid:paraId="25937CED" w16cid:durableId="2145A78B"/>
  <w16cid:commentId w16cid:paraId="12E34EE3" w16cid:durableId="2145A791"/>
  <w16cid:commentId w16cid:paraId="0604FE4A" w16cid:durableId="2145A795"/>
  <w16cid:commentId w16cid:paraId="57A50F06" w16cid:durableId="2145A79F"/>
  <w16cid:commentId w16cid:paraId="450E8540" w16cid:durableId="2145A7A3"/>
  <w16cid:commentId w16cid:paraId="33DC1F37" w16cid:durableId="2145A7AA"/>
  <w16cid:commentId w16cid:paraId="4A6D7745" w16cid:durableId="2145A7C8"/>
  <w16cid:commentId w16cid:paraId="377EFC93" w16cid:durableId="2145A8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B9781" w14:textId="77777777" w:rsidR="00220978" w:rsidRDefault="00220978">
      <w:r>
        <w:separator/>
      </w:r>
    </w:p>
  </w:endnote>
  <w:endnote w:type="continuationSeparator" w:id="0">
    <w:p w14:paraId="792A7284" w14:textId="77777777" w:rsidR="00220978" w:rsidRDefault="0022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ADA5" w14:textId="77777777" w:rsidR="0006281F" w:rsidRPr="0004071F" w:rsidRDefault="00263A7A" w:rsidP="0004071F">
    <w:pPr>
      <w:pStyle w:val="Footer"/>
      <w:tabs>
        <w:tab w:val="clear" w:pos="4513"/>
        <w:tab w:val="clear" w:pos="9026"/>
        <w:tab w:val="left" w:pos="7920"/>
      </w:tabs>
      <w:ind w:left="450"/>
      <w:rPr>
        <w:rFonts w:ascii="Times New Roman" w:hAnsi="Times New Roman" w:cs="Times New Roman"/>
        <w:sz w:val="22"/>
        <w:szCs w:val="22"/>
      </w:rPr>
    </w:pPr>
    <w:r>
      <w:rPr>
        <w:rFonts w:ascii="Times New Roman" w:hAnsi="Times New Roman" w:cs="Times New Roman"/>
        <w:i/>
        <w:iCs/>
        <w:noProof/>
        <w:color w:val="auto"/>
        <w:sz w:val="22"/>
        <w:szCs w:val="22"/>
        <w:lang w:val="en-IN" w:eastAsia="en-IN"/>
      </w:rPr>
      <w:pict w14:anchorId="5A4F51B6">
        <v:shapetype id="_x0000_t32" coordsize="21600,21600" o:spt="32" o:oned="t" path="m,l21600,21600e" filled="f">
          <v:path arrowok="t" fillok="f" o:connecttype="none"/>
          <o:lock v:ext="edit" shapetype="t"/>
        </v:shapetype>
        <v:shape id="_x0000_s2050" type="#_x0000_t32" style="position:absolute;left:0;text-align:left;margin-left:-6pt;margin-top:-6.85pt;width:476.25pt;height:.75pt;z-index:251659264" o:connectortype="straight"/>
      </w:pict>
    </w:r>
    <w:r w:rsidR="0006281F" w:rsidRPr="0004071F">
      <w:rPr>
        <w:rFonts w:ascii="Times New Roman" w:hAnsi="Times New Roman" w:cs="Times New Roman"/>
        <w:i/>
        <w:iCs/>
        <w:color w:val="auto"/>
        <w:sz w:val="22"/>
        <w:szCs w:val="22"/>
        <w:lang w:val="en-IN"/>
      </w:rPr>
      <w:t xml:space="preserve">Health and Other Services (Compensation) Amendment Act </w:t>
    </w:r>
    <w:r w:rsidR="0006281F" w:rsidRPr="0004071F">
      <w:rPr>
        <w:rFonts w:ascii="Times New Roman" w:hAnsi="Times New Roman" w:cs="Times New Roman"/>
        <w:bCs/>
        <w:i/>
        <w:iCs/>
        <w:color w:val="auto"/>
        <w:sz w:val="22"/>
        <w:szCs w:val="22"/>
        <w:lang w:val="en-IN"/>
      </w:rPr>
      <w:t>1996</w:t>
    </w:r>
    <w:r w:rsidR="0006281F">
      <w:rPr>
        <w:rFonts w:ascii="Times New Roman" w:hAnsi="Times New Roman" w:cs="Times New Roman"/>
        <w:bCs/>
        <w:i/>
        <w:iCs/>
        <w:color w:val="auto"/>
        <w:sz w:val="22"/>
        <w:szCs w:val="22"/>
        <w:lang w:val="en-IN"/>
      </w:rPr>
      <w:tab/>
    </w:r>
    <w:r w:rsidR="0006281F" w:rsidRPr="0004071F">
      <w:rPr>
        <w:rFonts w:ascii="Times New Roman" w:hAnsi="Times New Roman" w:cs="Times New Roman"/>
        <w:bCs/>
        <w:i/>
        <w:iCs/>
        <w:color w:val="auto"/>
        <w:sz w:val="22"/>
        <w:szCs w:val="22"/>
        <w:lang w:val="en-IN"/>
      </w:rPr>
      <w:t>No. 33, 1996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7D27B" w14:textId="77777777" w:rsidR="0006281F" w:rsidRPr="0004071F" w:rsidRDefault="00263A7A" w:rsidP="0004071F">
    <w:pPr>
      <w:pStyle w:val="Footer"/>
      <w:tabs>
        <w:tab w:val="clear" w:pos="4513"/>
        <w:tab w:val="clear" w:pos="9026"/>
        <w:tab w:val="left" w:pos="1890"/>
      </w:tabs>
      <w:rPr>
        <w:rFonts w:ascii="Times New Roman" w:hAnsi="Times New Roman" w:cs="Times New Roman"/>
        <w:sz w:val="22"/>
        <w:szCs w:val="22"/>
      </w:rPr>
    </w:pPr>
    <w:r>
      <w:rPr>
        <w:rFonts w:ascii="Times New Roman" w:hAnsi="Times New Roman" w:cs="Times New Roman"/>
        <w:i/>
        <w:iCs/>
        <w:noProof/>
        <w:color w:val="auto"/>
        <w:sz w:val="22"/>
        <w:szCs w:val="22"/>
        <w:lang w:val="en-IN" w:eastAsia="en-IN"/>
      </w:rPr>
      <w:pict w14:anchorId="2FFE9EF1">
        <v:shapetype id="_x0000_t32" coordsize="21600,21600" o:spt="32" o:oned="t" path="m,l21600,21600e" filled="f">
          <v:path arrowok="t" fillok="f" o:connecttype="none"/>
          <o:lock v:ext="edit" shapetype="t"/>
        </v:shapetype>
        <v:shape id="_x0000_s2049" type="#_x0000_t32" style="position:absolute;margin-left:-2.25pt;margin-top:-5.35pt;width:468.75pt;height:0;z-index:251658240" o:connectortype="straight"/>
      </w:pict>
    </w:r>
    <w:r w:rsidR="0006281F" w:rsidRPr="0004071F">
      <w:rPr>
        <w:rFonts w:ascii="Times New Roman" w:hAnsi="Times New Roman" w:cs="Times New Roman"/>
        <w:i/>
        <w:iCs/>
        <w:color w:val="auto"/>
        <w:sz w:val="22"/>
        <w:szCs w:val="22"/>
        <w:lang w:val="en-IN"/>
      </w:rPr>
      <w:t xml:space="preserve">No. </w:t>
    </w:r>
    <w:r w:rsidR="0006281F" w:rsidRPr="0004071F">
      <w:rPr>
        <w:rFonts w:ascii="Times New Roman" w:hAnsi="Times New Roman" w:cs="Times New Roman"/>
        <w:bCs/>
        <w:i/>
        <w:iCs/>
        <w:color w:val="auto"/>
        <w:sz w:val="22"/>
        <w:szCs w:val="22"/>
        <w:lang w:val="en-IN"/>
      </w:rPr>
      <w:t>33, 1996</w:t>
    </w:r>
    <w:r w:rsidR="0006281F">
      <w:rPr>
        <w:rFonts w:ascii="Times New Roman" w:hAnsi="Times New Roman" w:cs="Times New Roman"/>
        <w:bCs/>
        <w:i/>
        <w:iCs/>
        <w:color w:val="auto"/>
        <w:sz w:val="22"/>
        <w:szCs w:val="22"/>
        <w:lang w:val="en-IN"/>
      </w:rPr>
      <w:tab/>
    </w:r>
    <w:r w:rsidR="0006281F" w:rsidRPr="0004071F">
      <w:rPr>
        <w:rFonts w:ascii="Times New Roman" w:hAnsi="Times New Roman" w:cs="Times New Roman"/>
        <w:i/>
        <w:iCs/>
        <w:color w:val="auto"/>
        <w:sz w:val="22"/>
        <w:szCs w:val="22"/>
        <w:lang w:val="en-IN"/>
      </w:rPr>
      <w:t xml:space="preserve">Health and Other Services (Compensation) Amendment Act </w:t>
    </w:r>
    <w:r w:rsidR="0006281F" w:rsidRPr="0004071F">
      <w:rPr>
        <w:rFonts w:ascii="Times New Roman" w:hAnsi="Times New Roman" w:cs="Times New Roman"/>
        <w:bCs/>
        <w:i/>
        <w:iCs/>
        <w:color w:val="auto"/>
        <w:sz w:val="22"/>
        <w:szCs w:val="22"/>
        <w:lang w:val="en-IN"/>
      </w:rPr>
      <w:t>1996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962D8" w14:textId="77777777" w:rsidR="0006281F" w:rsidRPr="0004071F" w:rsidRDefault="00263A7A" w:rsidP="0004071F">
    <w:pPr>
      <w:pStyle w:val="Footer"/>
      <w:tabs>
        <w:tab w:val="clear" w:pos="4513"/>
        <w:tab w:val="clear" w:pos="9026"/>
        <w:tab w:val="left" w:pos="7920"/>
      </w:tabs>
      <w:ind w:left="450"/>
      <w:rPr>
        <w:rFonts w:ascii="Times New Roman" w:hAnsi="Times New Roman" w:cs="Times New Roman"/>
        <w:sz w:val="22"/>
        <w:szCs w:val="22"/>
      </w:rPr>
    </w:pPr>
    <w:r>
      <w:rPr>
        <w:rFonts w:ascii="Times New Roman" w:hAnsi="Times New Roman" w:cs="Times New Roman"/>
        <w:i/>
        <w:iCs/>
        <w:noProof/>
        <w:color w:val="auto"/>
        <w:sz w:val="22"/>
        <w:szCs w:val="22"/>
        <w:lang w:val="en-IN" w:eastAsia="en-IN"/>
      </w:rPr>
      <w:pict w14:anchorId="48905FFF">
        <v:shapetype id="_x0000_t32" coordsize="21600,21600" o:spt="32" o:oned="t" path="m,l21600,21600e" filled="f">
          <v:path arrowok="t" fillok="f" o:connecttype="none"/>
          <o:lock v:ext="edit" shapetype="t"/>
        </v:shapetype>
        <v:shape id="_x0000_s2052" type="#_x0000_t32" style="position:absolute;left:0;text-align:left;margin-left:-6pt;margin-top:-6.85pt;width:476.25pt;height:.75pt;z-index:251662336" o:connectortype="straight"/>
      </w:pict>
    </w:r>
    <w:r w:rsidR="0006281F" w:rsidRPr="0004071F">
      <w:rPr>
        <w:rFonts w:ascii="Times New Roman" w:hAnsi="Times New Roman" w:cs="Times New Roman"/>
        <w:i/>
        <w:iCs/>
        <w:color w:val="auto"/>
        <w:sz w:val="22"/>
        <w:szCs w:val="22"/>
        <w:lang w:val="en-IN"/>
      </w:rPr>
      <w:t xml:space="preserve">Health and Other Services (Compensation) Amendment Act </w:t>
    </w:r>
    <w:r w:rsidR="0006281F" w:rsidRPr="0004071F">
      <w:rPr>
        <w:rFonts w:ascii="Times New Roman" w:hAnsi="Times New Roman" w:cs="Times New Roman"/>
        <w:bCs/>
        <w:i/>
        <w:iCs/>
        <w:color w:val="auto"/>
        <w:sz w:val="22"/>
        <w:szCs w:val="22"/>
        <w:lang w:val="en-IN"/>
      </w:rPr>
      <w:t>1996</w:t>
    </w:r>
    <w:r w:rsidR="0006281F">
      <w:rPr>
        <w:rFonts w:ascii="Times New Roman" w:hAnsi="Times New Roman" w:cs="Times New Roman"/>
        <w:bCs/>
        <w:i/>
        <w:iCs/>
        <w:color w:val="auto"/>
        <w:sz w:val="22"/>
        <w:szCs w:val="22"/>
        <w:lang w:val="en-IN"/>
      </w:rPr>
      <w:tab/>
    </w:r>
    <w:r w:rsidR="0006281F" w:rsidRPr="0004071F">
      <w:rPr>
        <w:rFonts w:ascii="Times New Roman" w:hAnsi="Times New Roman" w:cs="Times New Roman"/>
        <w:bCs/>
        <w:i/>
        <w:iCs/>
        <w:color w:val="auto"/>
        <w:sz w:val="22"/>
        <w:szCs w:val="22"/>
        <w:lang w:val="en-IN"/>
      </w:rPr>
      <w:t>No. 33, 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84EE2" w14:textId="77777777" w:rsidR="00220978" w:rsidRDefault="00220978"/>
  </w:footnote>
  <w:footnote w:type="continuationSeparator" w:id="0">
    <w:p w14:paraId="442D98E9" w14:textId="77777777" w:rsidR="00220978" w:rsidRDefault="002209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2886" w14:textId="77777777" w:rsidR="0006281F" w:rsidRDefault="00263A7A">
    <w:pPr>
      <w:pStyle w:val="Header"/>
    </w:pPr>
    <w:r>
      <w:rPr>
        <w:noProof/>
        <w:lang w:val="en-IN" w:eastAsia="en-IN"/>
      </w:rPr>
      <w:pict w14:anchorId="562445A3">
        <v:shapetype id="_x0000_t32" coordsize="21600,21600" o:spt="32" o:oned="t" path="m,l21600,21600e" filled="f">
          <v:path arrowok="t" fillok="f" o:connecttype="none"/>
          <o:lock v:ext="edit" shapetype="t"/>
        </v:shapetype>
        <v:shape id="_x0000_s2051" type="#_x0000_t32" style="position:absolute;margin-left:-6pt;margin-top:54.75pt;width:493.5pt;height:0;z-index:251660288"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90A48" w14:textId="77777777" w:rsidR="0006281F" w:rsidRPr="0004071F" w:rsidRDefault="00263A7A" w:rsidP="0004071F">
    <w:pPr>
      <w:pStyle w:val="Header"/>
      <w:jc w:val="right"/>
      <w:rPr>
        <w:rFonts w:ascii="Times New Roman" w:hAnsi="Times New Roman" w:cs="Times New Roman"/>
        <w:b/>
        <w:sz w:val="22"/>
        <w:szCs w:val="22"/>
      </w:rPr>
    </w:pPr>
    <w:r>
      <w:rPr>
        <w:rFonts w:ascii="Times New Roman" w:hAnsi="Times New Roman" w:cs="Times New Roman"/>
        <w:noProof/>
        <w:color w:val="auto"/>
        <w:sz w:val="22"/>
        <w:szCs w:val="22"/>
        <w:lang w:val="en-IN" w:eastAsia="en-IN"/>
      </w:rPr>
      <w:pict w14:anchorId="65BF950C">
        <v:shapetype id="_x0000_t32" coordsize="21600,21600" o:spt="32" o:oned="t" path="m,l21600,21600e" filled="f">
          <v:path arrowok="t" fillok="f" o:connecttype="none"/>
          <o:lock v:ext="edit" shapetype="t"/>
        </v:shapetype>
        <v:shape id="_x0000_s2053" type="#_x0000_t32" style="position:absolute;left:0;text-align:left;margin-left:-6.75pt;margin-top:18.75pt;width:481.5pt;height:0;z-index:251663360" o:connectortype="straight"/>
      </w:pict>
    </w:r>
    <w:r w:rsidR="0006281F" w:rsidRPr="0004071F">
      <w:rPr>
        <w:rFonts w:ascii="Times New Roman" w:hAnsi="Times New Roman" w:cs="Times New Roman"/>
        <w:color w:val="auto"/>
        <w:sz w:val="22"/>
        <w:szCs w:val="22"/>
        <w:lang w:val="en-IN"/>
      </w:rPr>
      <w:t xml:space="preserve">Amendment of the Health and Other Services (Compensation) Act </w:t>
    </w:r>
    <w:r w:rsidR="0006281F" w:rsidRPr="0004071F">
      <w:rPr>
        <w:rFonts w:ascii="Times New Roman" w:hAnsi="Times New Roman" w:cs="Times New Roman"/>
        <w:bCs/>
        <w:color w:val="auto"/>
        <w:sz w:val="22"/>
        <w:szCs w:val="22"/>
        <w:lang w:val="en-IN"/>
      </w:rPr>
      <w:t xml:space="preserve">1995 </w:t>
    </w:r>
    <w:r w:rsidR="0006281F" w:rsidRPr="0004071F">
      <w:rPr>
        <w:rFonts w:ascii="Times New Roman" w:hAnsi="Times New Roman" w:cs="Times New Roman"/>
        <w:b/>
        <w:color w:val="auto"/>
        <w:sz w:val="22"/>
        <w:szCs w:val="22"/>
        <w:lang w:val="en-IN"/>
      </w:rPr>
      <w:t>Schedule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A2DFF" w14:textId="77777777" w:rsidR="0006281F" w:rsidRPr="0004071F" w:rsidRDefault="00263A7A">
    <w:pPr>
      <w:pStyle w:val="Header"/>
      <w:rPr>
        <w:rFonts w:ascii="Times New Roman" w:hAnsi="Times New Roman" w:cs="Times New Roman"/>
        <w:sz w:val="22"/>
        <w:szCs w:val="22"/>
      </w:rPr>
    </w:pPr>
    <w:r>
      <w:rPr>
        <w:rFonts w:ascii="Times New Roman" w:hAnsi="Times New Roman" w:cs="Times New Roman"/>
        <w:noProof/>
        <w:sz w:val="22"/>
        <w:szCs w:val="22"/>
        <w:lang w:val="en-IN" w:eastAsia="en-IN"/>
      </w:rPr>
      <w:pict w14:anchorId="01C5DE48">
        <v:shapetype id="_x0000_t32" coordsize="21600,21600" o:spt="32" o:oned="t" path="m,l21600,21600e" filled="f">
          <v:path arrowok="t" fillok="f" o:connecttype="none"/>
          <o:lock v:ext="edit" shapetype="t"/>
        </v:shapetype>
        <v:shape id="_x0000_s2054" type="#_x0000_t32" style="position:absolute;margin-left:-6pt;margin-top:19.5pt;width:493.5pt;height:0;z-index:251665408" o:connectortype="straight"/>
      </w:pict>
    </w:r>
    <w:r w:rsidR="0006281F" w:rsidRPr="0004071F">
      <w:rPr>
        <w:rFonts w:ascii="Times New Roman" w:hAnsi="Times New Roman" w:cs="Times New Roman"/>
        <w:b/>
        <w:color w:val="auto"/>
        <w:sz w:val="22"/>
        <w:szCs w:val="22"/>
        <w:lang w:val="en-IN"/>
      </w:rPr>
      <w:t>Schedule 1</w:t>
    </w:r>
    <w:r w:rsidR="0006281F" w:rsidRPr="0004071F">
      <w:rPr>
        <w:rFonts w:ascii="Times New Roman" w:hAnsi="Times New Roman" w:cs="Times New Roman"/>
        <w:bCs/>
        <w:color w:val="auto"/>
        <w:sz w:val="22"/>
        <w:szCs w:val="22"/>
        <w:lang w:val="en-IN"/>
      </w:rPr>
      <w:t xml:space="preserve"> </w:t>
    </w:r>
    <w:r w:rsidR="0006281F" w:rsidRPr="0004071F">
      <w:rPr>
        <w:rFonts w:ascii="Times New Roman" w:hAnsi="Times New Roman" w:cs="Times New Roman"/>
        <w:color w:val="auto"/>
        <w:sz w:val="22"/>
        <w:szCs w:val="22"/>
        <w:lang w:val="en-IN"/>
      </w:rPr>
      <w:t>Amendment of the Health and Other Services (Compensation) Act 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304"/>
    <w:multiLevelType w:val="multilevel"/>
    <w:tmpl w:val="B036A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A276E"/>
    <w:multiLevelType w:val="multilevel"/>
    <w:tmpl w:val="AB58E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A730B"/>
    <w:multiLevelType w:val="multilevel"/>
    <w:tmpl w:val="90BAB9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97372"/>
    <w:multiLevelType w:val="multilevel"/>
    <w:tmpl w:val="485673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556A0A"/>
    <w:multiLevelType w:val="multilevel"/>
    <w:tmpl w:val="9A6C9B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276F7A"/>
    <w:multiLevelType w:val="multilevel"/>
    <w:tmpl w:val="B1302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B44040"/>
    <w:multiLevelType w:val="multilevel"/>
    <w:tmpl w:val="4B7422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85DEB"/>
    <w:multiLevelType w:val="multilevel"/>
    <w:tmpl w:val="B6989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650A5F"/>
    <w:multiLevelType w:val="multilevel"/>
    <w:tmpl w:val="08DC5F2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DA6619"/>
    <w:multiLevelType w:val="multilevel"/>
    <w:tmpl w:val="49D026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BB07A2"/>
    <w:multiLevelType w:val="multilevel"/>
    <w:tmpl w:val="03AE80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C50D1"/>
    <w:multiLevelType w:val="multilevel"/>
    <w:tmpl w:val="47AAB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2D4EB8"/>
    <w:multiLevelType w:val="multilevel"/>
    <w:tmpl w:val="3B34C0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386995"/>
    <w:multiLevelType w:val="multilevel"/>
    <w:tmpl w:val="7B1A11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564A26"/>
    <w:multiLevelType w:val="multilevel"/>
    <w:tmpl w:val="CEBCA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685B92"/>
    <w:multiLevelType w:val="multilevel"/>
    <w:tmpl w:val="8E68B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E914D1"/>
    <w:multiLevelType w:val="multilevel"/>
    <w:tmpl w:val="8F344B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B176D8"/>
    <w:multiLevelType w:val="multilevel"/>
    <w:tmpl w:val="290CF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E66512"/>
    <w:multiLevelType w:val="multilevel"/>
    <w:tmpl w:val="491C1D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A87029"/>
    <w:multiLevelType w:val="multilevel"/>
    <w:tmpl w:val="62D871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E8161C"/>
    <w:multiLevelType w:val="multilevel"/>
    <w:tmpl w:val="B0821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CD1C31"/>
    <w:multiLevelType w:val="multilevel"/>
    <w:tmpl w:val="9976CD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882EB4"/>
    <w:multiLevelType w:val="multilevel"/>
    <w:tmpl w:val="E7A4FF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92786A"/>
    <w:multiLevelType w:val="multilevel"/>
    <w:tmpl w:val="B46077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1C1B3E"/>
    <w:multiLevelType w:val="multilevel"/>
    <w:tmpl w:val="8398D3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A44E86"/>
    <w:multiLevelType w:val="multilevel"/>
    <w:tmpl w:val="62108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754A54"/>
    <w:multiLevelType w:val="multilevel"/>
    <w:tmpl w:val="94D06A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986AAB"/>
    <w:multiLevelType w:val="multilevel"/>
    <w:tmpl w:val="01F20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E1100C"/>
    <w:multiLevelType w:val="multilevel"/>
    <w:tmpl w:val="9384D7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823791"/>
    <w:multiLevelType w:val="multilevel"/>
    <w:tmpl w:val="CEC29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21431B"/>
    <w:multiLevelType w:val="multilevel"/>
    <w:tmpl w:val="5B761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595DB1"/>
    <w:multiLevelType w:val="multilevel"/>
    <w:tmpl w:val="101C619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7"/>
  </w:num>
  <w:num w:numId="3">
    <w:abstractNumId w:val="31"/>
  </w:num>
  <w:num w:numId="4">
    <w:abstractNumId w:val="26"/>
  </w:num>
  <w:num w:numId="5">
    <w:abstractNumId w:val="8"/>
  </w:num>
  <w:num w:numId="6">
    <w:abstractNumId w:val="12"/>
  </w:num>
  <w:num w:numId="7">
    <w:abstractNumId w:val="23"/>
  </w:num>
  <w:num w:numId="8">
    <w:abstractNumId w:val="11"/>
  </w:num>
  <w:num w:numId="9">
    <w:abstractNumId w:val="22"/>
  </w:num>
  <w:num w:numId="10">
    <w:abstractNumId w:val="4"/>
  </w:num>
  <w:num w:numId="11">
    <w:abstractNumId w:val="17"/>
  </w:num>
  <w:num w:numId="12">
    <w:abstractNumId w:val="1"/>
  </w:num>
  <w:num w:numId="13">
    <w:abstractNumId w:val="21"/>
  </w:num>
  <w:num w:numId="14">
    <w:abstractNumId w:val="20"/>
  </w:num>
  <w:num w:numId="15">
    <w:abstractNumId w:val="2"/>
  </w:num>
  <w:num w:numId="16">
    <w:abstractNumId w:val="7"/>
  </w:num>
  <w:num w:numId="17">
    <w:abstractNumId w:val="19"/>
  </w:num>
  <w:num w:numId="18">
    <w:abstractNumId w:val="9"/>
  </w:num>
  <w:num w:numId="19">
    <w:abstractNumId w:val="10"/>
  </w:num>
  <w:num w:numId="20">
    <w:abstractNumId w:val="15"/>
  </w:num>
  <w:num w:numId="21">
    <w:abstractNumId w:val="16"/>
  </w:num>
  <w:num w:numId="22">
    <w:abstractNumId w:val="3"/>
  </w:num>
  <w:num w:numId="23">
    <w:abstractNumId w:val="29"/>
  </w:num>
  <w:num w:numId="24">
    <w:abstractNumId w:val="14"/>
  </w:num>
  <w:num w:numId="25">
    <w:abstractNumId w:val="0"/>
  </w:num>
  <w:num w:numId="26">
    <w:abstractNumId w:val="30"/>
  </w:num>
  <w:num w:numId="27">
    <w:abstractNumId w:val="18"/>
  </w:num>
  <w:num w:numId="28">
    <w:abstractNumId w:val="5"/>
  </w:num>
  <w:num w:numId="29">
    <w:abstractNumId w:val="24"/>
  </w:num>
  <w:num w:numId="30">
    <w:abstractNumId w:val="25"/>
  </w:num>
  <w:num w:numId="31">
    <w:abstractNumId w:val="13"/>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81"/>
  <w:drawingGridVerticalSpacing w:val="181"/>
  <w:characterSpacingControl w:val="compressPunctuation"/>
  <w:hdrShapeDefaults>
    <o:shapedefaults v:ext="edit" spidmax="2055"/>
    <o:shapelayout v:ext="edit">
      <o:idmap v:ext="edit" data="2"/>
      <o:rules v:ext="edit">
        <o:r id="V:Rule7" type="connector" idref="#_x0000_s2049"/>
        <o:r id="V:Rule8" type="connector" idref="#_x0000_s2051"/>
        <o:r id="V:Rule9" type="connector" idref="#_x0000_s2054"/>
        <o:r id="V:Rule10" type="connector" idref="#_x0000_s2053"/>
        <o:r id="V:Rule11" type="connector" idref="#_x0000_s2050"/>
        <o:r id="V:Rule12" type="connector" idref="#_x0000_s2052"/>
      </o:rules>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818BB"/>
    <w:rsid w:val="0004071F"/>
    <w:rsid w:val="00057801"/>
    <w:rsid w:val="0006281F"/>
    <w:rsid w:val="0009171F"/>
    <w:rsid w:val="000D6BDD"/>
    <w:rsid w:val="000E2066"/>
    <w:rsid w:val="000E7305"/>
    <w:rsid w:val="000F0070"/>
    <w:rsid w:val="00104F8B"/>
    <w:rsid w:val="001B6D91"/>
    <w:rsid w:val="001C755E"/>
    <w:rsid w:val="001E1509"/>
    <w:rsid w:val="001F1D25"/>
    <w:rsid w:val="00220978"/>
    <w:rsid w:val="00263A7A"/>
    <w:rsid w:val="003332F3"/>
    <w:rsid w:val="0037035E"/>
    <w:rsid w:val="003F4C91"/>
    <w:rsid w:val="00412197"/>
    <w:rsid w:val="004405E4"/>
    <w:rsid w:val="00440A6B"/>
    <w:rsid w:val="00444F69"/>
    <w:rsid w:val="00495498"/>
    <w:rsid w:val="004C4602"/>
    <w:rsid w:val="004F37A0"/>
    <w:rsid w:val="00596C48"/>
    <w:rsid w:val="005B0B91"/>
    <w:rsid w:val="005B417B"/>
    <w:rsid w:val="005B5087"/>
    <w:rsid w:val="005F12DC"/>
    <w:rsid w:val="005F6CAB"/>
    <w:rsid w:val="00691207"/>
    <w:rsid w:val="006D1987"/>
    <w:rsid w:val="006D2869"/>
    <w:rsid w:val="006F0556"/>
    <w:rsid w:val="006F1434"/>
    <w:rsid w:val="0072206A"/>
    <w:rsid w:val="00744747"/>
    <w:rsid w:val="0075351A"/>
    <w:rsid w:val="007A57D2"/>
    <w:rsid w:val="007C23B7"/>
    <w:rsid w:val="007E31B0"/>
    <w:rsid w:val="007F7F2C"/>
    <w:rsid w:val="008027E2"/>
    <w:rsid w:val="00837AC8"/>
    <w:rsid w:val="00860B1A"/>
    <w:rsid w:val="0087110F"/>
    <w:rsid w:val="00884965"/>
    <w:rsid w:val="008E74A0"/>
    <w:rsid w:val="008F0393"/>
    <w:rsid w:val="009559BA"/>
    <w:rsid w:val="00963EF3"/>
    <w:rsid w:val="009B067B"/>
    <w:rsid w:val="009F4049"/>
    <w:rsid w:val="00A05343"/>
    <w:rsid w:val="00A22C39"/>
    <w:rsid w:val="00A82F78"/>
    <w:rsid w:val="00A82F9E"/>
    <w:rsid w:val="00AA306E"/>
    <w:rsid w:val="00AA659B"/>
    <w:rsid w:val="00B46052"/>
    <w:rsid w:val="00C112A5"/>
    <w:rsid w:val="00C16A54"/>
    <w:rsid w:val="00C22AC4"/>
    <w:rsid w:val="00C373DF"/>
    <w:rsid w:val="00CF3741"/>
    <w:rsid w:val="00DD1158"/>
    <w:rsid w:val="00DD1DA7"/>
    <w:rsid w:val="00DE71EB"/>
    <w:rsid w:val="00E137EE"/>
    <w:rsid w:val="00E51B91"/>
    <w:rsid w:val="00E6063D"/>
    <w:rsid w:val="00EC0632"/>
    <w:rsid w:val="00EC4074"/>
    <w:rsid w:val="00EC7C8C"/>
    <w:rsid w:val="00EE4BCF"/>
    <w:rsid w:val="00F818BB"/>
    <w:rsid w:val="00F86113"/>
    <w:rsid w:val="00F96565"/>
    <w:rsid w:val="00FA746B"/>
    <w:rsid w:val="00FF685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2" type="connector" idref="#_x0000_s1028"/>
      </o:rules>
    </o:shapelayout>
  </w:shapeDefaults>
  <w:decimalSymbol w:val="."/>
  <w:listSeparator w:val=","/>
  <w14:docId w14:val="08F3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sz w:val="41"/>
      <w:szCs w:val="41"/>
      <w:u w:val="none"/>
    </w:rPr>
  </w:style>
  <w:style w:type="character" w:customStyle="1" w:styleId="Bodytext220pt">
    <w:name w:val="Body text (2) + 20 pt"/>
    <w:aliases w:val="Spacing 0 pt"/>
    <w:basedOn w:val="Bodytext2"/>
    <w:rPr>
      <w:rFonts w:ascii="Times New Roman" w:eastAsia="Times New Roman" w:hAnsi="Times New Roman" w:cs="Times New Roman"/>
      <w:b/>
      <w:bCs/>
      <w:i w:val="0"/>
      <w:iCs w:val="0"/>
      <w:smallCaps w:val="0"/>
      <w:strike w:val="0"/>
      <w:color w:val="000000"/>
      <w:spacing w:val="0"/>
      <w:w w:val="100"/>
      <w:position w:val="0"/>
      <w:sz w:val="40"/>
      <w:szCs w:val="40"/>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31"/>
      <w:szCs w:val="31"/>
      <w:u w:val="none"/>
    </w:rPr>
  </w:style>
  <w:style w:type="character" w:customStyle="1" w:styleId="Bodytext3NotItalic">
    <w:name w:val="Body text (3) + Not Italic"/>
    <w:basedOn w:val="Bodytext3"/>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16"/>
      <w:szCs w:val="16"/>
      <w:u w:val="none"/>
    </w:rPr>
  </w:style>
  <w:style w:type="character" w:customStyle="1" w:styleId="Bodytext711pt">
    <w:name w:val="Body text (7) + 11 pt"/>
    <w:basedOn w:val="Bodytext7"/>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0"/>
      <w:szCs w:val="20"/>
      <w:u w:val="none"/>
    </w:rPr>
  </w:style>
  <w:style w:type="character" w:customStyle="1" w:styleId="Bodytext155pt">
    <w:name w:val="Body text + 15.5 pt"/>
    <w:aliases w:val="Bold"/>
    <w:basedOn w:val="Bodytext"/>
    <w:rPr>
      <w:rFonts w:ascii="Times New Roman" w:eastAsia="Times New Roman" w:hAnsi="Times New Roman" w:cs="Times New Roman"/>
      <w:b/>
      <w:bCs/>
      <w:i w:val="0"/>
      <w:iCs w:val="0"/>
      <w:smallCaps w:val="0"/>
      <w:strike w:val="0"/>
      <w:color w:val="000000"/>
      <w:spacing w:val="0"/>
      <w:w w:val="100"/>
      <w:position w:val="0"/>
      <w:sz w:val="31"/>
      <w:szCs w:val="31"/>
      <w:u w:val="none"/>
      <w:lang w:val="en-US"/>
    </w:rPr>
  </w:style>
  <w:style w:type="character" w:customStyle="1" w:styleId="Bodytext8pt">
    <w:name w:val="Body text + 8 pt"/>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15pt">
    <w:name w:val="Body text + 11.5 pt"/>
    <w:aliases w:val="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41"/>
      <w:szCs w:val="41"/>
      <w:u w:val="none"/>
    </w:rPr>
  </w:style>
  <w:style w:type="character" w:customStyle="1" w:styleId="Heading120pt">
    <w:name w:val="Heading #1 + 20 pt"/>
    <w:aliases w:val="Spacing 0 pt"/>
    <w:basedOn w:val="Heading1"/>
    <w:rPr>
      <w:rFonts w:ascii="Times New Roman" w:eastAsia="Times New Roman" w:hAnsi="Times New Roman" w:cs="Times New Roman"/>
      <w:b/>
      <w:bCs/>
      <w:i w:val="0"/>
      <w:iCs w:val="0"/>
      <w:smallCaps w:val="0"/>
      <w:strike w:val="0"/>
      <w:color w:val="000000"/>
      <w:spacing w:val="0"/>
      <w:w w:val="100"/>
      <w:position w:val="0"/>
      <w:sz w:val="40"/>
      <w:szCs w:val="40"/>
      <w:u w:val="none"/>
      <w:lang w:val="en-US"/>
    </w:rPr>
  </w:style>
  <w:style w:type="character" w:customStyle="1" w:styleId="Bodytext4">
    <w:name w:val="Body text (4)_"/>
    <w:basedOn w:val="DefaultParagraphFont"/>
    <w:link w:val="Bodytext40"/>
    <w:rPr>
      <w:rFonts w:ascii="Arial" w:eastAsia="Arial" w:hAnsi="Arial" w:cs="Arial"/>
      <w:b/>
      <w:bCs/>
      <w:i w:val="0"/>
      <w:iCs w:val="0"/>
      <w:smallCaps w:val="0"/>
      <w:strike w:val="0"/>
      <w:u w:val="none"/>
    </w:rPr>
  </w:style>
  <w:style w:type="character" w:customStyle="1" w:styleId="Heading4">
    <w:name w:val="Heading #4_"/>
    <w:basedOn w:val="DefaultParagraphFont"/>
    <w:link w:val="Heading40"/>
    <w:rPr>
      <w:rFonts w:ascii="Times New Roman" w:eastAsia="Times New Roman" w:hAnsi="Times New Roman" w:cs="Times New Roman"/>
      <w:b/>
      <w:bCs/>
      <w:i/>
      <w:iCs/>
      <w:smallCaps w:val="0"/>
      <w:strike w:val="0"/>
      <w:sz w:val="31"/>
      <w:szCs w:val="31"/>
      <w:u w:val="none"/>
    </w:rPr>
  </w:style>
  <w:style w:type="character" w:customStyle="1" w:styleId="Heading4NotItalic">
    <w:name w:val="Heading #4 + Not Italic"/>
    <w:basedOn w:val="Heading4"/>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0"/>
      <w:szCs w:val="20"/>
      <w:u w:val="none"/>
    </w:rPr>
  </w:style>
  <w:style w:type="character" w:customStyle="1" w:styleId="Bodytext511pt">
    <w:name w:val="Body text (5) + 11 pt"/>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ing5">
    <w:name w:val="Heading #5_"/>
    <w:basedOn w:val="DefaultParagraphFont"/>
    <w:link w:val="Heading50"/>
    <w:rPr>
      <w:rFonts w:ascii="Times New Roman" w:eastAsia="Times New Roman" w:hAnsi="Times New Roman" w:cs="Times New Roman"/>
      <w:b/>
      <w:bCs/>
      <w:i w:val="0"/>
      <w:iCs w:val="0"/>
      <w:smallCaps w:val="0"/>
      <w:strike w:val="0"/>
      <w:sz w:val="28"/>
      <w:szCs w:val="28"/>
      <w:u w:val="none"/>
    </w:rPr>
  </w:style>
  <w:style w:type="character" w:customStyle="1" w:styleId="Heading7">
    <w:name w:val="Heading #7_"/>
    <w:basedOn w:val="DefaultParagraphFont"/>
    <w:link w:val="Heading70"/>
    <w:rPr>
      <w:rFonts w:ascii="Times New Roman" w:eastAsia="Times New Roman" w:hAnsi="Times New Roman" w:cs="Times New Roman"/>
      <w:b/>
      <w:bCs/>
      <w:i w:val="0"/>
      <w:iCs w:val="0"/>
      <w:smallCaps w:val="0"/>
      <w:strike w:val="0"/>
      <w:sz w:val="23"/>
      <w:szCs w:val="23"/>
      <w:u w:val="none"/>
    </w:rPr>
  </w:style>
  <w:style w:type="character" w:customStyle="1" w:styleId="Bodytext511pt0">
    <w:name w:val="Body text (5) + 11 pt"/>
    <w:aliases w:val="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0">
    <w:name w:val="Body text + 11 pt"/>
    <w:aliases w:val="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18"/>
      <w:szCs w:val="18"/>
      <w:u w:val="none"/>
    </w:rPr>
  </w:style>
  <w:style w:type="character" w:customStyle="1" w:styleId="Bodytext1011pt">
    <w:name w:val="Body text (10) + 11 pt"/>
    <w:basedOn w:val="Bodytext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sz w:val="32"/>
      <w:szCs w:val="32"/>
      <w:u w:val="none"/>
    </w:rPr>
  </w:style>
  <w:style w:type="character" w:customStyle="1" w:styleId="Heading2TimesNewRoman">
    <w:name w:val="Heading #2 + Times New Roman"/>
    <w:aliases w:val="15.5 pt"/>
    <w:basedOn w:val="Heading2"/>
    <w:rPr>
      <w:rFonts w:ascii="Times New Roman" w:eastAsia="Times New Roman" w:hAnsi="Times New Roman" w:cs="Times New Roman"/>
      <w:b/>
      <w:bCs/>
      <w:i w:val="0"/>
      <w:iCs w:val="0"/>
      <w:smallCaps w:val="0"/>
      <w:strike w:val="0"/>
      <w:color w:val="000000"/>
      <w:spacing w:val="0"/>
      <w:w w:val="100"/>
      <w:position w:val="0"/>
      <w:sz w:val="31"/>
      <w:szCs w:val="31"/>
      <w:u w:val="none"/>
      <w:lang w:val="en-US"/>
    </w:rPr>
  </w:style>
  <w:style w:type="character" w:customStyle="1" w:styleId="Heading6">
    <w:name w:val="Heading #6_"/>
    <w:basedOn w:val="DefaultParagraphFont"/>
    <w:link w:val="Heading60"/>
    <w:rPr>
      <w:rFonts w:ascii="Arial" w:eastAsia="Arial" w:hAnsi="Arial" w:cs="Arial"/>
      <w:b/>
      <w:bCs/>
      <w:i w:val="0"/>
      <w:iCs w:val="0"/>
      <w:smallCaps w:val="0"/>
      <w:strike w:val="0"/>
      <w:u w:val="none"/>
    </w:rPr>
  </w:style>
  <w:style w:type="character" w:customStyle="1" w:styleId="Heading62">
    <w:name w:val="Heading #6 (2)_"/>
    <w:basedOn w:val="DefaultParagraphFont"/>
    <w:link w:val="Heading620"/>
    <w:rPr>
      <w:rFonts w:ascii="Times New Roman" w:eastAsia="Times New Roman" w:hAnsi="Times New Roman" w:cs="Times New Roman"/>
      <w:b/>
      <w:bCs/>
      <w:i w:val="0"/>
      <w:iCs w:val="0"/>
      <w:smallCaps w:val="0"/>
      <w:strike w:val="0"/>
      <w:sz w:val="27"/>
      <w:szCs w:val="27"/>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3"/>
      <w:szCs w:val="23"/>
      <w:u w:val="none"/>
    </w:rPr>
  </w:style>
  <w:style w:type="character" w:customStyle="1" w:styleId="Bodytext614pt">
    <w:name w:val="Body text (6) + 14 pt"/>
    <w:basedOn w:val="Bodytext6"/>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612pt">
    <w:name w:val="Body text (6) + 12 pt"/>
    <w:basedOn w:val="Bodytext6"/>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1010pt">
    <w:name w:val="Body text (10) + 10 pt"/>
    <w:basedOn w:val="Bodytext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ing712pt">
    <w:name w:val="Heading #7 + 12 pt"/>
    <w:basedOn w:val="Heading7"/>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Heading714pt">
    <w:name w:val="Heading #7 + 14 pt"/>
    <w:basedOn w:val="Heading7"/>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711pt0">
    <w:name w:val="Body text (7) + 11 pt"/>
    <w:aliases w:val="Not Italic"/>
    <w:basedOn w:val="Bodytext7"/>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6"/>
      <w:szCs w:val="16"/>
      <w:u w:val="none"/>
    </w:rPr>
  </w:style>
  <w:style w:type="character" w:customStyle="1" w:styleId="Bodytext811pt">
    <w:name w:val="Body text (8) + 11 pt"/>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23"/>
      <w:szCs w:val="23"/>
      <w:u w:val="none"/>
    </w:rPr>
  </w:style>
  <w:style w:type="character" w:customStyle="1" w:styleId="Bodytext911pt">
    <w:name w:val="Body text (9) + 11 pt"/>
    <w:basedOn w:val="Bodytext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1">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711pt1">
    <w:name w:val="Body text (7) + 11 pt"/>
    <w:basedOn w:val="Bodytext7"/>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paragraph" w:customStyle="1" w:styleId="Bodytext20">
    <w:name w:val="Body text (2)"/>
    <w:basedOn w:val="Normal"/>
    <w:link w:val="Bodytext2"/>
    <w:pPr>
      <w:spacing w:line="403" w:lineRule="exact"/>
    </w:pPr>
    <w:rPr>
      <w:rFonts w:ascii="Times New Roman" w:eastAsia="Times New Roman" w:hAnsi="Times New Roman" w:cs="Times New Roman"/>
      <w:b/>
      <w:bCs/>
      <w:spacing w:val="-10"/>
      <w:sz w:val="41"/>
      <w:szCs w:val="41"/>
    </w:rPr>
  </w:style>
  <w:style w:type="paragraph" w:customStyle="1" w:styleId="Bodytext30">
    <w:name w:val="Body text (3)"/>
    <w:basedOn w:val="Normal"/>
    <w:link w:val="Bodytext3"/>
    <w:pPr>
      <w:spacing w:line="490" w:lineRule="exact"/>
    </w:pPr>
    <w:rPr>
      <w:rFonts w:ascii="Times New Roman" w:eastAsia="Times New Roman" w:hAnsi="Times New Roman" w:cs="Times New Roman"/>
      <w:b/>
      <w:bCs/>
      <w:i/>
      <w:iCs/>
      <w:sz w:val="31"/>
      <w:szCs w:val="31"/>
    </w:rPr>
  </w:style>
  <w:style w:type="paragraph" w:customStyle="1" w:styleId="Bodytext70">
    <w:name w:val="Body text (7)"/>
    <w:basedOn w:val="Normal"/>
    <w:link w:val="Bodytext7"/>
    <w:pPr>
      <w:spacing w:line="197" w:lineRule="exact"/>
      <w:jc w:val="both"/>
    </w:pPr>
    <w:rPr>
      <w:rFonts w:ascii="Times New Roman" w:eastAsia="Times New Roman" w:hAnsi="Times New Roman" w:cs="Times New Roman"/>
      <w:i/>
      <w:iCs/>
      <w:sz w:val="16"/>
      <w:szCs w:val="16"/>
    </w:rPr>
  </w:style>
  <w:style w:type="paragraph" w:customStyle="1" w:styleId="BodyText1">
    <w:name w:val="Body Text1"/>
    <w:basedOn w:val="Normal"/>
    <w:link w:val="Bodytext"/>
    <w:pPr>
      <w:spacing w:line="245" w:lineRule="exact"/>
      <w:ind w:hanging="520"/>
    </w:pPr>
    <w:rPr>
      <w:rFonts w:ascii="Times New Roman" w:eastAsia="Times New Roman" w:hAnsi="Times New Roman" w:cs="Times New Roman"/>
      <w:sz w:val="20"/>
      <w:szCs w:val="20"/>
    </w:rPr>
  </w:style>
  <w:style w:type="paragraph" w:customStyle="1" w:styleId="Heading10">
    <w:name w:val="Heading #1"/>
    <w:basedOn w:val="Normal"/>
    <w:link w:val="Heading1"/>
    <w:pPr>
      <w:spacing w:line="403" w:lineRule="exact"/>
      <w:outlineLvl w:val="0"/>
    </w:pPr>
    <w:rPr>
      <w:rFonts w:ascii="Times New Roman" w:eastAsia="Times New Roman" w:hAnsi="Times New Roman" w:cs="Times New Roman"/>
      <w:b/>
      <w:bCs/>
      <w:spacing w:val="-10"/>
      <w:sz w:val="41"/>
      <w:szCs w:val="41"/>
    </w:rPr>
  </w:style>
  <w:style w:type="paragraph" w:customStyle="1" w:styleId="Bodytext40">
    <w:name w:val="Body text (4)"/>
    <w:basedOn w:val="Normal"/>
    <w:link w:val="Bodytext4"/>
    <w:pPr>
      <w:spacing w:line="0" w:lineRule="atLeast"/>
      <w:jc w:val="both"/>
    </w:pPr>
    <w:rPr>
      <w:rFonts w:ascii="Arial" w:eastAsia="Arial" w:hAnsi="Arial" w:cs="Arial"/>
      <w:b/>
      <w:bCs/>
    </w:rPr>
  </w:style>
  <w:style w:type="paragraph" w:customStyle="1" w:styleId="Heading40">
    <w:name w:val="Heading #4"/>
    <w:basedOn w:val="Normal"/>
    <w:link w:val="Heading4"/>
    <w:pPr>
      <w:spacing w:line="490" w:lineRule="exact"/>
      <w:outlineLvl w:val="3"/>
    </w:pPr>
    <w:rPr>
      <w:rFonts w:ascii="Times New Roman" w:eastAsia="Times New Roman" w:hAnsi="Times New Roman" w:cs="Times New Roman"/>
      <w:b/>
      <w:bCs/>
      <w:i/>
      <w:iCs/>
      <w:sz w:val="31"/>
      <w:szCs w:val="31"/>
    </w:rPr>
  </w:style>
  <w:style w:type="paragraph" w:customStyle="1" w:styleId="Bodytext50">
    <w:name w:val="Body text (5)"/>
    <w:basedOn w:val="Normal"/>
    <w:link w:val="Bodytext5"/>
    <w:pPr>
      <w:spacing w:line="0" w:lineRule="atLeast"/>
      <w:jc w:val="both"/>
    </w:pPr>
    <w:rPr>
      <w:rFonts w:ascii="Times New Roman" w:eastAsia="Times New Roman" w:hAnsi="Times New Roman" w:cs="Times New Roman"/>
      <w:i/>
      <w:iCs/>
      <w:sz w:val="20"/>
      <w:szCs w:val="20"/>
    </w:rPr>
  </w:style>
  <w:style w:type="paragraph" w:customStyle="1" w:styleId="Heading50">
    <w:name w:val="Heading #5"/>
    <w:basedOn w:val="Normal"/>
    <w:link w:val="Heading5"/>
    <w:pPr>
      <w:spacing w:line="0" w:lineRule="atLeast"/>
      <w:jc w:val="both"/>
      <w:outlineLvl w:val="4"/>
    </w:pPr>
    <w:rPr>
      <w:rFonts w:ascii="Times New Roman" w:eastAsia="Times New Roman" w:hAnsi="Times New Roman" w:cs="Times New Roman"/>
      <w:b/>
      <w:bCs/>
      <w:sz w:val="28"/>
      <w:szCs w:val="28"/>
    </w:rPr>
  </w:style>
  <w:style w:type="paragraph" w:customStyle="1" w:styleId="Heading70">
    <w:name w:val="Heading #7"/>
    <w:basedOn w:val="Normal"/>
    <w:link w:val="Heading7"/>
    <w:pPr>
      <w:spacing w:line="0" w:lineRule="atLeast"/>
      <w:ind w:hanging="1120"/>
      <w:jc w:val="both"/>
      <w:outlineLvl w:val="6"/>
    </w:pPr>
    <w:rPr>
      <w:rFonts w:ascii="Times New Roman" w:eastAsia="Times New Roman" w:hAnsi="Times New Roman" w:cs="Times New Roman"/>
      <w:b/>
      <w:bCs/>
      <w:sz w:val="23"/>
      <w:szCs w:val="23"/>
    </w:rPr>
  </w:style>
  <w:style w:type="paragraph" w:customStyle="1" w:styleId="Bodytext100">
    <w:name w:val="Body text (10)"/>
    <w:basedOn w:val="Normal"/>
    <w:link w:val="Bodytext10"/>
    <w:pPr>
      <w:spacing w:line="0" w:lineRule="atLeast"/>
    </w:pPr>
    <w:rPr>
      <w:rFonts w:ascii="Times New Roman" w:eastAsia="Times New Roman" w:hAnsi="Times New Roman" w:cs="Times New Roman"/>
      <w:sz w:val="18"/>
      <w:szCs w:val="18"/>
    </w:rPr>
  </w:style>
  <w:style w:type="paragraph" w:customStyle="1" w:styleId="Heading20">
    <w:name w:val="Heading #2"/>
    <w:basedOn w:val="Normal"/>
    <w:link w:val="Heading2"/>
    <w:pPr>
      <w:spacing w:line="322" w:lineRule="exact"/>
      <w:ind w:hanging="1180"/>
      <w:jc w:val="both"/>
      <w:outlineLvl w:val="1"/>
    </w:pPr>
    <w:rPr>
      <w:rFonts w:ascii="Arial" w:eastAsia="Arial" w:hAnsi="Arial" w:cs="Arial"/>
      <w:b/>
      <w:bCs/>
      <w:sz w:val="32"/>
      <w:szCs w:val="32"/>
    </w:rPr>
  </w:style>
  <w:style w:type="paragraph" w:customStyle="1" w:styleId="Heading60">
    <w:name w:val="Heading #6"/>
    <w:basedOn w:val="Normal"/>
    <w:link w:val="Heading6"/>
    <w:pPr>
      <w:spacing w:line="0" w:lineRule="atLeast"/>
      <w:ind w:hanging="1180"/>
      <w:jc w:val="both"/>
      <w:outlineLvl w:val="5"/>
    </w:pPr>
    <w:rPr>
      <w:rFonts w:ascii="Arial" w:eastAsia="Arial" w:hAnsi="Arial" w:cs="Arial"/>
      <w:b/>
      <w:bCs/>
    </w:rPr>
  </w:style>
  <w:style w:type="paragraph" w:customStyle="1" w:styleId="Heading620">
    <w:name w:val="Heading #6 (2)"/>
    <w:basedOn w:val="Normal"/>
    <w:link w:val="Heading62"/>
    <w:pPr>
      <w:spacing w:line="0" w:lineRule="atLeast"/>
      <w:jc w:val="both"/>
      <w:outlineLvl w:val="5"/>
    </w:pPr>
    <w:rPr>
      <w:rFonts w:ascii="Times New Roman" w:eastAsia="Times New Roman" w:hAnsi="Times New Roman" w:cs="Times New Roman"/>
      <w:b/>
      <w:bCs/>
      <w:sz w:val="27"/>
      <w:szCs w:val="27"/>
    </w:rPr>
  </w:style>
  <w:style w:type="paragraph" w:customStyle="1" w:styleId="Bodytext60">
    <w:name w:val="Body text (6)"/>
    <w:basedOn w:val="Normal"/>
    <w:link w:val="Bodytext6"/>
    <w:pPr>
      <w:spacing w:line="0" w:lineRule="atLeast"/>
    </w:pPr>
    <w:rPr>
      <w:rFonts w:ascii="Times New Roman" w:eastAsia="Times New Roman" w:hAnsi="Times New Roman" w:cs="Times New Roman"/>
      <w:b/>
      <w:bCs/>
      <w:sz w:val="23"/>
      <w:szCs w:val="23"/>
    </w:rPr>
  </w:style>
  <w:style w:type="paragraph" w:customStyle="1" w:styleId="Bodytext80">
    <w:name w:val="Body text (8)"/>
    <w:basedOn w:val="Normal"/>
    <w:link w:val="Bodytext8"/>
    <w:pPr>
      <w:spacing w:line="197" w:lineRule="exact"/>
    </w:pPr>
    <w:rPr>
      <w:rFonts w:ascii="Times New Roman" w:eastAsia="Times New Roman" w:hAnsi="Times New Roman" w:cs="Times New Roman"/>
      <w:sz w:val="16"/>
      <w:szCs w:val="16"/>
    </w:rPr>
  </w:style>
  <w:style w:type="paragraph" w:customStyle="1" w:styleId="Bodytext90">
    <w:name w:val="Body text (9)"/>
    <w:basedOn w:val="Normal"/>
    <w:link w:val="Bodytext9"/>
    <w:pPr>
      <w:spacing w:line="250" w:lineRule="exact"/>
      <w:jc w:val="both"/>
    </w:pPr>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04071F"/>
    <w:pPr>
      <w:tabs>
        <w:tab w:val="center" w:pos="4513"/>
        <w:tab w:val="right" w:pos="9026"/>
      </w:tabs>
    </w:pPr>
  </w:style>
  <w:style w:type="character" w:customStyle="1" w:styleId="HeaderChar">
    <w:name w:val="Header Char"/>
    <w:basedOn w:val="DefaultParagraphFont"/>
    <w:link w:val="Header"/>
    <w:uiPriority w:val="99"/>
    <w:rsid w:val="0004071F"/>
    <w:rPr>
      <w:color w:val="000000"/>
    </w:rPr>
  </w:style>
  <w:style w:type="paragraph" w:styleId="Footer">
    <w:name w:val="footer"/>
    <w:basedOn w:val="Normal"/>
    <w:link w:val="FooterChar"/>
    <w:uiPriority w:val="99"/>
    <w:unhideWhenUsed/>
    <w:rsid w:val="0004071F"/>
    <w:pPr>
      <w:tabs>
        <w:tab w:val="center" w:pos="4513"/>
        <w:tab w:val="right" w:pos="9026"/>
      </w:tabs>
    </w:pPr>
  </w:style>
  <w:style w:type="character" w:customStyle="1" w:styleId="FooterChar">
    <w:name w:val="Footer Char"/>
    <w:basedOn w:val="DefaultParagraphFont"/>
    <w:link w:val="Footer"/>
    <w:uiPriority w:val="99"/>
    <w:rsid w:val="0004071F"/>
    <w:rPr>
      <w:color w:val="000000"/>
    </w:rPr>
  </w:style>
  <w:style w:type="character" w:styleId="CommentReference">
    <w:name w:val="annotation reference"/>
    <w:basedOn w:val="DefaultParagraphFont"/>
    <w:uiPriority w:val="99"/>
    <w:semiHidden/>
    <w:unhideWhenUsed/>
    <w:rsid w:val="00104F8B"/>
    <w:rPr>
      <w:sz w:val="16"/>
      <w:szCs w:val="16"/>
    </w:rPr>
  </w:style>
  <w:style w:type="paragraph" w:styleId="CommentText">
    <w:name w:val="annotation text"/>
    <w:basedOn w:val="Normal"/>
    <w:link w:val="CommentTextChar"/>
    <w:uiPriority w:val="99"/>
    <w:semiHidden/>
    <w:unhideWhenUsed/>
    <w:rsid w:val="00104F8B"/>
    <w:rPr>
      <w:sz w:val="20"/>
      <w:szCs w:val="20"/>
    </w:rPr>
  </w:style>
  <w:style w:type="character" w:customStyle="1" w:styleId="CommentTextChar">
    <w:name w:val="Comment Text Char"/>
    <w:basedOn w:val="DefaultParagraphFont"/>
    <w:link w:val="CommentText"/>
    <w:uiPriority w:val="99"/>
    <w:semiHidden/>
    <w:rsid w:val="00104F8B"/>
    <w:rPr>
      <w:color w:val="000000"/>
      <w:sz w:val="20"/>
      <w:szCs w:val="20"/>
    </w:rPr>
  </w:style>
  <w:style w:type="paragraph" w:styleId="CommentSubject">
    <w:name w:val="annotation subject"/>
    <w:basedOn w:val="CommentText"/>
    <w:next w:val="CommentText"/>
    <w:link w:val="CommentSubjectChar"/>
    <w:uiPriority w:val="99"/>
    <w:semiHidden/>
    <w:unhideWhenUsed/>
    <w:rsid w:val="00104F8B"/>
    <w:rPr>
      <w:b/>
      <w:bCs/>
    </w:rPr>
  </w:style>
  <w:style w:type="character" w:customStyle="1" w:styleId="CommentSubjectChar">
    <w:name w:val="Comment Subject Char"/>
    <w:basedOn w:val="CommentTextChar"/>
    <w:link w:val="CommentSubject"/>
    <w:uiPriority w:val="99"/>
    <w:semiHidden/>
    <w:rsid w:val="00104F8B"/>
    <w:rPr>
      <w:b/>
      <w:bCs/>
      <w:color w:val="000000"/>
      <w:sz w:val="20"/>
      <w:szCs w:val="20"/>
    </w:rPr>
  </w:style>
  <w:style w:type="paragraph" w:styleId="BalloonText">
    <w:name w:val="Balloon Text"/>
    <w:basedOn w:val="Normal"/>
    <w:link w:val="BalloonTextChar"/>
    <w:uiPriority w:val="99"/>
    <w:semiHidden/>
    <w:unhideWhenUsed/>
    <w:rsid w:val="00104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F8B"/>
    <w:rPr>
      <w:rFonts w:ascii="Segoe UI" w:hAnsi="Segoe UI" w:cs="Segoe UI"/>
      <w:color w:val="000000"/>
      <w:sz w:val="18"/>
      <w:szCs w:val="18"/>
    </w:rPr>
  </w:style>
  <w:style w:type="paragraph" w:styleId="Revision">
    <w:name w:val="Revision"/>
    <w:hidden/>
    <w:uiPriority w:val="99"/>
    <w:semiHidden/>
    <w:rsid w:val="0075351A"/>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Pettingill, Tia</cp:lastModifiedBy>
  <cp:revision>8</cp:revision>
  <dcterms:created xsi:type="dcterms:W3CDTF">2019-10-07T02:03:00Z</dcterms:created>
  <dcterms:modified xsi:type="dcterms:W3CDTF">2019-11-18T02:32:00Z</dcterms:modified>
</cp:coreProperties>
</file>