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11BC0" w14:textId="7EA95E30" w:rsidR="00C153A3" w:rsidRPr="005314AF" w:rsidRDefault="00F45503" w:rsidP="005314AF">
      <w:pPr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93C4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24.4pt;height:88.7pt">
            <v:imagedata r:id="rId9" o:title=""/>
          </v:shape>
        </w:pict>
      </w:r>
    </w:p>
    <w:p w14:paraId="64827255" w14:textId="77777777" w:rsidR="006419D7" w:rsidRDefault="00260CDB" w:rsidP="005314AF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r w:rsidRPr="005314AF">
        <w:rPr>
          <w:rFonts w:ascii="Times New Roman" w:hAnsi="Times New Roman" w:cs="Times New Roman"/>
          <w:b/>
          <w:sz w:val="36"/>
          <w:szCs w:val="36"/>
        </w:rPr>
        <w:t xml:space="preserve">Customs Tariff Amendment Act </w:t>
      </w:r>
    </w:p>
    <w:p w14:paraId="7B69220F" w14:textId="77777777" w:rsidR="00C153A3" w:rsidRPr="005314AF" w:rsidRDefault="00260CDB" w:rsidP="006419D7">
      <w:pPr>
        <w:rPr>
          <w:rFonts w:ascii="Times New Roman" w:hAnsi="Times New Roman" w:cs="Times New Roman"/>
          <w:b/>
          <w:sz w:val="36"/>
          <w:szCs w:val="36"/>
        </w:rPr>
      </w:pPr>
      <w:r w:rsidRPr="005314AF">
        <w:rPr>
          <w:rFonts w:ascii="Times New Roman" w:hAnsi="Times New Roman" w:cs="Times New Roman"/>
          <w:b/>
          <w:sz w:val="36"/>
          <w:szCs w:val="36"/>
        </w:rPr>
        <w:t>(No. 1) 1996</w:t>
      </w:r>
    </w:p>
    <w:p w14:paraId="0B4C8AF8" w14:textId="0FD03BB9" w:rsidR="00C153A3" w:rsidRPr="006419D7" w:rsidRDefault="00260CDB" w:rsidP="005314AF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r w:rsidRPr="0036437C">
        <w:rPr>
          <w:rFonts w:ascii="Times New Roman" w:hAnsi="Times New Roman" w:cs="Times New Roman"/>
          <w:b/>
          <w:sz w:val="36"/>
          <w:szCs w:val="28"/>
        </w:rPr>
        <w:t>No. 32,</w:t>
      </w:r>
      <w:r w:rsidR="00FF20F1" w:rsidRPr="0036437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6437C">
        <w:rPr>
          <w:rFonts w:ascii="Times New Roman" w:hAnsi="Times New Roman" w:cs="Times New Roman"/>
          <w:b/>
          <w:sz w:val="36"/>
          <w:szCs w:val="28"/>
        </w:rPr>
        <w:t>1996</w:t>
      </w:r>
    </w:p>
    <w:p w14:paraId="127C06C4" w14:textId="442D129B" w:rsidR="002B7D5C" w:rsidRPr="005314AF" w:rsidRDefault="00260CDB" w:rsidP="005314AF">
      <w:pPr>
        <w:spacing w:before="960"/>
        <w:rPr>
          <w:rFonts w:ascii="Times New Roman" w:hAnsi="Times New Roman" w:cs="Times New Roman"/>
          <w:b/>
          <w:i/>
          <w:sz w:val="26"/>
          <w:szCs w:val="26"/>
        </w:rPr>
      </w:pPr>
      <w:r w:rsidRPr="005314AF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5314AF">
        <w:rPr>
          <w:rFonts w:ascii="Times New Roman" w:hAnsi="Times New Roman" w:cs="Times New Roman"/>
          <w:b/>
          <w:i/>
          <w:sz w:val="26"/>
          <w:szCs w:val="26"/>
        </w:rPr>
        <w:t>Customs Tariff Act 1995</w:t>
      </w:r>
    </w:p>
    <w:p w14:paraId="3B1C494C" w14:textId="77777777" w:rsidR="002B7D5C" w:rsidRPr="005314AF" w:rsidRDefault="002B7D5C" w:rsidP="005314AF">
      <w:pPr>
        <w:pStyle w:val="Bodytext130"/>
        <w:spacing w:before="120" w:line="240" w:lineRule="auto"/>
        <w:jc w:val="left"/>
        <w:rPr>
          <w:i w:val="0"/>
          <w:sz w:val="22"/>
          <w:szCs w:val="22"/>
        </w:rPr>
        <w:sectPr w:rsidR="002B7D5C" w:rsidRPr="005314AF" w:rsidSect="00F869C2"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7425"/>
        <w:gridCol w:w="630"/>
      </w:tblGrid>
      <w:tr w:rsidR="00C153A3" w:rsidRPr="005314AF" w14:paraId="4C375CEB" w14:textId="77777777" w:rsidTr="005F14B8">
        <w:trPr>
          <w:trHeight w:val="90"/>
        </w:trPr>
        <w:tc>
          <w:tcPr>
            <w:tcW w:w="9370" w:type="dxa"/>
            <w:gridSpan w:val="3"/>
            <w:vAlign w:val="bottom"/>
          </w:tcPr>
          <w:p w14:paraId="4734B603" w14:textId="0816AE84" w:rsidR="00C153A3" w:rsidRPr="005314AF" w:rsidRDefault="00260CDB" w:rsidP="00973B81">
            <w:pPr>
              <w:pStyle w:val="Bodytext120"/>
              <w:spacing w:line="240" w:lineRule="auto"/>
              <w:ind w:firstLine="0"/>
              <w:rPr>
                <w:sz w:val="22"/>
                <w:szCs w:val="22"/>
              </w:rPr>
            </w:pPr>
            <w:r w:rsidRPr="00973B81">
              <w:rPr>
                <w:rStyle w:val="Bodytext12155pt"/>
                <w:b w:val="0"/>
                <w:sz w:val="32"/>
                <w:szCs w:val="22"/>
              </w:rPr>
              <w:lastRenderedPageBreak/>
              <w:t>Contents</w:t>
            </w:r>
          </w:p>
        </w:tc>
      </w:tr>
      <w:tr w:rsidR="00C153A3" w:rsidRPr="005314AF" w14:paraId="72DB2200" w14:textId="77777777" w:rsidTr="005F14B8">
        <w:trPr>
          <w:trHeight w:val="70"/>
        </w:trPr>
        <w:tc>
          <w:tcPr>
            <w:tcW w:w="1315" w:type="dxa"/>
            <w:vAlign w:val="center"/>
          </w:tcPr>
          <w:p w14:paraId="02F47652" w14:textId="77777777" w:rsidR="00C153A3" w:rsidRPr="00973B81" w:rsidRDefault="00260CDB" w:rsidP="00E42A9D">
            <w:pPr>
              <w:pStyle w:val="Bodytext120"/>
              <w:spacing w:line="240" w:lineRule="auto"/>
              <w:ind w:right="430" w:firstLine="0"/>
              <w:jc w:val="right"/>
              <w:rPr>
                <w:sz w:val="20"/>
                <w:szCs w:val="20"/>
              </w:rPr>
            </w:pPr>
            <w:r w:rsidRPr="00973B81">
              <w:rPr>
                <w:rStyle w:val="Bodytext121"/>
                <w:sz w:val="20"/>
                <w:szCs w:val="20"/>
              </w:rPr>
              <w:t>1</w:t>
            </w:r>
          </w:p>
        </w:tc>
        <w:tc>
          <w:tcPr>
            <w:tcW w:w="7425" w:type="dxa"/>
            <w:vAlign w:val="bottom"/>
          </w:tcPr>
          <w:p w14:paraId="776BDE2F" w14:textId="77777777" w:rsidR="00C153A3" w:rsidRPr="00973B81" w:rsidRDefault="00260CDB" w:rsidP="00E42A9D">
            <w:pPr>
              <w:pStyle w:val="Bodytext120"/>
              <w:tabs>
                <w:tab w:val="left" w:leader="dot" w:pos="737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73B81">
              <w:rPr>
                <w:rStyle w:val="Bodytext128pt"/>
                <w:sz w:val="20"/>
                <w:szCs w:val="20"/>
              </w:rPr>
              <w:t>Short title</w:t>
            </w:r>
            <w:r w:rsidR="00E35C7D" w:rsidRPr="00973B81">
              <w:rPr>
                <w:rStyle w:val="Bodytext128pt"/>
                <w:sz w:val="20"/>
                <w:szCs w:val="20"/>
              </w:rPr>
              <w:tab/>
            </w:r>
          </w:p>
        </w:tc>
        <w:tc>
          <w:tcPr>
            <w:tcW w:w="630" w:type="dxa"/>
            <w:vAlign w:val="bottom"/>
          </w:tcPr>
          <w:p w14:paraId="0037AC56" w14:textId="5B5B4CF8" w:rsidR="00C153A3" w:rsidRPr="00973B81" w:rsidRDefault="00260CDB" w:rsidP="00973B81">
            <w:pPr>
              <w:pStyle w:val="Bodytext120"/>
              <w:spacing w:line="240" w:lineRule="auto"/>
              <w:ind w:right="144" w:firstLine="0"/>
              <w:jc w:val="right"/>
              <w:rPr>
                <w:sz w:val="20"/>
                <w:szCs w:val="20"/>
              </w:rPr>
            </w:pPr>
            <w:r w:rsidRPr="00973B81">
              <w:rPr>
                <w:rStyle w:val="Bodytext1295pt"/>
                <w:spacing w:val="0"/>
                <w:sz w:val="20"/>
                <w:szCs w:val="20"/>
              </w:rPr>
              <w:t>807</w:t>
            </w:r>
          </w:p>
        </w:tc>
      </w:tr>
      <w:tr w:rsidR="00C153A3" w:rsidRPr="005314AF" w14:paraId="79B1A932" w14:textId="77777777" w:rsidTr="005F14B8">
        <w:trPr>
          <w:trHeight w:val="90"/>
        </w:trPr>
        <w:tc>
          <w:tcPr>
            <w:tcW w:w="1315" w:type="dxa"/>
            <w:vAlign w:val="bottom"/>
          </w:tcPr>
          <w:p w14:paraId="5BB45422" w14:textId="77777777" w:rsidR="00C153A3" w:rsidRPr="00973B81" w:rsidRDefault="00260CDB" w:rsidP="00E42A9D">
            <w:pPr>
              <w:pStyle w:val="Bodytext120"/>
              <w:spacing w:line="240" w:lineRule="auto"/>
              <w:ind w:right="430" w:firstLine="0"/>
              <w:jc w:val="right"/>
              <w:rPr>
                <w:sz w:val="20"/>
                <w:szCs w:val="20"/>
              </w:rPr>
            </w:pPr>
            <w:r w:rsidRPr="00973B81">
              <w:rPr>
                <w:rStyle w:val="Bodytext121"/>
                <w:sz w:val="20"/>
                <w:szCs w:val="20"/>
              </w:rPr>
              <w:t>2</w:t>
            </w:r>
          </w:p>
        </w:tc>
        <w:tc>
          <w:tcPr>
            <w:tcW w:w="7425" w:type="dxa"/>
            <w:vAlign w:val="bottom"/>
          </w:tcPr>
          <w:p w14:paraId="300C876D" w14:textId="77777777" w:rsidR="00C153A3" w:rsidRPr="00973B81" w:rsidRDefault="00260CDB" w:rsidP="00E42A9D">
            <w:pPr>
              <w:pStyle w:val="Bodytext120"/>
              <w:tabs>
                <w:tab w:val="left" w:leader="dot" w:pos="737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73B81">
              <w:rPr>
                <w:rStyle w:val="Bodytext128pt"/>
                <w:sz w:val="20"/>
                <w:szCs w:val="20"/>
              </w:rPr>
              <w:t>Commencement</w:t>
            </w:r>
            <w:r w:rsidR="00E35C7D" w:rsidRPr="00973B81">
              <w:rPr>
                <w:rStyle w:val="Bodytext128pt"/>
                <w:sz w:val="20"/>
                <w:szCs w:val="20"/>
              </w:rPr>
              <w:tab/>
            </w:r>
          </w:p>
        </w:tc>
        <w:tc>
          <w:tcPr>
            <w:tcW w:w="630" w:type="dxa"/>
            <w:vAlign w:val="bottom"/>
          </w:tcPr>
          <w:p w14:paraId="6BB429BA" w14:textId="6199BEC2" w:rsidR="00C153A3" w:rsidRPr="00973B81" w:rsidRDefault="00260CDB" w:rsidP="00973B81">
            <w:pPr>
              <w:pStyle w:val="Bodytext120"/>
              <w:spacing w:line="240" w:lineRule="auto"/>
              <w:ind w:right="144" w:firstLine="0"/>
              <w:jc w:val="right"/>
              <w:rPr>
                <w:sz w:val="20"/>
                <w:szCs w:val="20"/>
              </w:rPr>
            </w:pPr>
            <w:r w:rsidRPr="00973B81">
              <w:rPr>
                <w:rStyle w:val="Bodytext1295pt"/>
                <w:spacing w:val="0"/>
                <w:sz w:val="20"/>
                <w:szCs w:val="20"/>
              </w:rPr>
              <w:t>807</w:t>
            </w:r>
          </w:p>
        </w:tc>
      </w:tr>
      <w:tr w:rsidR="00C153A3" w:rsidRPr="005314AF" w14:paraId="76BEC0A5" w14:textId="77777777" w:rsidTr="00B175E0">
        <w:trPr>
          <w:trHeight w:val="225"/>
        </w:trPr>
        <w:tc>
          <w:tcPr>
            <w:tcW w:w="1315" w:type="dxa"/>
            <w:vAlign w:val="center"/>
          </w:tcPr>
          <w:p w14:paraId="2FB4E145" w14:textId="77777777" w:rsidR="00C153A3" w:rsidRPr="00973B81" w:rsidRDefault="00260CDB" w:rsidP="00E42A9D">
            <w:pPr>
              <w:pStyle w:val="Bodytext120"/>
              <w:spacing w:line="240" w:lineRule="auto"/>
              <w:ind w:right="430" w:firstLine="0"/>
              <w:jc w:val="right"/>
              <w:rPr>
                <w:sz w:val="20"/>
                <w:szCs w:val="20"/>
              </w:rPr>
            </w:pPr>
            <w:r w:rsidRPr="00973B81">
              <w:rPr>
                <w:rStyle w:val="Bodytext1295pt"/>
                <w:spacing w:val="0"/>
                <w:sz w:val="20"/>
                <w:szCs w:val="20"/>
              </w:rPr>
              <w:t>3</w:t>
            </w:r>
          </w:p>
        </w:tc>
        <w:tc>
          <w:tcPr>
            <w:tcW w:w="7425" w:type="dxa"/>
            <w:vAlign w:val="bottom"/>
          </w:tcPr>
          <w:p w14:paraId="4932E284" w14:textId="77777777" w:rsidR="00C153A3" w:rsidRPr="00973B81" w:rsidRDefault="00260CDB" w:rsidP="00E42A9D">
            <w:pPr>
              <w:pStyle w:val="Bodytext120"/>
              <w:tabs>
                <w:tab w:val="left" w:leader="dot" w:pos="737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73B81">
              <w:rPr>
                <w:rStyle w:val="Bodytext128pt"/>
                <w:sz w:val="20"/>
                <w:szCs w:val="20"/>
              </w:rPr>
              <w:t>Schedule(s)</w:t>
            </w:r>
            <w:r w:rsidR="00E35C7D" w:rsidRPr="00973B81">
              <w:rPr>
                <w:rStyle w:val="Bodytext128pt"/>
                <w:sz w:val="20"/>
                <w:szCs w:val="20"/>
              </w:rPr>
              <w:tab/>
            </w:r>
          </w:p>
        </w:tc>
        <w:tc>
          <w:tcPr>
            <w:tcW w:w="630" w:type="dxa"/>
            <w:vAlign w:val="bottom"/>
          </w:tcPr>
          <w:p w14:paraId="4028C29C" w14:textId="0259776B" w:rsidR="00C153A3" w:rsidRPr="00973B81" w:rsidRDefault="00260CDB" w:rsidP="00973B81">
            <w:pPr>
              <w:pStyle w:val="Bodytext120"/>
              <w:spacing w:line="240" w:lineRule="auto"/>
              <w:ind w:right="144" w:firstLine="0"/>
              <w:jc w:val="right"/>
              <w:rPr>
                <w:sz w:val="20"/>
                <w:szCs w:val="20"/>
              </w:rPr>
            </w:pPr>
            <w:r w:rsidRPr="00973B81">
              <w:rPr>
                <w:rStyle w:val="Bodytext1295pt"/>
                <w:spacing w:val="0"/>
                <w:sz w:val="20"/>
                <w:szCs w:val="20"/>
              </w:rPr>
              <w:t>808</w:t>
            </w:r>
          </w:p>
        </w:tc>
      </w:tr>
      <w:tr w:rsidR="00C153A3" w:rsidRPr="005314AF" w14:paraId="2730DB02" w14:textId="77777777" w:rsidTr="00AF28DE">
        <w:trPr>
          <w:trHeight w:val="70"/>
        </w:trPr>
        <w:tc>
          <w:tcPr>
            <w:tcW w:w="8740" w:type="dxa"/>
            <w:gridSpan w:val="2"/>
            <w:vAlign w:val="bottom"/>
          </w:tcPr>
          <w:p w14:paraId="0EF18250" w14:textId="77777777" w:rsidR="00C153A3" w:rsidRPr="005314AF" w:rsidRDefault="00260CDB" w:rsidP="00B175E0">
            <w:pPr>
              <w:pStyle w:val="Bodytext120"/>
              <w:spacing w:before="60" w:line="240" w:lineRule="auto"/>
              <w:ind w:firstLine="0"/>
              <w:rPr>
                <w:b/>
                <w:sz w:val="22"/>
                <w:szCs w:val="22"/>
              </w:rPr>
            </w:pPr>
            <w:r w:rsidRPr="005314AF">
              <w:rPr>
                <w:b/>
                <w:sz w:val="22"/>
                <w:szCs w:val="22"/>
              </w:rPr>
              <w:t>Schedule 1—Amendment of the Customs Tariff Act 1995</w:t>
            </w:r>
          </w:p>
        </w:tc>
        <w:tc>
          <w:tcPr>
            <w:tcW w:w="630" w:type="dxa"/>
            <w:vAlign w:val="bottom"/>
          </w:tcPr>
          <w:p w14:paraId="62210104" w14:textId="52FA768C" w:rsidR="00C153A3" w:rsidRPr="005314AF" w:rsidRDefault="00260CDB" w:rsidP="00973B81">
            <w:pPr>
              <w:pStyle w:val="Bodytext120"/>
              <w:spacing w:line="240" w:lineRule="auto"/>
              <w:ind w:right="144" w:firstLine="0"/>
              <w:jc w:val="right"/>
              <w:rPr>
                <w:sz w:val="22"/>
                <w:szCs w:val="22"/>
              </w:rPr>
            </w:pPr>
            <w:r w:rsidRPr="00973B81">
              <w:rPr>
                <w:rStyle w:val="Bodytext1295pt"/>
                <w:spacing w:val="0"/>
                <w:sz w:val="20"/>
                <w:szCs w:val="22"/>
              </w:rPr>
              <w:t>809</w:t>
            </w:r>
          </w:p>
        </w:tc>
      </w:tr>
    </w:tbl>
    <w:p w14:paraId="184EAC6D" w14:textId="77777777" w:rsidR="008C61D2" w:rsidRPr="005314AF" w:rsidRDefault="008C61D2" w:rsidP="005314AF">
      <w:pPr>
        <w:pStyle w:val="Bodytext130"/>
        <w:spacing w:before="120" w:line="240" w:lineRule="auto"/>
        <w:jc w:val="left"/>
        <w:rPr>
          <w:i w:val="0"/>
          <w:sz w:val="22"/>
          <w:szCs w:val="22"/>
        </w:rPr>
      </w:pPr>
    </w:p>
    <w:p w14:paraId="1D399D21" w14:textId="77777777" w:rsidR="006419D7" w:rsidRDefault="006419D7" w:rsidP="005314AF">
      <w:pPr>
        <w:pStyle w:val="Bodytext130"/>
        <w:spacing w:before="120" w:line="240" w:lineRule="auto"/>
        <w:jc w:val="left"/>
        <w:rPr>
          <w:i w:val="0"/>
          <w:sz w:val="22"/>
          <w:szCs w:val="22"/>
        </w:rPr>
      </w:pPr>
    </w:p>
    <w:p w14:paraId="464DB20F" w14:textId="77777777" w:rsidR="006419D7" w:rsidRPr="006419D7" w:rsidRDefault="006419D7" w:rsidP="006419D7"/>
    <w:p w14:paraId="2DB4D6B2" w14:textId="77777777" w:rsidR="006419D7" w:rsidRPr="006419D7" w:rsidRDefault="006419D7" w:rsidP="006419D7"/>
    <w:p w14:paraId="0D9D3E10" w14:textId="77777777" w:rsidR="006419D7" w:rsidRPr="006419D7" w:rsidRDefault="006419D7" w:rsidP="006419D7"/>
    <w:p w14:paraId="6462A5A8" w14:textId="77777777" w:rsidR="006419D7" w:rsidRPr="006419D7" w:rsidRDefault="006419D7" w:rsidP="006419D7"/>
    <w:p w14:paraId="377A0090" w14:textId="77777777" w:rsidR="006419D7" w:rsidRPr="006419D7" w:rsidRDefault="006419D7" w:rsidP="006419D7"/>
    <w:p w14:paraId="5E7468AE" w14:textId="77777777" w:rsidR="006419D7" w:rsidRPr="006419D7" w:rsidRDefault="006419D7" w:rsidP="006419D7"/>
    <w:p w14:paraId="32E0C948" w14:textId="77777777" w:rsidR="006419D7" w:rsidRPr="006419D7" w:rsidRDefault="006419D7" w:rsidP="006419D7"/>
    <w:p w14:paraId="7496A279" w14:textId="77777777" w:rsidR="006419D7" w:rsidRPr="006419D7" w:rsidRDefault="006419D7" w:rsidP="006419D7"/>
    <w:p w14:paraId="51E3FB8F" w14:textId="77777777" w:rsidR="006419D7" w:rsidRPr="006419D7" w:rsidRDefault="006419D7" w:rsidP="006419D7"/>
    <w:p w14:paraId="323683AD" w14:textId="77777777" w:rsidR="006419D7" w:rsidRPr="006419D7" w:rsidRDefault="006419D7" w:rsidP="006419D7"/>
    <w:p w14:paraId="70665ECF" w14:textId="77777777" w:rsidR="006419D7" w:rsidRPr="006419D7" w:rsidRDefault="006419D7" w:rsidP="006419D7"/>
    <w:p w14:paraId="225018AC" w14:textId="77777777" w:rsidR="006419D7" w:rsidRPr="006419D7" w:rsidRDefault="006419D7" w:rsidP="006419D7"/>
    <w:p w14:paraId="75CF407E" w14:textId="77777777" w:rsidR="006419D7" w:rsidRPr="006419D7" w:rsidRDefault="006419D7" w:rsidP="006419D7"/>
    <w:p w14:paraId="2AEA22F4" w14:textId="77777777" w:rsidR="006419D7" w:rsidRPr="006419D7" w:rsidRDefault="006419D7" w:rsidP="006419D7"/>
    <w:p w14:paraId="734BA3CF" w14:textId="77777777" w:rsidR="006419D7" w:rsidRPr="006419D7" w:rsidRDefault="006419D7" w:rsidP="006419D7"/>
    <w:p w14:paraId="37D82CBE" w14:textId="77777777" w:rsidR="006419D7" w:rsidRPr="006419D7" w:rsidRDefault="006419D7" w:rsidP="006419D7"/>
    <w:p w14:paraId="7B394844" w14:textId="77777777" w:rsidR="006419D7" w:rsidRPr="006419D7" w:rsidRDefault="006419D7" w:rsidP="006419D7"/>
    <w:p w14:paraId="5F965156" w14:textId="77777777" w:rsidR="006419D7" w:rsidRPr="006419D7" w:rsidRDefault="006419D7" w:rsidP="006419D7"/>
    <w:p w14:paraId="24BB3B2B" w14:textId="77777777" w:rsidR="006419D7" w:rsidRPr="006419D7" w:rsidRDefault="006419D7" w:rsidP="006419D7"/>
    <w:p w14:paraId="3DD99BD1" w14:textId="77777777" w:rsidR="006419D7" w:rsidRPr="006419D7" w:rsidRDefault="006419D7" w:rsidP="006419D7"/>
    <w:p w14:paraId="603B676F" w14:textId="77777777" w:rsidR="006419D7" w:rsidRPr="006419D7" w:rsidRDefault="006419D7" w:rsidP="006419D7"/>
    <w:p w14:paraId="61FBE43D" w14:textId="77777777" w:rsidR="008C61D2" w:rsidRPr="006419D7" w:rsidRDefault="006419D7" w:rsidP="006419D7">
      <w:pPr>
        <w:tabs>
          <w:tab w:val="center" w:pos="4680"/>
        </w:tabs>
        <w:sectPr w:rsidR="008C61D2" w:rsidRPr="006419D7" w:rsidSect="002100D4"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  <w:r>
        <w:tab/>
      </w:r>
    </w:p>
    <w:p w14:paraId="176FECFA" w14:textId="72494AA4" w:rsidR="00C153A3" w:rsidRPr="005314AF" w:rsidRDefault="00F45503" w:rsidP="005314AF">
      <w:pPr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69357FBE">
          <v:shape id="_x0000_i1026" type="#_x0000_t75" alt="Commonwealth Coat of Arms of Australia" style="width:131.9pt;height:87.55pt">
            <v:imagedata r:id="rId14" o:title=""/>
          </v:shape>
        </w:pict>
      </w:r>
    </w:p>
    <w:p w14:paraId="3BE2ED1D" w14:textId="77777777" w:rsidR="006419D7" w:rsidRDefault="00260CDB" w:rsidP="00E50E5B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E50E5B">
        <w:rPr>
          <w:rFonts w:ascii="Times New Roman" w:hAnsi="Times New Roman" w:cs="Times New Roman"/>
          <w:b/>
          <w:sz w:val="36"/>
          <w:szCs w:val="36"/>
        </w:rPr>
        <w:t xml:space="preserve">Customs </w:t>
      </w:r>
      <w:bookmarkStart w:id="1" w:name="_GoBack"/>
      <w:bookmarkEnd w:id="1"/>
      <w:r w:rsidRPr="00E50E5B">
        <w:rPr>
          <w:rFonts w:ascii="Times New Roman" w:hAnsi="Times New Roman" w:cs="Times New Roman"/>
          <w:b/>
          <w:sz w:val="36"/>
          <w:szCs w:val="36"/>
        </w:rPr>
        <w:t xml:space="preserve">Tariff Amendment Act </w:t>
      </w:r>
    </w:p>
    <w:p w14:paraId="0BAF5784" w14:textId="77777777" w:rsidR="00C153A3" w:rsidRPr="00E50E5B" w:rsidRDefault="00260CDB" w:rsidP="006419D7">
      <w:pPr>
        <w:rPr>
          <w:rFonts w:ascii="Times New Roman" w:hAnsi="Times New Roman" w:cs="Times New Roman"/>
          <w:b/>
          <w:sz w:val="36"/>
          <w:szCs w:val="36"/>
        </w:rPr>
      </w:pPr>
      <w:r w:rsidRPr="00E50E5B">
        <w:rPr>
          <w:rFonts w:ascii="Times New Roman" w:hAnsi="Times New Roman" w:cs="Times New Roman"/>
          <w:b/>
          <w:sz w:val="36"/>
          <w:szCs w:val="36"/>
        </w:rPr>
        <w:t>(No. 1) 1996</w:t>
      </w:r>
      <w:bookmarkEnd w:id="0"/>
    </w:p>
    <w:p w14:paraId="60BD1E98" w14:textId="77777777" w:rsidR="00C153A3" w:rsidRPr="006419D7" w:rsidRDefault="00260CDB" w:rsidP="00E50E5B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r w:rsidRPr="006419D7">
        <w:rPr>
          <w:rFonts w:ascii="Times New Roman" w:hAnsi="Times New Roman" w:cs="Times New Roman"/>
          <w:b/>
          <w:sz w:val="28"/>
          <w:szCs w:val="28"/>
        </w:rPr>
        <w:t>No. 32,</w:t>
      </w:r>
      <w:r w:rsidR="00E70BDD" w:rsidRPr="0064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9D7">
        <w:rPr>
          <w:rFonts w:ascii="Times New Roman" w:hAnsi="Times New Roman" w:cs="Times New Roman"/>
          <w:b/>
          <w:sz w:val="28"/>
          <w:szCs w:val="28"/>
        </w:rPr>
        <w:t>1996</w:t>
      </w:r>
    </w:p>
    <w:p w14:paraId="524B9D89" w14:textId="77777777" w:rsidR="00060AC2" w:rsidRPr="005314AF" w:rsidRDefault="00060AC2" w:rsidP="00E50E5B">
      <w:pPr>
        <w:pBdr>
          <w:top w:val="thickThinSmallGap" w:sz="24" w:space="1" w:color="auto"/>
        </w:pBdr>
        <w:spacing w:before="960"/>
        <w:rPr>
          <w:rFonts w:ascii="Times New Roman" w:hAnsi="Times New Roman" w:cs="Times New Roman"/>
          <w:sz w:val="22"/>
          <w:szCs w:val="22"/>
        </w:rPr>
      </w:pPr>
    </w:p>
    <w:p w14:paraId="39E77553" w14:textId="77777777" w:rsidR="002A3DBB" w:rsidRPr="00E50E5B" w:rsidRDefault="00260CDB" w:rsidP="00E50E5B">
      <w:pPr>
        <w:spacing w:before="960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 w:rsidRPr="00E50E5B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="008908BB" w:rsidRPr="00E50E5B">
        <w:rPr>
          <w:rFonts w:ascii="Times New Roman" w:hAnsi="Times New Roman" w:cs="Times New Roman"/>
          <w:b/>
          <w:i/>
          <w:sz w:val="26"/>
          <w:szCs w:val="26"/>
        </w:rPr>
        <w:t>Customs</w:t>
      </w:r>
      <w:r w:rsidR="002A3DBB" w:rsidRPr="00E50E5B">
        <w:rPr>
          <w:rFonts w:ascii="Times New Roman" w:hAnsi="Times New Roman" w:cs="Times New Roman"/>
          <w:b/>
          <w:i/>
          <w:sz w:val="26"/>
          <w:szCs w:val="26"/>
        </w:rPr>
        <w:t xml:space="preserve"> Tariff Act 1995</w:t>
      </w:r>
    </w:p>
    <w:p w14:paraId="7F8CC1D9" w14:textId="23245F27" w:rsidR="00C153A3" w:rsidRPr="005314AF" w:rsidRDefault="00260CDB" w:rsidP="005314AF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F45503">
        <w:rPr>
          <w:rFonts w:ascii="Times New Roman" w:hAnsi="Times New Roman" w:cs="Times New Roman"/>
          <w:sz w:val="26"/>
          <w:szCs w:val="26"/>
        </w:rPr>
        <w:t>The Parliament of Australia enacts:</w:t>
      </w:r>
      <w:bookmarkEnd w:id="2"/>
    </w:p>
    <w:p w14:paraId="55F593B9" w14:textId="77777777" w:rsidR="00C153A3" w:rsidRPr="005314AF" w:rsidRDefault="00260CDB" w:rsidP="005314AF">
      <w:pPr>
        <w:pStyle w:val="Bodytext100"/>
        <w:spacing w:before="120" w:line="240" w:lineRule="auto"/>
        <w:jc w:val="left"/>
        <w:rPr>
          <w:sz w:val="22"/>
          <w:szCs w:val="22"/>
        </w:rPr>
      </w:pPr>
      <w:r w:rsidRPr="005314AF">
        <w:rPr>
          <w:rStyle w:val="Bodytext101"/>
          <w:iCs/>
          <w:sz w:val="22"/>
          <w:szCs w:val="22"/>
        </w:rPr>
        <w:t>[</w:t>
      </w:r>
      <w:r w:rsidRPr="005314AF">
        <w:rPr>
          <w:rStyle w:val="Bodytext101"/>
          <w:i/>
          <w:iCs/>
          <w:sz w:val="22"/>
          <w:szCs w:val="22"/>
        </w:rPr>
        <w:t>Assented to 9 July 1996</w:t>
      </w:r>
      <w:r w:rsidRPr="005314AF">
        <w:rPr>
          <w:rStyle w:val="Bodytext101"/>
          <w:iCs/>
          <w:sz w:val="22"/>
          <w:szCs w:val="22"/>
        </w:rPr>
        <w:t>]</w:t>
      </w:r>
    </w:p>
    <w:p w14:paraId="4930FDA4" w14:textId="77777777" w:rsidR="00C153A3" w:rsidRPr="005314AF" w:rsidRDefault="00EE11DF" w:rsidP="00AF28DE">
      <w:pPr>
        <w:pStyle w:val="Bodytext110"/>
        <w:spacing w:before="120" w:after="60" w:line="240" w:lineRule="auto"/>
        <w:jc w:val="left"/>
        <w:rPr>
          <w:sz w:val="22"/>
          <w:szCs w:val="22"/>
        </w:rPr>
      </w:pPr>
      <w:bookmarkStart w:id="3" w:name="bookmark2"/>
      <w:r w:rsidRPr="005314AF">
        <w:rPr>
          <w:rStyle w:val="Bodytext111"/>
          <w:b/>
          <w:bCs/>
          <w:sz w:val="22"/>
          <w:szCs w:val="22"/>
        </w:rPr>
        <w:t>1</w:t>
      </w:r>
      <w:r w:rsidR="00E76AC5">
        <w:rPr>
          <w:rStyle w:val="Bodytext111"/>
          <w:b/>
          <w:bCs/>
          <w:sz w:val="22"/>
          <w:szCs w:val="22"/>
        </w:rPr>
        <w:t xml:space="preserve"> </w:t>
      </w:r>
      <w:r w:rsidR="00260CDB" w:rsidRPr="005314AF">
        <w:rPr>
          <w:rStyle w:val="Bodytext111"/>
          <w:b/>
          <w:bCs/>
          <w:sz w:val="22"/>
          <w:szCs w:val="22"/>
        </w:rPr>
        <w:t>Short title</w:t>
      </w:r>
      <w:bookmarkEnd w:id="3"/>
    </w:p>
    <w:p w14:paraId="777F69D2" w14:textId="77777777" w:rsidR="00C153A3" w:rsidRPr="005314AF" w:rsidRDefault="00260CDB" w:rsidP="0077183E">
      <w:pPr>
        <w:pStyle w:val="Bodytext100"/>
        <w:spacing w:before="120" w:line="240" w:lineRule="auto"/>
        <w:ind w:left="1080" w:hanging="117"/>
        <w:jc w:val="left"/>
        <w:rPr>
          <w:sz w:val="22"/>
          <w:szCs w:val="22"/>
        </w:rPr>
      </w:pPr>
      <w:r w:rsidRPr="005314AF">
        <w:rPr>
          <w:rStyle w:val="Bodytext10NotItalic"/>
          <w:sz w:val="22"/>
          <w:szCs w:val="22"/>
        </w:rPr>
        <w:t xml:space="preserve">This Act may be cited as the </w:t>
      </w:r>
      <w:r w:rsidRPr="005314AF">
        <w:rPr>
          <w:rStyle w:val="Bodytext101"/>
          <w:i/>
          <w:iCs/>
          <w:sz w:val="22"/>
          <w:szCs w:val="22"/>
        </w:rPr>
        <w:t>Customs Tariff Amendment Act (No. 1) 1996.</w:t>
      </w:r>
    </w:p>
    <w:p w14:paraId="6E0B970C" w14:textId="77777777" w:rsidR="00C153A3" w:rsidRPr="005314AF" w:rsidRDefault="00DA2F80" w:rsidP="00AF28DE">
      <w:pPr>
        <w:pStyle w:val="Bodytext110"/>
        <w:spacing w:before="120" w:after="60" w:line="240" w:lineRule="auto"/>
        <w:jc w:val="left"/>
        <w:rPr>
          <w:sz w:val="22"/>
          <w:szCs w:val="22"/>
        </w:rPr>
      </w:pPr>
      <w:bookmarkStart w:id="4" w:name="bookmark3"/>
      <w:r w:rsidRPr="005314AF">
        <w:rPr>
          <w:rStyle w:val="Bodytext111"/>
          <w:b/>
          <w:bCs/>
          <w:sz w:val="22"/>
          <w:szCs w:val="22"/>
        </w:rPr>
        <w:t>2</w:t>
      </w:r>
      <w:r w:rsidR="00E76AC5">
        <w:rPr>
          <w:rStyle w:val="Bodytext111"/>
          <w:b/>
          <w:bCs/>
          <w:sz w:val="22"/>
          <w:szCs w:val="22"/>
        </w:rPr>
        <w:t xml:space="preserve"> </w:t>
      </w:r>
      <w:r w:rsidR="00260CDB" w:rsidRPr="005314AF">
        <w:rPr>
          <w:rStyle w:val="Bodytext111"/>
          <w:b/>
          <w:bCs/>
          <w:sz w:val="22"/>
          <w:szCs w:val="22"/>
        </w:rPr>
        <w:t>Commencement</w:t>
      </w:r>
      <w:bookmarkEnd w:id="4"/>
    </w:p>
    <w:p w14:paraId="4DAE87A4" w14:textId="77777777" w:rsidR="00C153A3" w:rsidRPr="005314AF" w:rsidRDefault="00EE11DF" w:rsidP="0077183E">
      <w:pPr>
        <w:pStyle w:val="Bodytext120"/>
        <w:spacing w:before="120" w:line="240" w:lineRule="auto"/>
        <w:ind w:left="981" w:hanging="315"/>
        <w:rPr>
          <w:sz w:val="22"/>
          <w:szCs w:val="22"/>
        </w:rPr>
      </w:pPr>
      <w:r w:rsidRPr="005314AF">
        <w:rPr>
          <w:rStyle w:val="Bodytext122"/>
          <w:sz w:val="22"/>
          <w:szCs w:val="22"/>
        </w:rPr>
        <w:t xml:space="preserve">(1) </w:t>
      </w:r>
      <w:r w:rsidR="00260CDB" w:rsidRPr="005314AF">
        <w:rPr>
          <w:rStyle w:val="Bodytext122"/>
          <w:sz w:val="22"/>
          <w:szCs w:val="22"/>
        </w:rPr>
        <w:t xml:space="preserve">Subject to subsection (2), this Act commences at a time to be fixed by Proclamation, being a time after the time that the </w:t>
      </w:r>
      <w:r w:rsidR="00260CDB" w:rsidRPr="005314AF">
        <w:rPr>
          <w:rStyle w:val="Bodytext12Italic"/>
          <w:sz w:val="22"/>
          <w:szCs w:val="22"/>
        </w:rPr>
        <w:t>Customs Tariff (Miscellaneous Amendments) Act 1996</w:t>
      </w:r>
      <w:r w:rsidR="00260CDB" w:rsidRPr="005314AF">
        <w:rPr>
          <w:rStyle w:val="Bodytext122"/>
          <w:sz w:val="22"/>
          <w:szCs w:val="22"/>
        </w:rPr>
        <w:t xml:space="preserve"> commences.</w:t>
      </w:r>
    </w:p>
    <w:p w14:paraId="3B968827" w14:textId="77777777" w:rsidR="00650173" w:rsidRPr="005314AF" w:rsidRDefault="00EE11DF" w:rsidP="0077183E">
      <w:pPr>
        <w:pStyle w:val="Bodytext120"/>
        <w:spacing w:before="120" w:line="240" w:lineRule="auto"/>
        <w:ind w:left="981" w:hanging="315"/>
        <w:rPr>
          <w:sz w:val="22"/>
          <w:szCs w:val="22"/>
        </w:rPr>
      </w:pPr>
      <w:r w:rsidRPr="005314AF">
        <w:rPr>
          <w:rStyle w:val="Bodytext122"/>
          <w:sz w:val="22"/>
          <w:szCs w:val="22"/>
        </w:rPr>
        <w:t xml:space="preserve">(2) </w:t>
      </w:r>
      <w:r w:rsidR="00260CDB" w:rsidRPr="005314AF">
        <w:rPr>
          <w:rStyle w:val="Bodytext122"/>
          <w:sz w:val="22"/>
          <w:szCs w:val="22"/>
        </w:rPr>
        <w:t xml:space="preserve">If this </w:t>
      </w:r>
      <w:r w:rsidR="00260CDB" w:rsidRPr="005314AF">
        <w:rPr>
          <w:sz w:val="22"/>
          <w:szCs w:val="22"/>
        </w:rPr>
        <w:t>Act</w:t>
      </w:r>
      <w:r w:rsidR="00260CDB" w:rsidRPr="005314AF">
        <w:rPr>
          <w:rStyle w:val="Bodytext122"/>
          <w:sz w:val="22"/>
          <w:szCs w:val="22"/>
        </w:rPr>
        <w:t xml:space="preserve"> does not commence within 6 months after the day on which it receives the Royal Assent, it commences on the first day after the end of that period.</w:t>
      </w:r>
    </w:p>
    <w:p w14:paraId="18F21763" w14:textId="77777777" w:rsidR="00650173" w:rsidRPr="005314AF" w:rsidRDefault="00650173" w:rsidP="00E76AC5">
      <w:pPr>
        <w:pStyle w:val="Bodytext120"/>
        <w:spacing w:before="120" w:line="240" w:lineRule="auto"/>
        <w:ind w:firstLine="0"/>
        <w:rPr>
          <w:sz w:val="22"/>
          <w:szCs w:val="22"/>
        </w:rPr>
        <w:sectPr w:rsidR="00650173" w:rsidRPr="005314AF" w:rsidSect="00DF3737"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1A77F4ED" w14:textId="77777777" w:rsidR="00C153A3" w:rsidRPr="005314AF" w:rsidRDefault="006E5C33" w:rsidP="00E76AC5">
      <w:pPr>
        <w:pStyle w:val="Bodytext110"/>
        <w:spacing w:before="120" w:line="240" w:lineRule="auto"/>
        <w:jc w:val="left"/>
        <w:rPr>
          <w:sz w:val="22"/>
          <w:szCs w:val="22"/>
        </w:rPr>
      </w:pPr>
      <w:r w:rsidRPr="005314AF">
        <w:rPr>
          <w:rStyle w:val="Bodytext112"/>
          <w:b/>
          <w:bCs/>
          <w:sz w:val="22"/>
          <w:szCs w:val="22"/>
        </w:rPr>
        <w:lastRenderedPageBreak/>
        <w:t>3</w:t>
      </w:r>
      <w:r w:rsidR="00E76AC5">
        <w:rPr>
          <w:rStyle w:val="Bodytext112"/>
          <w:b/>
          <w:bCs/>
          <w:sz w:val="22"/>
          <w:szCs w:val="22"/>
        </w:rPr>
        <w:t xml:space="preserve"> </w:t>
      </w:r>
      <w:r w:rsidR="00260CDB" w:rsidRPr="005314AF">
        <w:rPr>
          <w:rStyle w:val="Bodytext112"/>
          <w:b/>
          <w:bCs/>
          <w:sz w:val="22"/>
          <w:szCs w:val="22"/>
        </w:rPr>
        <w:t>Schedule(s)</w:t>
      </w:r>
    </w:p>
    <w:p w14:paraId="06FBF846" w14:textId="77777777" w:rsidR="000E4158" w:rsidRPr="005314AF" w:rsidRDefault="00260CDB" w:rsidP="00AF50AE">
      <w:pPr>
        <w:pStyle w:val="Bodytext120"/>
        <w:spacing w:before="120" w:line="240" w:lineRule="auto"/>
        <w:ind w:left="999" w:firstLine="0"/>
        <w:rPr>
          <w:sz w:val="22"/>
          <w:szCs w:val="22"/>
        </w:rPr>
      </w:pPr>
      <w:r w:rsidRPr="005314AF">
        <w:rPr>
          <w:rStyle w:val="Bodytext123"/>
          <w:sz w:val="22"/>
          <w:szCs w:val="22"/>
        </w:rPr>
        <w:t>Each Act that is specified in a Schedule to this Act is amended or repealed as set out in the applicable items in the Schedule concerned, and any other item in a Schedule to this Act has effect according to its terms.</w:t>
      </w:r>
    </w:p>
    <w:p w14:paraId="0B70568C" w14:textId="77777777" w:rsidR="006419D7" w:rsidRDefault="006419D7" w:rsidP="00E76AC5">
      <w:pPr>
        <w:pStyle w:val="Bodytext120"/>
        <w:spacing w:before="120" w:line="240" w:lineRule="auto"/>
        <w:ind w:firstLine="0"/>
        <w:rPr>
          <w:sz w:val="22"/>
          <w:szCs w:val="22"/>
        </w:rPr>
      </w:pPr>
    </w:p>
    <w:p w14:paraId="6FB4E66A" w14:textId="77777777" w:rsidR="006419D7" w:rsidRPr="006419D7" w:rsidRDefault="006419D7" w:rsidP="006419D7"/>
    <w:p w14:paraId="09F85B22" w14:textId="77777777" w:rsidR="006419D7" w:rsidRPr="006419D7" w:rsidRDefault="006419D7" w:rsidP="006419D7"/>
    <w:p w14:paraId="17CCED1D" w14:textId="77777777" w:rsidR="006419D7" w:rsidRPr="006419D7" w:rsidRDefault="006419D7" w:rsidP="006419D7"/>
    <w:p w14:paraId="2BB12922" w14:textId="77777777" w:rsidR="006419D7" w:rsidRPr="006419D7" w:rsidRDefault="006419D7" w:rsidP="006419D7"/>
    <w:p w14:paraId="4683CEA6" w14:textId="77777777" w:rsidR="006419D7" w:rsidRPr="006419D7" w:rsidRDefault="006419D7" w:rsidP="006419D7"/>
    <w:p w14:paraId="499B9337" w14:textId="77777777" w:rsidR="006419D7" w:rsidRPr="006419D7" w:rsidRDefault="006419D7" w:rsidP="006419D7"/>
    <w:p w14:paraId="706B87CF" w14:textId="77777777" w:rsidR="006419D7" w:rsidRPr="006419D7" w:rsidRDefault="006419D7" w:rsidP="006419D7"/>
    <w:p w14:paraId="68460071" w14:textId="77777777" w:rsidR="006419D7" w:rsidRPr="006419D7" w:rsidRDefault="006419D7" w:rsidP="006419D7"/>
    <w:p w14:paraId="608BCCC9" w14:textId="77777777" w:rsidR="006419D7" w:rsidRPr="006419D7" w:rsidRDefault="006419D7" w:rsidP="006419D7"/>
    <w:p w14:paraId="6E3C1DC6" w14:textId="77777777" w:rsidR="006419D7" w:rsidRPr="006419D7" w:rsidRDefault="006419D7" w:rsidP="006419D7"/>
    <w:p w14:paraId="134F1E35" w14:textId="77777777" w:rsidR="006419D7" w:rsidRPr="006419D7" w:rsidRDefault="006419D7" w:rsidP="006419D7"/>
    <w:p w14:paraId="5D4692AC" w14:textId="77777777" w:rsidR="00B175E0" w:rsidRDefault="006419D7" w:rsidP="006419D7">
      <w:pPr>
        <w:tabs>
          <w:tab w:val="center" w:pos="4680"/>
        </w:tabs>
      </w:pPr>
      <w:r>
        <w:tab/>
      </w:r>
    </w:p>
    <w:p w14:paraId="7775ABE5" w14:textId="77777777" w:rsidR="00B175E0" w:rsidRPr="00B175E0" w:rsidRDefault="00B175E0" w:rsidP="00B175E0"/>
    <w:p w14:paraId="7850611B" w14:textId="77777777" w:rsidR="00B175E0" w:rsidRPr="00B175E0" w:rsidRDefault="00B175E0" w:rsidP="00B175E0"/>
    <w:p w14:paraId="3EAA3ED2" w14:textId="77777777" w:rsidR="00B175E0" w:rsidRPr="00B175E0" w:rsidRDefault="00B175E0" w:rsidP="00B175E0"/>
    <w:p w14:paraId="2438DB6D" w14:textId="77777777" w:rsidR="00B175E0" w:rsidRDefault="00B175E0" w:rsidP="00B175E0"/>
    <w:p w14:paraId="3446B5F9" w14:textId="77777777" w:rsidR="000E4158" w:rsidRPr="00B175E0" w:rsidRDefault="00B175E0" w:rsidP="00B175E0">
      <w:pPr>
        <w:tabs>
          <w:tab w:val="left" w:pos="5475"/>
        </w:tabs>
        <w:sectPr w:rsidR="000E4158" w:rsidRPr="00B175E0" w:rsidSect="0099430E"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  <w:r>
        <w:tab/>
      </w:r>
      <w:r>
        <w:tab/>
      </w:r>
    </w:p>
    <w:p w14:paraId="17BFCEFA" w14:textId="2A41024A" w:rsidR="00C153A3" w:rsidRPr="006419D7" w:rsidRDefault="00260CDB" w:rsidP="00E76AC5">
      <w:pPr>
        <w:spacing w:before="120"/>
        <w:rPr>
          <w:rFonts w:ascii="Times New Roman" w:hAnsi="Times New Roman" w:cs="Times New Roman"/>
          <w:b/>
        </w:rPr>
      </w:pPr>
      <w:bookmarkStart w:id="5" w:name="bookmark4"/>
      <w:r w:rsidRPr="00F45503">
        <w:rPr>
          <w:rFonts w:ascii="Times New Roman" w:hAnsi="Times New Roman" w:cs="Times New Roman"/>
          <w:b/>
          <w:sz w:val="28"/>
        </w:rPr>
        <w:lastRenderedPageBreak/>
        <w:t>Schedule 1— Amendment of the Customs Tariff Act 1995</w:t>
      </w:r>
      <w:bookmarkEnd w:id="5"/>
    </w:p>
    <w:p w14:paraId="3474052B" w14:textId="2A26D283" w:rsidR="00C153A3" w:rsidRPr="005314AF" w:rsidRDefault="000F5182" w:rsidP="00E76AC5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6" w:name="bookmark5"/>
      <w:r w:rsidRPr="00F45503">
        <w:rPr>
          <w:szCs w:val="22"/>
        </w:rPr>
        <w:t>1</w:t>
      </w:r>
      <w:r w:rsidR="00E76AC5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Item 11 of Schedule 4</w:t>
      </w:r>
      <w:bookmarkEnd w:id="6"/>
    </w:p>
    <w:p w14:paraId="61F70CE0" w14:textId="77777777" w:rsidR="00C153A3" w:rsidRPr="005314AF" w:rsidRDefault="00260CDB" w:rsidP="00E76AC5">
      <w:pPr>
        <w:spacing w:before="120"/>
        <w:ind w:left="576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Repeal the item.</w:t>
      </w:r>
    </w:p>
    <w:p w14:paraId="5DB5C770" w14:textId="1928D3F7" w:rsidR="00C153A3" w:rsidRPr="005314AF" w:rsidRDefault="000F5182" w:rsidP="00E76AC5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7" w:name="bookmark6"/>
      <w:r w:rsidRPr="00F45503">
        <w:rPr>
          <w:szCs w:val="22"/>
        </w:rPr>
        <w:t>2</w:t>
      </w:r>
      <w:r w:rsidR="00E76AC5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Item 19 of Schedule 4</w:t>
      </w:r>
      <w:bookmarkEnd w:id="7"/>
    </w:p>
    <w:p w14:paraId="21B0FA44" w14:textId="77777777" w:rsidR="00C153A3" w:rsidRPr="005314AF" w:rsidRDefault="00260CDB" w:rsidP="00D77744">
      <w:pPr>
        <w:spacing w:before="120"/>
        <w:ind w:left="2780" w:right="5760" w:hanging="2204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“Free”, substitute “3%</w:t>
      </w:r>
      <w:r w:rsidR="00D77744">
        <w:rPr>
          <w:rFonts w:ascii="Times New Roman" w:hAnsi="Times New Roman" w:cs="Times New Roman"/>
          <w:sz w:val="22"/>
          <w:szCs w:val="22"/>
        </w:rPr>
        <w:t xml:space="preserve"> </w:t>
      </w:r>
      <w:r w:rsidRPr="005314AF">
        <w:rPr>
          <w:rFonts w:ascii="Times New Roman" w:hAnsi="Times New Roman" w:cs="Times New Roman"/>
          <w:sz w:val="22"/>
          <w:szCs w:val="22"/>
        </w:rPr>
        <w:t>DC:3%".</w:t>
      </w:r>
    </w:p>
    <w:p w14:paraId="1D7DCFBB" w14:textId="4ACD7B27" w:rsidR="00C153A3" w:rsidRPr="005314AF" w:rsidRDefault="006E5C33" w:rsidP="00E76AC5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8" w:name="bookmark7"/>
      <w:r w:rsidRPr="00F45503">
        <w:rPr>
          <w:szCs w:val="22"/>
        </w:rPr>
        <w:t>3</w:t>
      </w:r>
      <w:r w:rsidR="00E76AC5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Item 45 of Schedule 4</w:t>
      </w:r>
      <w:bookmarkEnd w:id="8"/>
    </w:p>
    <w:p w14:paraId="7E970847" w14:textId="77777777" w:rsidR="00C153A3" w:rsidRPr="005314AF" w:rsidRDefault="00260CDB" w:rsidP="00D25B37">
      <w:pPr>
        <w:spacing w:before="120" w:after="120"/>
        <w:ind w:left="576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the item, substitute: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220"/>
        <w:gridCol w:w="1710"/>
      </w:tblGrid>
      <w:tr w:rsidR="00D25B37" w14:paraId="4A8F6F79" w14:textId="77777777" w:rsidTr="005B55CF">
        <w:trPr>
          <w:trHeight w:val="60"/>
        </w:trPr>
        <w:tc>
          <w:tcPr>
            <w:tcW w:w="630" w:type="dxa"/>
            <w:vAlign w:val="bottom"/>
          </w:tcPr>
          <w:p w14:paraId="032599B6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220" w:type="dxa"/>
            <w:vAlign w:val="bottom"/>
          </w:tcPr>
          <w:p w14:paraId="54868FCA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Capital equipment for use in the mining and resource</w:t>
            </w:r>
          </w:p>
        </w:tc>
        <w:tc>
          <w:tcPr>
            <w:tcW w:w="1710" w:type="dxa"/>
            <w:vAlign w:val="bottom"/>
          </w:tcPr>
          <w:p w14:paraId="49472CD3" w14:textId="77777777" w:rsidR="00D25B37" w:rsidRDefault="00D25B37" w:rsidP="00D25B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Free</w:t>
            </w:r>
          </w:p>
        </w:tc>
      </w:tr>
      <w:tr w:rsidR="00D25B37" w14:paraId="19FE7D96" w14:textId="77777777" w:rsidTr="005B55CF">
        <w:trPr>
          <w:trHeight w:val="60"/>
        </w:trPr>
        <w:tc>
          <w:tcPr>
            <w:tcW w:w="630" w:type="dxa"/>
            <w:vAlign w:val="bottom"/>
          </w:tcPr>
          <w:p w14:paraId="7BB4401B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vAlign w:val="bottom"/>
          </w:tcPr>
          <w:p w14:paraId="4D0C5321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processing industries, as prescribed by by-law</w:t>
            </w:r>
          </w:p>
        </w:tc>
        <w:tc>
          <w:tcPr>
            <w:tcW w:w="1710" w:type="dxa"/>
          </w:tcPr>
          <w:p w14:paraId="6CDDF4A0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24A6DA" w14:textId="7A980416" w:rsidR="00C153A3" w:rsidRPr="005314AF" w:rsidRDefault="000F5182" w:rsidP="002D6478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9" w:name="bookmark8"/>
      <w:r w:rsidRPr="00F45503">
        <w:rPr>
          <w:szCs w:val="22"/>
        </w:rPr>
        <w:t>4</w:t>
      </w:r>
      <w:r w:rsidR="002D6478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Item 46 of Schedule 4</w:t>
      </w:r>
      <w:bookmarkEnd w:id="9"/>
    </w:p>
    <w:p w14:paraId="4021DE59" w14:textId="77777777" w:rsidR="00C153A3" w:rsidRPr="005314AF" w:rsidRDefault="00260CDB" w:rsidP="00D25B37">
      <w:pPr>
        <w:spacing w:before="120" w:after="120"/>
        <w:ind w:left="567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the item, substitute: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220"/>
        <w:gridCol w:w="1710"/>
      </w:tblGrid>
      <w:tr w:rsidR="005B55CF" w14:paraId="3E5940C4" w14:textId="77777777" w:rsidTr="005B55CF">
        <w:trPr>
          <w:trHeight w:val="60"/>
        </w:trPr>
        <w:tc>
          <w:tcPr>
            <w:tcW w:w="630" w:type="dxa"/>
            <w:vAlign w:val="bottom"/>
          </w:tcPr>
          <w:p w14:paraId="6E5BDE69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220" w:type="dxa"/>
            <w:vAlign w:val="bottom"/>
          </w:tcPr>
          <w:p w14:paraId="5570596E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Capital equipment for use in the agriculture, food</w:t>
            </w:r>
          </w:p>
        </w:tc>
        <w:tc>
          <w:tcPr>
            <w:tcW w:w="1710" w:type="dxa"/>
            <w:vAlign w:val="bottom"/>
          </w:tcPr>
          <w:p w14:paraId="5223B165" w14:textId="77777777" w:rsidR="00D25B37" w:rsidRDefault="00D25B37" w:rsidP="00D25B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Free</w:t>
            </w:r>
          </w:p>
        </w:tc>
      </w:tr>
      <w:tr w:rsidR="005B55CF" w14:paraId="214CAC06" w14:textId="77777777" w:rsidTr="005B55CF">
        <w:trPr>
          <w:trHeight w:val="125"/>
        </w:trPr>
        <w:tc>
          <w:tcPr>
            <w:tcW w:w="630" w:type="dxa"/>
            <w:vAlign w:val="bottom"/>
          </w:tcPr>
          <w:p w14:paraId="01166737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vAlign w:val="bottom"/>
          </w:tcPr>
          <w:p w14:paraId="53824B72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processing industries, as prescribed by by-law</w:t>
            </w:r>
          </w:p>
        </w:tc>
        <w:tc>
          <w:tcPr>
            <w:tcW w:w="1710" w:type="dxa"/>
          </w:tcPr>
          <w:p w14:paraId="48954389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37" w14:paraId="56307411" w14:textId="77777777" w:rsidTr="005B55CF">
        <w:trPr>
          <w:trHeight w:val="250"/>
        </w:trPr>
        <w:tc>
          <w:tcPr>
            <w:tcW w:w="630" w:type="dxa"/>
            <w:vAlign w:val="bottom"/>
          </w:tcPr>
          <w:p w14:paraId="15702013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vAlign w:val="bottom"/>
          </w:tcPr>
          <w:p w14:paraId="098B2DBB" w14:textId="77777777" w:rsidR="00D25B37" w:rsidRPr="005314AF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4AF">
              <w:rPr>
                <w:rFonts w:ascii="Times New Roman" w:hAnsi="Times New Roman" w:cs="Times New Roman"/>
                <w:sz w:val="22"/>
                <w:szCs w:val="22"/>
              </w:rPr>
              <w:t>prescribed by by-law</w:t>
            </w:r>
          </w:p>
        </w:tc>
        <w:tc>
          <w:tcPr>
            <w:tcW w:w="1710" w:type="dxa"/>
          </w:tcPr>
          <w:p w14:paraId="3B661495" w14:textId="77777777" w:rsidR="00D25B37" w:rsidRDefault="00D25B37" w:rsidP="00D25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BE18526" w14:textId="54AE75C8" w:rsidR="00C153A3" w:rsidRPr="005314AF" w:rsidRDefault="000F5182" w:rsidP="00901BE8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10" w:name="bookmark9"/>
      <w:r w:rsidRPr="00F45503">
        <w:rPr>
          <w:szCs w:val="22"/>
        </w:rPr>
        <w:t>5</w:t>
      </w:r>
      <w:r w:rsidR="00901BE8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Item 47 of Schedule 4</w:t>
      </w:r>
      <w:bookmarkEnd w:id="10"/>
    </w:p>
    <w:p w14:paraId="35BDB588" w14:textId="77777777" w:rsidR="00C153A3" w:rsidRPr="005314AF" w:rsidRDefault="00260CDB" w:rsidP="00D77744">
      <w:pPr>
        <w:spacing w:before="120"/>
        <w:ind w:left="2780" w:right="5760" w:hanging="2204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“Free”, substitute “3%</w:t>
      </w:r>
      <w:r w:rsidR="00D77744">
        <w:rPr>
          <w:rFonts w:ascii="Times New Roman" w:hAnsi="Times New Roman" w:cs="Times New Roman"/>
          <w:sz w:val="22"/>
          <w:szCs w:val="22"/>
        </w:rPr>
        <w:t xml:space="preserve"> </w:t>
      </w:r>
      <w:r w:rsidRPr="005314AF">
        <w:rPr>
          <w:rFonts w:ascii="Times New Roman" w:hAnsi="Times New Roman" w:cs="Times New Roman"/>
          <w:sz w:val="22"/>
          <w:szCs w:val="22"/>
        </w:rPr>
        <w:t>DC:3%”.</w:t>
      </w:r>
    </w:p>
    <w:p w14:paraId="49E9FB1F" w14:textId="6E34C6A2" w:rsidR="00C153A3" w:rsidRPr="005314AF" w:rsidRDefault="000F5182" w:rsidP="00901BE8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11" w:name="bookmark10"/>
      <w:r w:rsidRPr="00F45503">
        <w:rPr>
          <w:szCs w:val="22"/>
        </w:rPr>
        <w:t>6</w:t>
      </w:r>
      <w:r w:rsidR="00901BE8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Item 50 of Schedule 4</w:t>
      </w:r>
      <w:bookmarkEnd w:id="11"/>
    </w:p>
    <w:p w14:paraId="3053B080" w14:textId="77777777" w:rsidR="00C153A3" w:rsidRPr="005314AF" w:rsidRDefault="00260CDB" w:rsidP="00D77744">
      <w:pPr>
        <w:spacing w:before="120"/>
        <w:ind w:left="2780" w:right="5760" w:hanging="2204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“Free”, substitute “3%</w:t>
      </w:r>
      <w:r w:rsidR="00D77744">
        <w:rPr>
          <w:rFonts w:ascii="Times New Roman" w:hAnsi="Times New Roman" w:cs="Times New Roman"/>
          <w:sz w:val="22"/>
          <w:szCs w:val="22"/>
        </w:rPr>
        <w:t xml:space="preserve"> </w:t>
      </w:r>
      <w:r w:rsidRPr="005314AF">
        <w:rPr>
          <w:rFonts w:ascii="Times New Roman" w:hAnsi="Times New Roman" w:cs="Times New Roman"/>
          <w:sz w:val="22"/>
          <w:szCs w:val="22"/>
        </w:rPr>
        <w:t>DC:3%”.</w:t>
      </w:r>
    </w:p>
    <w:p w14:paraId="15A6E8FB" w14:textId="1F1093D9" w:rsidR="00C153A3" w:rsidRPr="005314AF" w:rsidRDefault="000F5182" w:rsidP="00901BE8">
      <w:pPr>
        <w:pStyle w:val="Bodytext110"/>
        <w:spacing w:before="120" w:line="240" w:lineRule="auto"/>
        <w:jc w:val="left"/>
        <w:rPr>
          <w:sz w:val="22"/>
          <w:szCs w:val="22"/>
        </w:rPr>
      </w:pPr>
      <w:bookmarkStart w:id="12" w:name="bookmark11"/>
      <w:r w:rsidRPr="00F45503">
        <w:rPr>
          <w:szCs w:val="22"/>
        </w:rPr>
        <w:t>7</w:t>
      </w:r>
      <w:r w:rsidR="00901BE8" w:rsidRPr="00F45503">
        <w:rPr>
          <w:szCs w:val="22"/>
        </w:rPr>
        <w:t xml:space="preserve"> </w:t>
      </w:r>
      <w:r w:rsidR="00260CDB" w:rsidRPr="00F45503">
        <w:rPr>
          <w:rFonts w:eastAsia="Arial"/>
          <w:szCs w:val="22"/>
        </w:rPr>
        <w:t>After item 50 of Schedule 4</w:t>
      </w:r>
      <w:bookmarkEnd w:id="12"/>
    </w:p>
    <w:p w14:paraId="3F44ADCA" w14:textId="77777777" w:rsidR="00C153A3" w:rsidRPr="005314AF" w:rsidRDefault="00260CDB" w:rsidP="004A4157">
      <w:pPr>
        <w:spacing w:before="120"/>
        <w:ind w:left="576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Insert:</w:t>
      </w:r>
    </w:p>
    <w:p w14:paraId="48CBF899" w14:textId="77777777" w:rsidR="00C153A3" w:rsidRPr="005314AF" w:rsidRDefault="006F1110" w:rsidP="005314AF">
      <w:pPr>
        <w:tabs>
          <w:tab w:val="left" w:pos="1404"/>
          <w:tab w:val="left" w:pos="8640"/>
        </w:tabs>
        <w:spacing w:before="120"/>
        <w:ind w:left="765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50A</w:t>
      </w:r>
      <w:r w:rsidR="006E5C33" w:rsidRPr="005314AF">
        <w:rPr>
          <w:rFonts w:ascii="Times New Roman" w:hAnsi="Times New Roman" w:cs="Times New Roman"/>
          <w:sz w:val="22"/>
          <w:szCs w:val="22"/>
        </w:rPr>
        <w:tab/>
      </w:r>
      <w:r w:rsidRPr="005314AF">
        <w:rPr>
          <w:rFonts w:ascii="Times New Roman" w:hAnsi="Times New Roman" w:cs="Times New Roman"/>
          <w:sz w:val="22"/>
          <w:szCs w:val="22"/>
        </w:rPr>
        <w:t>Goods that:</w:t>
      </w:r>
      <w:r w:rsidR="006E5C33" w:rsidRPr="005314AF">
        <w:rPr>
          <w:rFonts w:ascii="Times New Roman" w:hAnsi="Times New Roman" w:cs="Times New Roman"/>
          <w:sz w:val="22"/>
          <w:szCs w:val="22"/>
        </w:rPr>
        <w:tab/>
      </w:r>
      <w:r w:rsidR="00260CDB" w:rsidRPr="005314AF">
        <w:rPr>
          <w:rFonts w:ascii="Times New Roman" w:hAnsi="Times New Roman" w:cs="Times New Roman"/>
          <w:sz w:val="22"/>
          <w:szCs w:val="22"/>
        </w:rPr>
        <w:t>Free</w:t>
      </w:r>
    </w:p>
    <w:p w14:paraId="540CD3BB" w14:textId="77777777" w:rsidR="00A070BF" w:rsidRPr="005314AF" w:rsidRDefault="00260CDB" w:rsidP="00632178">
      <w:pPr>
        <w:spacing w:before="120"/>
        <w:ind w:left="1953" w:hanging="315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 xml:space="preserve">(a) a Tariff Concession Order declares are </w:t>
      </w:r>
      <w:r w:rsidR="002A3DBB" w:rsidRPr="005314AF">
        <w:rPr>
          <w:rFonts w:ascii="Times New Roman" w:hAnsi="Times New Roman" w:cs="Times New Roman"/>
          <w:sz w:val="22"/>
          <w:szCs w:val="22"/>
        </w:rPr>
        <w:t xml:space="preserve">goods </w:t>
      </w:r>
      <w:r w:rsidRPr="005314AF">
        <w:rPr>
          <w:rFonts w:ascii="Times New Roman" w:hAnsi="Times New Roman" w:cs="Times New Roman"/>
          <w:sz w:val="22"/>
          <w:szCs w:val="22"/>
        </w:rPr>
        <w:t>to which item 50 applies; and</w:t>
      </w:r>
    </w:p>
    <w:p w14:paraId="0B239816" w14:textId="77777777" w:rsidR="00A070BF" w:rsidRPr="005314AF" w:rsidRDefault="00A070BF" w:rsidP="005314AF">
      <w:pPr>
        <w:spacing w:before="120"/>
        <w:rPr>
          <w:rFonts w:ascii="Times New Roman" w:hAnsi="Times New Roman" w:cs="Times New Roman"/>
          <w:sz w:val="22"/>
          <w:szCs w:val="22"/>
        </w:rPr>
        <w:sectPr w:rsidR="00A070BF" w:rsidRPr="005314AF" w:rsidSect="00B34FA6">
          <w:headerReference w:type="first" r:id="rId19"/>
          <w:footerReference w:type="first" r:id="rId20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6F8E2DBA" w14:textId="77777777" w:rsidR="00C153A3" w:rsidRPr="005314AF" w:rsidRDefault="00260CDB" w:rsidP="005314AF">
      <w:pPr>
        <w:spacing w:before="120"/>
        <w:ind w:left="1953" w:hanging="315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lastRenderedPageBreak/>
        <w:t xml:space="preserve">(b) are </w:t>
      </w:r>
      <w:proofErr w:type="spellStart"/>
      <w:r w:rsidRPr="005314AF">
        <w:rPr>
          <w:rFonts w:ascii="Times New Roman" w:hAnsi="Times New Roman" w:cs="Times New Roman"/>
          <w:sz w:val="22"/>
          <w:szCs w:val="22"/>
        </w:rPr>
        <w:t>categorised</w:t>
      </w:r>
      <w:proofErr w:type="spellEnd"/>
      <w:r w:rsidRPr="005314AF">
        <w:rPr>
          <w:rFonts w:ascii="Times New Roman" w:hAnsi="Times New Roman" w:cs="Times New Roman"/>
          <w:sz w:val="22"/>
          <w:szCs w:val="22"/>
        </w:rPr>
        <w:t>, at the time when they are</w:t>
      </w:r>
      <w:r w:rsidR="00E0780A" w:rsidRPr="005314AF">
        <w:rPr>
          <w:rFonts w:ascii="Times New Roman" w:hAnsi="Times New Roman" w:cs="Times New Roman"/>
          <w:sz w:val="22"/>
          <w:szCs w:val="22"/>
        </w:rPr>
        <w:t xml:space="preserve"> </w:t>
      </w:r>
      <w:r w:rsidRPr="005314AF">
        <w:rPr>
          <w:rFonts w:ascii="Times New Roman" w:hAnsi="Times New Roman" w:cs="Times New Roman"/>
          <w:sz w:val="22"/>
          <w:szCs w:val="22"/>
        </w:rPr>
        <w:t>entered for home consumption, as consumption goods in accordance with the United Nations Statistical Papers entitled “Classification by Broad Economic Category” and “Standard International Trade Classification Revision 3”.</w:t>
      </w:r>
    </w:p>
    <w:p w14:paraId="3C7D1914" w14:textId="63EE205E" w:rsidR="00C153A3" w:rsidRPr="005314AF" w:rsidRDefault="00E70BDD" w:rsidP="00AE46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13" w:name="bookmark12"/>
      <w:r w:rsidRPr="00F45503">
        <w:rPr>
          <w:rFonts w:ascii="Times New Roman" w:hAnsi="Times New Roman" w:cs="Times New Roman"/>
          <w:b/>
          <w:szCs w:val="22"/>
        </w:rPr>
        <w:t>8</w:t>
      </w:r>
      <w:r w:rsidR="00AE46B7" w:rsidRPr="00F45503">
        <w:rPr>
          <w:rFonts w:ascii="Times New Roman" w:hAnsi="Times New Roman" w:cs="Times New Roman"/>
          <w:b/>
          <w:szCs w:val="22"/>
        </w:rPr>
        <w:t xml:space="preserve"> </w:t>
      </w:r>
      <w:r w:rsidR="00260CDB" w:rsidRPr="00F45503">
        <w:rPr>
          <w:rFonts w:ascii="Times New Roman" w:hAnsi="Times New Roman" w:cs="Times New Roman"/>
          <w:b/>
          <w:szCs w:val="22"/>
        </w:rPr>
        <w:t>Item 56 of Schedule 4</w:t>
      </w:r>
      <w:bookmarkEnd w:id="13"/>
    </w:p>
    <w:p w14:paraId="2637EC4F" w14:textId="77777777" w:rsidR="00C153A3" w:rsidRPr="005314AF" w:rsidRDefault="00260CDB" w:rsidP="00AE46B7">
      <w:pPr>
        <w:spacing w:before="120"/>
        <w:ind w:left="576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"and which is ineligible for a Tariff Concession Order”.</w:t>
      </w:r>
    </w:p>
    <w:p w14:paraId="4A715695" w14:textId="176B064F" w:rsidR="00C153A3" w:rsidRPr="005314AF" w:rsidRDefault="00E70BDD" w:rsidP="00AE46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14" w:name="bookmark13"/>
      <w:r w:rsidRPr="00F45503">
        <w:rPr>
          <w:rFonts w:ascii="Times New Roman" w:hAnsi="Times New Roman" w:cs="Times New Roman"/>
          <w:b/>
          <w:szCs w:val="22"/>
        </w:rPr>
        <w:t>9</w:t>
      </w:r>
      <w:r w:rsidR="00AE46B7" w:rsidRPr="00F45503">
        <w:rPr>
          <w:rFonts w:ascii="Times New Roman" w:hAnsi="Times New Roman" w:cs="Times New Roman"/>
          <w:b/>
          <w:szCs w:val="22"/>
        </w:rPr>
        <w:t xml:space="preserve"> </w:t>
      </w:r>
      <w:r w:rsidR="00260CDB" w:rsidRPr="00F45503">
        <w:rPr>
          <w:rFonts w:ascii="Times New Roman" w:hAnsi="Times New Roman" w:cs="Times New Roman"/>
          <w:b/>
          <w:szCs w:val="22"/>
        </w:rPr>
        <w:t>Item 57 of Schedule 4</w:t>
      </w:r>
      <w:bookmarkEnd w:id="14"/>
    </w:p>
    <w:p w14:paraId="791381B2" w14:textId="77777777" w:rsidR="00C153A3" w:rsidRPr="005314AF" w:rsidRDefault="00260CDB" w:rsidP="00AE46B7">
      <w:pPr>
        <w:spacing w:before="120"/>
        <w:ind w:left="576"/>
        <w:rPr>
          <w:rFonts w:ascii="Times New Roman" w:hAnsi="Times New Roman" w:cs="Times New Roman"/>
          <w:sz w:val="22"/>
          <w:szCs w:val="22"/>
        </w:rPr>
      </w:pPr>
      <w:r w:rsidRPr="005314AF">
        <w:rPr>
          <w:rFonts w:ascii="Times New Roman" w:hAnsi="Times New Roman" w:cs="Times New Roman"/>
          <w:sz w:val="22"/>
          <w:szCs w:val="22"/>
        </w:rPr>
        <w:t>Omit “which are ineligible for a Tariff Concession Order”.</w:t>
      </w:r>
    </w:p>
    <w:p w14:paraId="7C637542" w14:textId="6449F54B" w:rsidR="00C153A3" w:rsidRPr="005314AF" w:rsidRDefault="00E70BDD" w:rsidP="00AE46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15" w:name="bookmark14"/>
      <w:r w:rsidRPr="00F45503">
        <w:rPr>
          <w:rFonts w:ascii="Times New Roman" w:hAnsi="Times New Roman" w:cs="Times New Roman"/>
          <w:b/>
          <w:szCs w:val="22"/>
        </w:rPr>
        <w:t>10</w:t>
      </w:r>
      <w:r w:rsidR="00AE46B7" w:rsidRPr="00F45503">
        <w:rPr>
          <w:rFonts w:ascii="Times New Roman" w:hAnsi="Times New Roman" w:cs="Times New Roman"/>
          <w:b/>
          <w:szCs w:val="22"/>
        </w:rPr>
        <w:t xml:space="preserve"> </w:t>
      </w:r>
      <w:r w:rsidR="00260CDB" w:rsidRPr="00F45503">
        <w:rPr>
          <w:rFonts w:ascii="Times New Roman" w:hAnsi="Times New Roman" w:cs="Times New Roman"/>
          <w:b/>
          <w:szCs w:val="22"/>
        </w:rPr>
        <w:t>Item 60 of Schedule 4</w:t>
      </w:r>
      <w:bookmarkEnd w:id="15"/>
    </w:p>
    <w:p w14:paraId="0E965EE3" w14:textId="77777777" w:rsidR="00C153A3" w:rsidRPr="005314AF" w:rsidRDefault="00260CDB" w:rsidP="00E42A9D">
      <w:pPr>
        <w:spacing w:before="120"/>
        <w:ind w:left="567"/>
        <w:rPr>
          <w:rStyle w:val="Bodytext124"/>
          <w:rFonts w:eastAsia="Courier New"/>
          <w:sz w:val="22"/>
          <w:szCs w:val="22"/>
        </w:rPr>
      </w:pPr>
      <w:r w:rsidRPr="005314AF">
        <w:rPr>
          <w:rStyle w:val="Bodytext124"/>
          <w:rFonts w:eastAsia="Courier New"/>
          <w:sz w:val="22"/>
          <w:szCs w:val="22"/>
        </w:rPr>
        <w:t>Omit “</w:t>
      </w:r>
      <w:r w:rsidRPr="005314AF">
        <w:rPr>
          <w:rFonts w:ascii="Times New Roman" w:hAnsi="Times New Roman" w:cs="Times New Roman"/>
          <w:sz w:val="22"/>
          <w:szCs w:val="22"/>
        </w:rPr>
        <w:t>which</w:t>
      </w:r>
      <w:r w:rsidRPr="005314AF">
        <w:rPr>
          <w:rStyle w:val="Bodytext124"/>
          <w:rFonts w:eastAsia="Courier New"/>
          <w:sz w:val="22"/>
          <w:szCs w:val="22"/>
        </w:rPr>
        <w:t xml:space="preserve"> are ineligible</w:t>
      </w:r>
      <w:r w:rsidR="00823B65">
        <w:rPr>
          <w:rStyle w:val="Bodytext124"/>
          <w:rFonts w:eastAsia="Courier New"/>
          <w:sz w:val="22"/>
          <w:szCs w:val="22"/>
        </w:rPr>
        <w:t xml:space="preserve"> for a Tariff Concession Order”.</w:t>
      </w:r>
    </w:p>
    <w:p w14:paraId="39C2F252" w14:textId="77777777" w:rsidR="00103C7A" w:rsidRPr="005314AF" w:rsidRDefault="002A04E6" w:rsidP="002A04E6">
      <w:pPr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—————————————————————————————————————————</w:t>
      </w:r>
    </w:p>
    <w:p w14:paraId="06D7150D" w14:textId="77777777" w:rsidR="00C153A3" w:rsidRPr="00F45503" w:rsidRDefault="00260CDB" w:rsidP="005314AF">
      <w:pPr>
        <w:pStyle w:val="Bodytext100"/>
        <w:spacing w:before="120" w:line="240" w:lineRule="auto"/>
        <w:jc w:val="left"/>
        <w:rPr>
          <w:sz w:val="20"/>
          <w:szCs w:val="22"/>
        </w:rPr>
      </w:pPr>
      <w:r w:rsidRPr="00F45503">
        <w:rPr>
          <w:rStyle w:val="Bodytext102"/>
          <w:iCs/>
          <w:sz w:val="20"/>
          <w:szCs w:val="22"/>
        </w:rPr>
        <w:t>[</w:t>
      </w:r>
      <w:r w:rsidRPr="00F45503">
        <w:rPr>
          <w:rStyle w:val="Bodytext102"/>
          <w:i/>
          <w:iCs/>
          <w:sz w:val="20"/>
          <w:szCs w:val="22"/>
        </w:rPr>
        <w:t>Minister's second reading speech made in</w:t>
      </w:r>
      <w:r w:rsidRPr="00F45503">
        <w:rPr>
          <w:rStyle w:val="Bodytext10NotItalic0"/>
          <w:sz w:val="20"/>
          <w:szCs w:val="22"/>
        </w:rPr>
        <w:t>—</w:t>
      </w:r>
    </w:p>
    <w:p w14:paraId="044F3E5C" w14:textId="77777777" w:rsidR="004D54E2" w:rsidRPr="00F45503" w:rsidRDefault="00260CDB" w:rsidP="00E42A9D">
      <w:pPr>
        <w:pStyle w:val="Bodytext100"/>
        <w:spacing w:line="240" w:lineRule="auto"/>
        <w:ind w:left="630"/>
        <w:jc w:val="left"/>
        <w:rPr>
          <w:rStyle w:val="Bodytext102"/>
          <w:i/>
          <w:iCs/>
          <w:sz w:val="20"/>
          <w:szCs w:val="22"/>
        </w:rPr>
      </w:pPr>
      <w:r w:rsidRPr="00F45503">
        <w:rPr>
          <w:rStyle w:val="Bodytext102"/>
          <w:i/>
          <w:iCs/>
          <w:sz w:val="20"/>
          <w:szCs w:val="22"/>
        </w:rPr>
        <w:t>House of Representatives on 30 May 1996</w:t>
      </w:r>
    </w:p>
    <w:p w14:paraId="6F181075" w14:textId="1B9E19AD" w:rsidR="00C153A3" w:rsidRPr="005314AF" w:rsidRDefault="00260CDB" w:rsidP="00E42A9D">
      <w:pPr>
        <w:pStyle w:val="Bodytext100"/>
        <w:spacing w:line="240" w:lineRule="auto"/>
        <w:ind w:left="630"/>
        <w:jc w:val="left"/>
        <w:rPr>
          <w:sz w:val="22"/>
          <w:szCs w:val="22"/>
        </w:rPr>
      </w:pPr>
      <w:r w:rsidRPr="00F45503">
        <w:rPr>
          <w:rStyle w:val="Bodytext102"/>
          <w:i/>
          <w:iCs/>
          <w:sz w:val="20"/>
          <w:szCs w:val="22"/>
        </w:rPr>
        <w:t>Senate on 19 June 1996</w:t>
      </w:r>
      <w:r w:rsidRPr="00F45503">
        <w:rPr>
          <w:rStyle w:val="Bodytext102"/>
          <w:iCs/>
          <w:sz w:val="20"/>
          <w:szCs w:val="22"/>
        </w:rPr>
        <w:t>]</w:t>
      </w:r>
    </w:p>
    <w:sectPr w:rsidR="00C153A3" w:rsidRPr="005314AF" w:rsidSect="00F80155"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126A08" w15:done="0"/>
  <w15:commentEx w15:paraId="58C7FD65" w15:done="0"/>
  <w15:commentEx w15:paraId="7D91C094" w15:done="0"/>
  <w15:commentEx w15:paraId="7B8F934F" w15:done="0"/>
  <w15:commentEx w15:paraId="77F03FFF" w15:done="0"/>
  <w15:commentEx w15:paraId="05FF863D" w15:done="0"/>
  <w15:commentEx w15:paraId="3257A5C2" w15:done="0"/>
  <w15:commentEx w15:paraId="07B20EE1" w15:done="0"/>
  <w15:commentEx w15:paraId="28169F53" w15:done="0"/>
  <w15:commentEx w15:paraId="2C0AC0E7" w15:done="0"/>
  <w15:commentEx w15:paraId="60988780" w15:done="0"/>
  <w15:commentEx w15:paraId="11E9F490" w15:done="0"/>
  <w15:commentEx w15:paraId="4B6BC66D" w15:done="0"/>
  <w15:commentEx w15:paraId="3ECD952D" w15:done="0"/>
  <w15:commentEx w15:paraId="46CD1E17" w15:done="0"/>
  <w15:commentEx w15:paraId="5AB5E1F6" w15:done="0"/>
  <w15:commentEx w15:paraId="45167FE2" w15:done="0"/>
  <w15:commentEx w15:paraId="567C7E3E" w15:done="0"/>
  <w15:commentEx w15:paraId="12B09AC1" w15:done="0"/>
  <w15:commentEx w15:paraId="4F9CA4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126A08" w16cid:durableId="2145A5D0"/>
  <w16cid:commentId w16cid:paraId="58C7FD65" w16cid:durableId="2145A5EB"/>
  <w16cid:commentId w16cid:paraId="7D91C094" w16cid:durableId="2145A600"/>
  <w16cid:commentId w16cid:paraId="7B8F934F" w16cid:durableId="2145A611"/>
  <w16cid:commentId w16cid:paraId="77F03FFF" w16cid:durableId="2145A61E"/>
  <w16cid:commentId w16cid:paraId="05FF863D" w16cid:durableId="2145A62D"/>
  <w16cid:commentId w16cid:paraId="3257A5C2" w16cid:durableId="2145A631"/>
  <w16cid:commentId w16cid:paraId="07B20EE1" w16cid:durableId="2145A645"/>
  <w16cid:commentId w16cid:paraId="28169F53" w16cid:durableId="2145A656"/>
  <w16cid:commentId w16cid:paraId="2C0AC0E7" w16cid:durableId="2145A661"/>
  <w16cid:commentId w16cid:paraId="60988780" w16cid:durableId="2145A668"/>
  <w16cid:commentId w16cid:paraId="11E9F490" w16cid:durableId="2145A66C"/>
  <w16cid:commentId w16cid:paraId="4B6BC66D" w16cid:durableId="2145A671"/>
  <w16cid:commentId w16cid:paraId="3ECD952D" w16cid:durableId="2145A675"/>
  <w16cid:commentId w16cid:paraId="46CD1E17" w16cid:durableId="2145A679"/>
  <w16cid:commentId w16cid:paraId="5AB5E1F6" w16cid:durableId="2145A67E"/>
  <w16cid:commentId w16cid:paraId="45167FE2" w16cid:durableId="2145A697"/>
  <w16cid:commentId w16cid:paraId="567C7E3E" w16cid:durableId="2145A69C"/>
  <w16cid:commentId w16cid:paraId="12B09AC1" w16cid:durableId="2145A6A1"/>
  <w16cid:commentId w16cid:paraId="4F9CA4FC" w16cid:durableId="2145A6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66A68" w14:textId="77777777" w:rsidR="00490170" w:rsidRDefault="00490170">
      <w:r>
        <w:separator/>
      </w:r>
    </w:p>
  </w:endnote>
  <w:endnote w:type="continuationSeparator" w:id="0">
    <w:p w14:paraId="5C8AF74A" w14:textId="77777777" w:rsidR="00490170" w:rsidRDefault="004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ACC4" w14:textId="77777777" w:rsidR="00B84805" w:rsidRDefault="00B84805" w:rsidP="00DC6B43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426E9D97" w14:textId="389B7A1A" w:rsidR="00B84805" w:rsidRPr="00F869C2" w:rsidRDefault="00B84805" w:rsidP="00F869C2">
    <w:pPr>
      <w:pStyle w:val="Foot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</w:rPr>
    </w:pPr>
    <w:r w:rsidRPr="00F869C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32, 1996 </w:t>
    </w:r>
    <w:r w:rsidR="003643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F869C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Customs Tariff Amendment Act (No. 1)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D678" w14:textId="77777777" w:rsidR="00B84805" w:rsidRPr="002D39BD" w:rsidRDefault="00B84805" w:rsidP="00DC6B43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7213B60C" w14:textId="1AD44B9A" w:rsidR="00B84805" w:rsidRPr="002D39BD" w:rsidRDefault="00B84805" w:rsidP="0036437C">
    <w:pPr>
      <w:pStyle w:val="Footer"/>
      <w:tabs>
        <w:tab w:val="clear" w:pos="4513"/>
        <w:tab w:val="clear" w:pos="9026"/>
      </w:tabs>
      <w:ind w:firstLine="720"/>
      <w:jc w:val="right"/>
      <w:rPr>
        <w:rFonts w:ascii="Times New Roman" w:hAnsi="Times New Roman" w:cs="Times New Roman"/>
        <w:sz w:val="22"/>
        <w:szCs w:val="22"/>
      </w:rPr>
    </w:pPr>
    <w:r w:rsidRPr="002D39B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Customs Ta</w:t>
    </w:r>
    <w:r w:rsidR="003643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riff Amendment Act (No. 1) 1996</w:t>
    </w:r>
    <w:r w:rsidR="006419D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2D39B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32,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2D39B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B9BC3" w14:textId="77777777" w:rsidR="00B84805" w:rsidRPr="00DF3737" w:rsidRDefault="00B84805" w:rsidP="00DC6B43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5EF34701" w14:textId="5D651242" w:rsidR="00B84805" w:rsidRPr="00DF3737" w:rsidRDefault="00B84805" w:rsidP="00DF3737">
    <w:pPr>
      <w:pStyle w:val="Foot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</w:rPr>
    </w:pPr>
    <w:r w:rsidRPr="00DF373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32, 1996</w:t>
    </w:r>
    <w:r w:rsidR="003643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DF373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Customs Tariff Amendment Act (No. 1)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2065" w14:textId="77777777" w:rsidR="00B84805" w:rsidRPr="00E66ABB" w:rsidRDefault="00B84805" w:rsidP="00DC6B43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6F7FBB40" w14:textId="4028ED2C" w:rsidR="00B84805" w:rsidRPr="00E66ABB" w:rsidRDefault="00B84805" w:rsidP="0036437C">
    <w:pPr>
      <w:pStyle w:val="Footer"/>
      <w:tabs>
        <w:tab w:val="clear" w:pos="4513"/>
        <w:tab w:val="clear" w:pos="9026"/>
      </w:tabs>
      <w:ind w:firstLine="720"/>
      <w:jc w:val="right"/>
      <w:rPr>
        <w:rFonts w:ascii="Times New Roman" w:hAnsi="Times New Roman" w:cs="Times New Roman"/>
        <w:sz w:val="22"/>
        <w:szCs w:val="22"/>
      </w:rPr>
    </w:pPr>
    <w:r w:rsidRPr="00E66AB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Customs Tariff Amendment Act (No. 1) 1996 </w:t>
    </w:r>
    <w:r w:rsidR="00B175E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E66AB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32, 1996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AE68E" w14:textId="77777777" w:rsidR="00B84805" w:rsidRPr="00780DBA" w:rsidRDefault="00B84805" w:rsidP="00DC6B43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105B90DC" w14:textId="7D1F8247" w:rsidR="00B84805" w:rsidRPr="00780DBA" w:rsidRDefault="00B84805" w:rsidP="00780DBA">
    <w:pPr>
      <w:pStyle w:val="Foot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</w:rPr>
    </w:pPr>
    <w:r w:rsidRPr="00780DBA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32,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780DBA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1996 </w:t>
    </w:r>
    <w:r w:rsidR="003643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780DBA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Customs Tariff Amendment Act (No. 1) 1996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CC716" w14:textId="77777777" w:rsidR="00B84805" w:rsidRPr="00942552" w:rsidRDefault="00B84805" w:rsidP="00DC6B43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19DE7AE0" w14:textId="74282C01" w:rsidR="00B84805" w:rsidRPr="00942552" w:rsidRDefault="00B84805" w:rsidP="0036437C">
    <w:pPr>
      <w:pStyle w:val="Footer"/>
      <w:tabs>
        <w:tab w:val="clear" w:pos="4513"/>
        <w:tab w:val="clear" w:pos="9026"/>
        <w:tab w:val="right" w:pos="9360"/>
      </w:tabs>
      <w:ind w:left="720"/>
      <w:jc w:val="right"/>
      <w:rPr>
        <w:rFonts w:ascii="Times New Roman" w:hAnsi="Times New Roman" w:cs="Times New Roman"/>
        <w:sz w:val="22"/>
        <w:szCs w:val="22"/>
      </w:rPr>
    </w:pPr>
    <w:r w:rsidRPr="0094255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Customs Tariff Amendment Act (No. 1) 1996 </w:t>
    </w:r>
    <w:r w:rsidR="0036437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94255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32,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94255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B70C6" w14:textId="77777777" w:rsidR="00490170" w:rsidRDefault="00490170"/>
  </w:footnote>
  <w:footnote w:type="continuationSeparator" w:id="0">
    <w:p w14:paraId="032A9A74" w14:textId="77777777" w:rsidR="00490170" w:rsidRDefault="004901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F3CA" w14:textId="77777777" w:rsidR="00B84805" w:rsidRPr="00F869C2" w:rsidRDefault="00B84805" w:rsidP="00F869C2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59BC" w14:textId="77777777" w:rsidR="00B84805" w:rsidRDefault="00B84805" w:rsidP="00F869C2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  <w:p w14:paraId="538A4D59" w14:textId="77777777" w:rsidR="00B84805" w:rsidRPr="002100D4" w:rsidRDefault="00B84805" w:rsidP="002100D4">
    <w:pPr>
      <w:pStyle w:val="Header"/>
      <w:pBdr>
        <w:bottom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33B76" w14:textId="77777777" w:rsidR="00B84805" w:rsidRDefault="00B84805" w:rsidP="00F869C2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07369" w14:textId="77777777" w:rsidR="00B84805" w:rsidRDefault="00B84805" w:rsidP="00F869C2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  <w:p w14:paraId="69888BD0" w14:textId="77777777" w:rsidR="00B84805" w:rsidRDefault="00B84805" w:rsidP="0099430E">
    <w:pPr>
      <w:pStyle w:val="Header"/>
      <w:pBdr>
        <w:bottom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72D4" w14:textId="77777777" w:rsidR="00B84805" w:rsidRPr="00B34FA6" w:rsidRDefault="00B84805" w:rsidP="00B34FA6">
    <w:pPr>
      <w:pStyle w:val="Header"/>
      <w:tabs>
        <w:tab w:val="clear" w:pos="4513"/>
        <w:tab w:val="clear" w:pos="9026"/>
      </w:tabs>
      <w:jc w:val="right"/>
      <w:rPr>
        <w:rFonts w:ascii="Times New Roman" w:hAnsi="Times New Roman" w:cs="Times New Roman"/>
        <w:sz w:val="22"/>
        <w:szCs w:val="22"/>
        <w:lang w:val="en-IN"/>
      </w:rPr>
    </w:pPr>
    <w:r w:rsidRPr="00B34FA6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 of the Customs Tariff Act 1995 </w:t>
    </w:r>
    <w:r w:rsidRPr="00B34FA6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</w:p>
  <w:p w14:paraId="6245FD64" w14:textId="77777777" w:rsidR="00B84805" w:rsidRPr="00B34FA6" w:rsidRDefault="00B84805" w:rsidP="0099430E">
    <w:pPr>
      <w:pStyle w:val="Header"/>
      <w:pBdr>
        <w:bottom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FF11" w14:textId="77777777" w:rsidR="00B84805" w:rsidRPr="00F80155" w:rsidRDefault="00B84805" w:rsidP="00F80155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  <w:r w:rsidRPr="00F80155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  <w:r w:rsidRPr="00F80155">
      <w:rPr>
        <w:rFonts w:ascii="Times New Roman" w:hAnsi="Times New Roman" w:cs="Times New Roman"/>
        <w:color w:val="auto"/>
        <w:sz w:val="22"/>
        <w:szCs w:val="22"/>
        <w:lang w:val="en-IN"/>
      </w:rPr>
      <w:t xml:space="preserve"> Amendment of the Customs Tariff Act 1995</w:t>
    </w:r>
  </w:p>
  <w:p w14:paraId="3A3BFE00" w14:textId="77777777" w:rsidR="00B84805" w:rsidRPr="00F80155" w:rsidRDefault="00B84805" w:rsidP="0099430E">
    <w:pPr>
      <w:pStyle w:val="Header"/>
      <w:pBdr>
        <w:bottom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164"/>
    <w:multiLevelType w:val="hybridMultilevel"/>
    <w:tmpl w:val="DF50B13E"/>
    <w:lvl w:ilvl="0" w:tplc="C04CB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43B0"/>
    <w:multiLevelType w:val="hybridMultilevel"/>
    <w:tmpl w:val="016E3418"/>
    <w:lvl w:ilvl="0" w:tplc="B6A46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7D38"/>
    <w:multiLevelType w:val="multilevel"/>
    <w:tmpl w:val="3DCAE096"/>
    <w:lvl w:ilvl="0">
      <w:start w:val="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B18CD"/>
    <w:multiLevelType w:val="multilevel"/>
    <w:tmpl w:val="3354814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83D21"/>
    <w:multiLevelType w:val="multilevel"/>
    <w:tmpl w:val="D9566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51DE5"/>
    <w:multiLevelType w:val="multilevel"/>
    <w:tmpl w:val="0CC09BF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5C1970"/>
    <w:multiLevelType w:val="multilevel"/>
    <w:tmpl w:val="440A94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623B8"/>
    <w:multiLevelType w:val="multilevel"/>
    <w:tmpl w:val="E7DC6392"/>
    <w:lvl w:ilvl="0">
      <w:start w:val="4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53A3"/>
    <w:rsid w:val="000158DF"/>
    <w:rsid w:val="00060AC2"/>
    <w:rsid w:val="000B7A3E"/>
    <w:rsid w:val="000E4158"/>
    <w:rsid w:val="000F5182"/>
    <w:rsid w:val="00103C7A"/>
    <w:rsid w:val="00114DAD"/>
    <w:rsid w:val="00153207"/>
    <w:rsid w:val="0016705F"/>
    <w:rsid w:val="001A6D84"/>
    <w:rsid w:val="001C12E8"/>
    <w:rsid w:val="002100D4"/>
    <w:rsid w:val="0024388F"/>
    <w:rsid w:val="00260CDB"/>
    <w:rsid w:val="00294F8D"/>
    <w:rsid w:val="002A04E6"/>
    <w:rsid w:val="002A3DBB"/>
    <w:rsid w:val="002B7D5C"/>
    <w:rsid w:val="002D39BD"/>
    <w:rsid w:val="002D6478"/>
    <w:rsid w:val="0036437C"/>
    <w:rsid w:val="003D4F9E"/>
    <w:rsid w:val="003F336D"/>
    <w:rsid w:val="00404E8C"/>
    <w:rsid w:val="0040725C"/>
    <w:rsid w:val="00481DCA"/>
    <w:rsid w:val="00485C86"/>
    <w:rsid w:val="00490170"/>
    <w:rsid w:val="004937BF"/>
    <w:rsid w:val="004A2723"/>
    <w:rsid w:val="004A4157"/>
    <w:rsid w:val="004D54E2"/>
    <w:rsid w:val="00512DE5"/>
    <w:rsid w:val="005314AF"/>
    <w:rsid w:val="00541466"/>
    <w:rsid w:val="005424F8"/>
    <w:rsid w:val="005460FC"/>
    <w:rsid w:val="00554E77"/>
    <w:rsid w:val="00556B57"/>
    <w:rsid w:val="005707B9"/>
    <w:rsid w:val="00575614"/>
    <w:rsid w:val="005B55CF"/>
    <w:rsid w:val="005F14B8"/>
    <w:rsid w:val="00632178"/>
    <w:rsid w:val="00640420"/>
    <w:rsid w:val="006419D7"/>
    <w:rsid w:val="00650173"/>
    <w:rsid w:val="006705B9"/>
    <w:rsid w:val="00687A9C"/>
    <w:rsid w:val="006B7910"/>
    <w:rsid w:val="006E52B4"/>
    <w:rsid w:val="006E5C33"/>
    <w:rsid w:val="006F1110"/>
    <w:rsid w:val="0077183E"/>
    <w:rsid w:val="00780DBA"/>
    <w:rsid w:val="007E6E68"/>
    <w:rsid w:val="007F54D3"/>
    <w:rsid w:val="00823B65"/>
    <w:rsid w:val="008372A3"/>
    <w:rsid w:val="00881CE3"/>
    <w:rsid w:val="008908BB"/>
    <w:rsid w:val="008C1171"/>
    <w:rsid w:val="008C61D2"/>
    <w:rsid w:val="008E03F3"/>
    <w:rsid w:val="00901BE8"/>
    <w:rsid w:val="009338A5"/>
    <w:rsid w:val="00942552"/>
    <w:rsid w:val="00973B81"/>
    <w:rsid w:val="0099430E"/>
    <w:rsid w:val="009C6B9F"/>
    <w:rsid w:val="009E40B8"/>
    <w:rsid w:val="00A04D84"/>
    <w:rsid w:val="00A070BF"/>
    <w:rsid w:val="00AE46B7"/>
    <w:rsid w:val="00AE5E93"/>
    <w:rsid w:val="00AF28DE"/>
    <w:rsid w:val="00AF50AE"/>
    <w:rsid w:val="00B175E0"/>
    <w:rsid w:val="00B26BF4"/>
    <w:rsid w:val="00B34FA6"/>
    <w:rsid w:val="00B4679C"/>
    <w:rsid w:val="00B84805"/>
    <w:rsid w:val="00BC35BC"/>
    <w:rsid w:val="00BE043D"/>
    <w:rsid w:val="00C153A3"/>
    <w:rsid w:val="00C853B8"/>
    <w:rsid w:val="00D25B37"/>
    <w:rsid w:val="00D77744"/>
    <w:rsid w:val="00DA2F80"/>
    <w:rsid w:val="00DC6B43"/>
    <w:rsid w:val="00DD5668"/>
    <w:rsid w:val="00DF3737"/>
    <w:rsid w:val="00E06FFA"/>
    <w:rsid w:val="00E0780A"/>
    <w:rsid w:val="00E20BC2"/>
    <w:rsid w:val="00E35C7D"/>
    <w:rsid w:val="00E42A9D"/>
    <w:rsid w:val="00E50E5B"/>
    <w:rsid w:val="00E654ED"/>
    <w:rsid w:val="00E66ABB"/>
    <w:rsid w:val="00E70BDD"/>
    <w:rsid w:val="00E76AC5"/>
    <w:rsid w:val="00EA7B59"/>
    <w:rsid w:val="00EA7EB6"/>
    <w:rsid w:val="00EB55DE"/>
    <w:rsid w:val="00EE11DF"/>
    <w:rsid w:val="00EF0ED2"/>
    <w:rsid w:val="00F10388"/>
    <w:rsid w:val="00F45503"/>
    <w:rsid w:val="00F80155"/>
    <w:rsid w:val="00F83616"/>
    <w:rsid w:val="00F869C2"/>
    <w:rsid w:val="00FF20F1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A4D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Bodytext8NotItalic">
    <w:name w:val="Body text (8) + Not 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2">
    <w:name w:val="Body text (12)_"/>
    <w:basedOn w:val="DefaultParagraphFont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155pt">
    <w:name w:val="Body text (12) + 15.5 pt"/>
    <w:aliases w:val="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28pt">
    <w:name w:val="Body text (12) + 8 pt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95pt">
    <w:name w:val="Body text (12) + 9.5 pt"/>
    <w:aliases w:val="Spacing 0 pt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321">
    <w:name w:val="Heading #3 (2)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Heading32Italic">
    <w:name w:val="Heading #3 (2) + Italic"/>
    <w:basedOn w:val="Heading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0NotItalic">
    <w:name w:val="Body text (10) + 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22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2Italic">
    <w:name w:val="Body text (12) + Italic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23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21">
    <w:name w:val="Heading #4 (2)"/>
    <w:basedOn w:val="Heading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24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2">
    <w:name w:val="Body text (10)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NotItalic0">
    <w:name w:val="Body text (10) + 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Bodytext70">
    <w:name w:val="Body text (7)"/>
    <w:basedOn w:val="Normal"/>
    <w:link w:val="Bodytext7"/>
    <w:pPr>
      <w:spacing w:line="403" w:lineRule="exact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80">
    <w:name w:val="Body text (8)"/>
    <w:basedOn w:val="Normal"/>
    <w:link w:val="Bodytext8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Bodytext130">
    <w:name w:val="Body text (13)"/>
    <w:basedOn w:val="Normal"/>
    <w:link w:val="Bodytext13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20">
    <w:name w:val="Body text (12)"/>
    <w:basedOn w:val="Normal"/>
    <w:link w:val="Bodytext12"/>
    <w:pPr>
      <w:spacing w:line="240" w:lineRule="exact"/>
      <w:ind w:hanging="6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20">
    <w:name w:val="Heading #1 (2)"/>
    <w:basedOn w:val="Normal"/>
    <w:link w:val="Heading12"/>
    <w:pPr>
      <w:spacing w:line="403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90">
    <w:name w:val="Body text (9)"/>
    <w:basedOn w:val="Normal"/>
    <w:link w:val="Bodytext9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320">
    <w:name w:val="Heading #3 (2)"/>
    <w:basedOn w:val="Normal"/>
    <w:link w:val="Heading32"/>
    <w:pPr>
      <w:spacing w:line="725" w:lineRule="exac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100">
    <w:name w:val="Body text (10)"/>
    <w:basedOn w:val="Normal"/>
    <w:link w:val="Bodytext10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10">
    <w:name w:val="Body text (11)"/>
    <w:basedOn w:val="Normal"/>
    <w:link w:val="Bodytext11"/>
    <w:pPr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Normal"/>
    <w:link w:val="Heading22"/>
    <w:pPr>
      <w:spacing w:line="317" w:lineRule="exact"/>
      <w:ind w:hanging="1120"/>
      <w:outlineLvl w:val="1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Heading420">
    <w:name w:val="Heading #4 (2)"/>
    <w:basedOn w:val="Normal"/>
    <w:link w:val="Heading42"/>
    <w:pPr>
      <w:spacing w:line="0" w:lineRule="atLeast"/>
      <w:jc w:val="both"/>
      <w:outlineLvl w:val="3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F86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6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C2"/>
    <w:rPr>
      <w:color w:val="000000"/>
    </w:rPr>
  </w:style>
  <w:style w:type="table" w:styleId="TableGrid">
    <w:name w:val="Table Grid"/>
    <w:basedOn w:val="TableNormal"/>
    <w:uiPriority w:val="59"/>
    <w:rsid w:val="00D2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36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36D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6D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6437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FA73-2F61-4CD0-BFB7-16DF169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4</cp:revision>
  <dcterms:created xsi:type="dcterms:W3CDTF">2019-10-07T01:57:00Z</dcterms:created>
  <dcterms:modified xsi:type="dcterms:W3CDTF">2019-11-18T02:21:00Z</dcterms:modified>
</cp:coreProperties>
</file>