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7419" w14:textId="132DCE64" w:rsidR="005D1D9D" w:rsidRPr="00F852E7" w:rsidRDefault="00D0203B" w:rsidP="00F960B8">
      <w:pPr>
        <w:spacing w:before="960"/>
        <w:rPr>
          <w:rFonts w:ascii="Times New Roman" w:hAnsi="Times New Roman" w:cs="Times New Roman"/>
          <w:sz w:val="22"/>
          <w:szCs w:val="2"/>
        </w:rPr>
      </w:pPr>
      <w:r>
        <w:rPr>
          <w:rFonts w:ascii="Times New Roman" w:hAnsi="Times New Roman" w:cs="Times New Roman"/>
          <w:sz w:val="22"/>
        </w:rPr>
        <w:pict w14:anchorId="23DF5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8.65pt;height:87pt">
            <v:imagedata r:id="rId9" o:title=""/>
          </v:shape>
        </w:pict>
      </w:r>
    </w:p>
    <w:p w14:paraId="303BB79A" w14:textId="77777777" w:rsidR="00600643" w:rsidRPr="00F852E7" w:rsidRDefault="00524AAA" w:rsidP="00F960B8">
      <w:pPr>
        <w:pStyle w:val="Bodytext120"/>
        <w:spacing w:before="960" w:line="240" w:lineRule="auto"/>
        <w:rPr>
          <w:rStyle w:val="Bodytext121"/>
          <w:b/>
          <w:bCs/>
          <w:spacing w:val="0"/>
          <w:sz w:val="36"/>
          <w:szCs w:val="36"/>
        </w:rPr>
      </w:pPr>
      <w:r w:rsidRPr="00F852E7">
        <w:rPr>
          <w:rStyle w:val="Bodytext121"/>
          <w:b/>
          <w:bCs/>
          <w:spacing w:val="0"/>
          <w:sz w:val="36"/>
          <w:szCs w:val="36"/>
        </w:rPr>
        <w:t>Housing Loans Insurance Corporation (Transfer of Assets and Abolition) Act 1996</w:t>
      </w:r>
    </w:p>
    <w:p w14:paraId="7DFF6496" w14:textId="438F336A" w:rsidR="005D1D9D" w:rsidRPr="00D0203B" w:rsidRDefault="00524AAA" w:rsidP="00F960B8">
      <w:pPr>
        <w:pStyle w:val="Bodytext120"/>
        <w:spacing w:before="960" w:line="240" w:lineRule="auto"/>
        <w:rPr>
          <w:spacing w:val="0"/>
          <w:sz w:val="28"/>
          <w:szCs w:val="22"/>
        </w:rPr>
      </w:pPr>
      <w:r w:rsidRPr="00D0203B">
        <w:rPr>
          <w:rStyle w:val="Bodytext121"/>
          <w:b/>
          <w:bCs/>
          <w:spacing w:val="0"/>
          <w:sz w:val="28"/>
          <w:szCs w:val="22"/>
        </w:rPr>
        <w:t>No. 14, 1996</w:t>
      </w:r>
    </w:p>
    <w:p w14:paraId="49C2BFEF" w14:textId="77777777" w:rsidR="005D1D9D" w:rsidRPr="00F852E7" w:rsidRDefault="00524AAA" w:rsidP="00F960B8">
      <w:pPr>
        <w:pStyle w:val="Bodytext20"/>
        <w:spacing w:before="960" w:line="240" w:lineRule="auto"/>
        <w:rPr>
          <w:spacing w:val="0"/>
          <w:sz w:val="26"/>
          <w:szCs w:val="26"/>
        </w:rPr>
      </w:pPr>
      <w:r w:rsidRPr="00F852E7">
        <w:rPr>
          <w:rStyle w:val="Bodytext2165pt"/>
          <w:b/>
          <w:bCs/>
          <w:sz w:val="26"/>
          <w:szCs w:val="26"/>
        </w:rPr>
        <w:t>An Act to provide for the transfer of the assets, and the abolition, of the Housing Loans Insurance Corporation, and for related purposes</w:t>
      </w:r>
    </w:p>
    <w:p w14:paraId="4F4A0DF6" w14:textId="77777777" w:rsidR="00412419" w:rsidRDefault="00412419">
      <w:pPr>
        <w:rPr>
          <w:sz w:val="22"/>
        </w:rPr>
        <w:sectPr w:rsidR="00412419" w:rsidSect="0041241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490" w:gutter="0"/>
          <w:cols w:space="720"/>
          <w:noEndnote/>
          <w:docGrid w:linePitch="360"/>
        </w:sectPr>
      </w:pPr>
    </w:p>
    <w:p w14:paraId="670683E9" w14:textId="77777777" w:rsidR="007A0D78" w:rsidRPr="00604659" w:rsidRDefault="007A0D78" w:rsidP="007A0D78">
      <w:pPr>
        <w:pBdr>
          <w:top w:val="single" w:sz="12" w:space="1" w:color="auto"/>
        </w:pBdr>
        <w:rPr>
          <w:sz w:val="22"/>
        </w:rPr>
      </w:pPr>
    </w:p>
    <w:tbl>
      <w:tblPr>
        <w:tblOverlap w:val="never"/>
        <w:tblW w:w="5000" w:type="pct"/>
        <w:tblCellMar>
          <w:left w:w="10" w:type="dxa"/>
          <w:right w:w="10" w:type="dxa"/>
        </w:tblCellMar>
        <w:tblLook w:val="0000" w:firstRow="0" w:lastRow="0" w:firstColumn="0" w:lastColumn="0" w:noHBand="0" w:noVBand="0"/>
      </w:tblPr>
      <w:tblGrid>
        <w:gridCol w:w="1794"/>
        <w:gridCol w:w="7093"/>
        <w:gridCol w:w="493"/>
      </w:tblGrid>
      <w:tr w:rsidR="005D1D9D" w:rsidRPr="00F852E7" w14:paraId="3C0C39F7" w14:textId="77777777" w:rsidTr="00553ECA">
        <w:trPr>
          <w:trHeight w:val="317"/>
        </w:trPr>
        <w:tc>
          <w:tcPr>
            <w:tcW w:w="4737" w:type="pct"/>
            <w:gridSpan w:val="2"/>
            <w:vAlign w:val="bottom"/>
          </w:tcPr>
          <w:p w14:paraId="7FFF70E9" w14:textId="67B4412C" w:rsidR="005D1D9D" w:rsidRPr="00D0203B" w:rsidRDefault="00524AAA" w:rsidP="00D0203B">
            <w:pPr>
              <w:pStyle w:val="Bodytext170"/>
              <w:spacing w:before="120" w:line="240" w:lineRule="auto"/>
              <w:jc w:val="left"/>
              <w:rPr>
                <w:b/>
                <w:sz w:val="24"/>
                <w:szCs w:val="24"/>
              </w:rPr>
            </w:pPr>
            <w:r w:rsidRPr="00D0203B">
              <w:rPr>
                <w:rStyle w:val="Bodytext17165pt"/>
                <w:b w:val="0"/>
                <w:sz w:val="36"/>
                <w:szCs w:val="24"/>
              </w:rPr>
              <w:t>Contents</w:t>
            </w:r>
          </w:p>
        </w:tc>
        <w:tc>
          <w:tcPr>
            <w:tcW w:w="263" w:type="pct"/>
            <w:vAlign w:val="bottom"/>
          </w:tcPr>
          <w:p w14:paraId="059B90BC" w14:textId="77777777" w:rsidR="005D1D9D" w:rsidRPr="00D0203B" w:rsidRDefault="005D1D9D" w:rsidP="00F81362">
            <w:pPr>
              <w:spacing w:before="120"/>
              <w:jc w:val="right"/>
              <w:rPr>
                <w:rFonts w:ascii="Times New Roman" w:hAnsi="Times New Roman" w:cs="Times New Roman"/>
                <w:sz w:val="20"/>
                <w:szCs w:val="10"/>
              </w:rPr>
            </w:pPr>
          </w:p>
        </w:tc>
      </w:tr>
      <w:tr w:rsidR="005D1D9D" w:rsidRPr="00F852E7" w14:paraId="7079760A" w14:textId="77777777" w:rsidTr="00553ECA">
        <w:trPr>
          <w:trHeight w:val="317"/>
        </w:trPr>
        <w:tc>
          <w:tcPr>
            <w:tcW w:w="4737" w:type="pct"/>
            <w:gridSpan w:val="2"/>
            <w:vAlign w:val="bottom"/>
          </w:tcPr>
          <w:p w14:paraId="3C187F04" w14:textId="77777777" w:rsidR="005D1D9D" w:rsidRPr="00F852E7" w:rsidRDefault="00524AAA" w:rsidP="00F81362">
            <w:pPr>
              <w:pStyle w:val="Bodytext170"/>
              <w:spacing w:before="120" w:line="240" w:lineRule="auto"/>
              <w:jc w:val="left"/>
              <w:rPr>
                <w:sz w:val="22"/>
              </w:rPr>
            </w:pPr>
            <w:r w:rsidRPr="00F852E7">
              <w:rPr>
                <w:rStyle w:val="Bodytext17125pt"/>
                <w:sz w:val="22"/>
              </w:rPr>
              <w:t xml:space="preserve">Part </w:t>
            </w:r>
            <w:r w:rsidRPr="00F852E7">
              <w:rPr>
                <w:rStyle w:val="Bodytext17165pt"/>
                <w:sz w:val="22"/>
              </w:rPr>
              <w:t>1</w:t>
            </w:r>
            <w:r w:rsidRPr="00F852E7">
              <w:rPr>
                <w:rStyle w:val="Bodytext17125pt"/>
                <w:sz w:val="22"/>
              </w:rPr>
              <w:t>—Preliminary</w:t>
            </w:r>
          </w:p>
        </w:tc>
        <w:tc>
          <w:tcPr>
            <w:tcW w:w="263" w:type="pct"/>
            <w:vAlign w:val="bottom"/>
          </w:tcPr>
          <w:p w14:paraId="12CD7E78" w14:textId="093522C2" w:rsidR="005D1D9D" w:rsidRPr="00D0203B" w:rsidRDefault="00524AAA" w:rsidP="00D0203B">
            <w:pPr>
              <w:pStyle w:val="Bodytext170"/>
              <w:spacing w:before="120" w:line="240" w:lineRule="auto"/>
              <w:ind w:right="144"/>
              <w:jc w:val="right"/>
              <w:rPr>
                <w:sz w:val="20"/>
              </w:rPr>
            </w:pPr>
            <w:r w:rsidRPr="00D0203B">
              <w:rPr>
                <w:rStyle w:val="Bodytext17NotItalic"/>
                <w:sz w:val="20"/>
              </w:rPr>
              <w:t>533</w:t>
            </w:r>
          </w:p>
        </w:tc>
      </w:tr>
      <w:tr w:rsidR="005D1D9D" w:rsidRPr="00F852E7" w14:paraId="714B59F3" w14:textId="77777777" w:rsidTr="00553ECA">
        <w:trPr>
          <w:trHeight w:val="317"/>
        </w:trPr>
        <w:tc>
          <w:tcPr>
            <w:tcW w:w="956" w:type="pct"/>
            <w:vAlign w:val="bottom"/>
          </w:tcPr>
          <w:p w14:paraId="7EB26387" w14:textId="77777777" w:rsidR="005D1D9D" w:rsidRPr="00D0203B" w:rsidRDefault="00524AAA" w:rsidP="00B130D5">
            <w:pPr>
              <w:pStyle w:val="Bodytext170"/>
              <w:spacing w:before="120" w:line="240" w:lineRule="auto"/>
              <w:ind w:left="432"/>
              <w:jc w:val="center"/>
              <w:rPr>
                <w:sz w:val="20"/>
              </w:rPr>
            </w:pPr>
            <w:r w:rsidRPr="00D0203B">
              <w:rPr>
                <w:rStyle w:val="Bodytext17NotItalic0"/>
                <w:sz w:val="20"/>
              </w:rPr>
              <w:t>l</w:t>
            </w:r>
          </w:p>
        </w:tc>
        <w:tc>
          <w:tcPr>
            <w:tcW w:w="3781" w:type="pct"/>
            <w:vAlign w:val="bottom"/>
          </w:tcPr>
          <w:p w14:paraId="1CA122AA" w14:textId="568323EC" w:rsidR="005D1D9D" w:rsidRPr="00D0203B" w:rsidRDefault="00524AAA" w:rsidP="00D0203B">
            <w:pPr>
              <w:pStyle w:val="Bodytext170"/>
              <w:tabs>
                <w:tab w:val="left" w:leader="dot" w:pos="7009"/>
              </w:tabs>
              <w:spacing w:before="120" w:line="240" w:lineRule="auto"/>
              <w:jc w:val="left"/>
              <w:rPr>
                <w:sz w:val="20"/>
              </w:rPr>
            </w:pPr>
            <w:r w:rsidRPr="00D0203B">
              <w:rPr>
                <w:rStyle w:val="Bodytext17NotItalic"/>
                <w:sz w:val="20"/>
              </w:rPr>
              <w:t>Short title</w:t>
            </w:r>
            <w:r w:rsidRPr="00D0203B">
              <w:rPr>
                <w:rStyle w:val="Bodytext17NotItalic"/>
                <w:sz w:val="20"/>
              </w:rPr>
              <w:tab/>
            </w:r>
          </w:p>
        </w:tc>
        <w:tc>
          <w:tcPr>
            <w:tcW w:w="263" w:type="pct"/>
            <w:vAlign w:val="bottom"/>
          </w:tcPr>
          <w:p w14:paraId="6CBB8788"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533</w:t>
            </w:r>
          </w:p>
        </w:tc>
      </w:tr>
      <w:tr w:rsidR="005D1D9D" w:rsidRPr="00F852E7" w14:paraId="7B8B2D57" w14:textId="77777777" w:rsidTr="00553ECA">
        <w:trPr>
          <w:trHeight w:val="317"/>
        </w:trPr>
        <w:tc>
          <w:tcPr>
            <w:tcW w:w="956" w:type="pct"/>
            <w:vAlign w:val="bottom"/>
          </w:tcPr>
          <w:p w14:paraId="72C6AEB1" w14:textId="77777777" w:rsidR="005D1D9D" w:rsidRPr="00D0203B" w:rsidRDefault="00524AAA" w:rsidP="00B130D5">
            <w:pPr>
              <w:pStyle w:val="Bodytext170"/>
              <w:spacing w:before="120" w:line="240" w:lineRule="auto"/>
              <w:ind w:left="432"/>
              <w:jc w:val="center"/>
              <w:rPr>
                <w:sz w:val="20"/>
              </w:rPr>
            </w:pPr>
            <w:r w:rsidRPr="00D0203B">
              <w:rPr>
                <w:rStyle w:val="Bodytext17NotItalic1"/>
                <w:sz w:val="20"/>
              </w:rPr>
              <w:t>2</w:t>
            </w:r>
          </w:p>
        </w:tc>
        <w:tc>
          <w:tcPr>
            <w:tcW w:w="3781" w:type="pct"/>
            <w:vAlign w:val="bottom"/>
          </w:tcPr>
          <w:p w14:paraId="4B28C066" w14:textId="77777777" w:rsidR="005D1D9D" w:rsidRPr="00D0203B" w:rsidRDefault="00524AAA" w:rsidP="00F81362">
            <w:pPr>
              <w:tabs>
                <w:tab w:val="left" w:leader="dot" w:pos="7009"/>
              </w:tabs>
              <w:spacing w:before="120"/>
              <w:rPr>
                <w:rFonts w:ascii="Times New Roman" w:hAnsi="Times New Roman" w:cs="Times New Roman"/>
                <w:i/>
                <w:sz w:val="20"/>
              </w:rPr>
            </w:pPr>
            <w:r w:rsidRPr="00D0203B">
              <w:rPr>
                <w:rStyle w:val="Bodytext17NotItalic"/>
                <w:rFonts w:eastAsia="Courier New"/>
                <w:i w:val="0"/>
                <w:sz w:val="20"/>
              </w:rPr>
              <w:t>Commencement</w:t>
            </w:r>
            <w:r w:rsidRPr="00D0203B">
              <w:rPr>
                <w:rStyle w:val="Bodytext17NotItalic"/>
                <w:rFonts w:eastAsia="Courier New"/>
                <w:i w:val="0"/>
                <w:sz w:val="20"/>
              </w:rPr>
              <w:tab/>
            </w:r>
          </w:p>
        </w:tc>
        <w:tc>
          <w:tcPr>
            <w:tcW w:w="263" w:type="pct"/>
            <w:vAlign w:val="bottom"/>
          </w:tcPr>
          <w:p w14:paraId="7569EBE2"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514</w:t>
            </w:r>
          </w:p>
        </w:tc>
      </w:tr>
      <w:tr w:rsidR="005D1D9D" w:rsidRPr="00F852E7" w14:paraId="14779615" w14:textId="77777777" w:rsidTr="00553ECA">
        <w:trPr>
          <w:trHeight w:val="317"/>
        </w:trPr>
        <w:tc>
          <w:tcPr>
            <w:tcW w:w="956" w:type="pct"/>
            <w:vAlign w:val="bottom"/>
          </w:tcPr>
          <w:p w14:paraId="255766B5" w14:textId="77777777" w:rsidR="005D1D9D" w:rsidRPr="00D0203B" w:rsidRDefault="00524AAA" w:rsidP="00B130D5">
            <w:pPr>
              <w:pStyle w:val="Bodytext170"/>
              <w:spacing w:before="120" w:line="240" w:lineRule="auto"/>
              <w:ind w:left="432"/>
              <w:jc w:val="center"/>
              <w:rPr>
                <w:sz w:val="20"/>
              </w:rPr>
            </w:pPr>
            <w:r w:rsidRPr="00D0203B">
              <w:rPr>
                <w:rStyle w:val="Bodytext17NotItalic1"/>
                <w:sz w:val="20"/>
              </w:rPr>
              <w:t>3</w:t>
            </w:r>
          </w:p>
        </w:tc>
        <w:tc>
          <w:tcPr>
            <w:tcW w:w="3781" w:type="pct"/>
            <w:vAlign w:val="bottom"/>
          </w:tcPr>
          <w:p w14:paraId="250BEA39" w14:textId="77777777" w:rsidR="005D1D9D" w:rsidRPr="00D0203B" w:rsidRDefault="00524AAA" w:rsidP="00F81362">
            <w:pPr>
              <w:tabs>
                <w:tab w:val="left" w:leader="dot" w:pos="7009"/>
              </w:tabs>
              <w:spacing w:before="120"/>
              <w:rPr>
                <w:rFonts w:ascii="Times New Roman" w:hAnsi="Times New Roman" w:cs="Times New Roman"/>
                <w:i/>
                <w:sz w:val="20"/>
              </w:rPr>
            </w:pPr>
            <w:r w:rsidRPr="00D0203B">
              <w:rPr>
                <w:rStyle w:val="Bodytext17NotItalic"/>
                <w:rFonts w:eastAsia="Courier New"/>
                <w:i w:val="0"/>
                <w:sz w:val="20"/>
              </w:rPr>
              <w:t>Definitions</w:t>
            </w:r>
            <w:r w:rsidRPr="00D0203B">
              <w:rPr>
                <w:rStyle w:val="Bodytext17NotItalic"/>
                <w:rFonts w:eastAsia="Courier New"/>
                <w:i w:val="0"/>
                <w:sz w:val="20"/>
              </w:rPr>
              <w:tab/>
            </w:r>
          </w:p>
        </w:tc>
        <w:tc>
          <w:tcPr>
            <w:tcW w:w="263" w:type="pct"/>
            <w:vAlign w:val="bottom"/>
          </w:tcPr>
          <w:p w14:paraId="55255696"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534</w:t>
            </w:r>
          </w:p>
        </w:tc>
      </w:tr>
      <w:tr w:rsidR="005D1D9D" w:rsidRPr="00F852E7" w14:paraId="2A5D098B" w14:textId="77777777" w:rsidTr="00553ECA">
        <w:trPr>
          <w:trHeight w:val="317"/>
        </w:trPr>
        <w:tc>
          <w:tcPr>
            <w:tcW w:w="956" w:type="pct"/>
            <w:vAlign w:val="bottom"/>
          </w:tcPr>
          <w:p w14:paraId="4AC55216" w14:textId="77777777" w:rsidR="005D1D9D" w:rsidRPr="00D0203B" w:rsidRDefault="00524AAA" w:rsidP="00B130D5">
            <w:pPr>
              <w:pStyle w:val="Bodytext170"/>
              <w:spacing w:before="120" w:line="240" w:lineRule="auto"/>
              <w:ind w:left="432"/>
              <w:jc w:val="center"/>
              <w:rPr>
                <w:sz w:val="20"/>
              </w:rPr>
            </w:pPr>
            <w:r w:rsidRPr="00D0203B">
              <w:rPr>
                <w:rStyle w:val="Bodytext17NotItalic1"/>
                <w:sz w:val="20"/>
              </w:rPr>
              <w:t>4</w:t>
            </w:r>
          </w:p>
        </w:tc>
        <w:tc>
          <w:tcPr>
            <w:tcW w:w="3781" w:type="pct"/>
            <w:vAlign w:val="bottom"/>
          </w:tcPr>
          <w:p w14:paraId="0EEAE126" w14:textId="77777777" w:rsidR="005D1D9D" w:rsidRPr="00D0203B" w:rsidRDefault="00524AAA" w:rsidP="00F81362">
            <w:pPr>
              <w:tabs>
                <w:tab w:val="left" w:leader="dot" w:pos="7009"/>
              </w:tabs>
              <w:spacing w:before="120"/>
              <w:rPr>
                <w:rFonts w:ascii="Times New Roman" w:hAnsi="Times New Roman" w:cs="Times New Roman"/>
                <w:i/>
                <w:sz w:val="20"/>
              </w:rPr>
            </w:pPr>
            <w:r w:rsidRPr="00D0203B">
              <w:rPr>
                <w:rStyle w:val="Bodytext17NotItalic"/>
                <w:rFonts w:eastAsia="Courier New"/>
                <w:i w:val="0"/>
                <w:sz w:val="20"/>
              </w:rPr>
              <w:t>Act binds the Crown</w:t>
            </w:r>
            <w:r w:rsidRPr="00D0203B">
              <w:rPr>
                <w:rStyle w:val="Bodytext17NotItalic"/>
                <w:rFonts w:eastAsia="Courier New"/>
                <w:i w:val="0"/>
                <w:sz w:val="20"/>
              </w:rPr>
              <w:tab/>
            </w:r>
          </w:p>
        </w:tc>
        <w:tc>
          <w:tcPr>
            <w:tcW w:w="263" w:type="pct"/>
            <w:vAlign w:val="bottom"/>
          </w:tcPr>
          <w:p w14:paraId="63CC2966"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535</w:t>
            </w:r>
          </w:p>
        </w:tc>
      </w:tr>
      <w:tr w:rsidR="005D1D9D" w:rsidRPr="00F852E7" w14:paraId="5E772F88" w14:textId="77777777" w:rsidTr="00553ECA">
        <w:trPr>
          <w:trHeight w:val="317"/>
        </w:trPr>
        <w:tc>
          <w:tcPr>
            <w:tcW w:w="4737" w:type="pct"/>
            <w:gridSpan w:val="2"/>
            <w:vAlign w:val="bottom"/>
          </w:tcPr>
          <w:p w14:paraId="4E43EB04" w14:textId="77777777" w:rsidR="005D1D9D" w:rsidRPr="00F852E7" w:rsidRDefault="00524AAA" w:rsidP="00F81362">
            <w:pPr>
              <w:pStyle w:val="Bodytext170"/>
              <w:spacing w:before="120" w:line="240" w:lineRule="auto"/>
              <w:jc w:val="left"/>
              <w:rPr>
                <w:b/>
                <w:sz w:val="22"/>
              </w:rPr>
            </w:pPr>
            <w:r w:rsidRPr="00F852E7">
              <w:rPr>
                <w:rStyle w:val="Bodytext17125pt0"/>
                <w:b/>
                <w:sz w:val="22"/>
              </w:rPr>
              <w:t>Part 2—The Company</w:t>
            </w:r>
          </w:p>
        </w:tc>
        <w:tc>
          <w:tcPr>
            <w:tcW w:w="263" w:type="pct"/>
            <w:vAlign w:val="bottom"/>
          </w:tcPr>
          <w:p w14:paraId="1E9BEA46"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536</w:t>
            </w:r>
          </w:p>
        </w:tc>
      </w:tr>
      <w:tr w:rsidR="005D1D9D" w:rsidRPr="00F852E7" w14:paraId="1BDA5A80" w14:textId="77777777" w:rsidTr="00553ECA">
        <w:trPr>
          <w:trHeight w:val="317"/>
        </w:trPr>
        <w:tc>
          <w:tcPr>
            <w:tcW w:w="956" w:type="pct"/>
            <w:vAlign w:val="bottom"/>
          </w:tcPr>
          <w:p w14:paraId="1D6765C6" w14:textId="77777777" w:rsidR="005D1D9D" w:rsidRPr="00D0203B" w:rsidRDefault="00524AAA" w:rsidP="00B130D5">
            <w:pPr>
              <w:pStyle w:val="Bodytext170"/>
              <w:spacing w:before="120" w:line="240" w:lineRule="auto"/>
              <w:ind w:left="432"/>
              <w:jc w:val="center"/>
              <w:rPr>
                <w:sz w:val="20"/>
              </w:rPr>
            </w:pPr>
            <w:r w:rsidRPr="00D0203B">
              <w:rPr>
                <w:rStyle w:val="Bodytext17NotItalic"/>
                <w:sz w:val="20"/>
              </w:rPr>
              <w:t>5</w:t>
            </w:r>
          </w:p>
        </w:tc>
        <w:tc>
          <w:tcPr>
            <w:tcW w:w="3781" w:type="pct"/>
            <w:vAlign w:val="bottom"/>
          </w:tcPr>
          <w:p w14:paraId="22B82FF4"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Shares in the Company</w:t>
            </w:r>
            <w:r w:rsidRPr="00D0203B">
              <w:rPr>
                <w:rStyle w:val="Bodytext17NotItalic"/>
                <w:sz w:val="20"/>
              </w:rPr>
              <w:tab/>
            </w:r>
          </w:p>
        </w:tc>
        <w:tc>
          <w:tcPr>
            <w:tcW w:w="263" w:type="pct"/>
            <w:vAlign w:val="bottom"/>
          </w:tcPr>
          <w:p w14:paraId="0F146103"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536</w:t>
            </w:r>
          </w:p>
        </w:tc>
      </w:tr>
      <w:tr w:rsidR="005D1D9D" w:rsidRPr="00F852E7" w14:paraId="6C492380" w14:textId="77777777" w:rsidTr="00553ECA">
        <w:trPr>
          <w:trHeight w:val="317"/>
        </w:trPr>
        <w:tc>
          <w:tcPr>
            <w:tcW w:w="956" w:type="pct"/>
            <w:vAlign w:val="bottom"/>
          </w:tcPr>
          <w:p w14:paraId="22CEB300" w14:textId="77777777" w:rsidR="005D1D9D" w:rsidRPr="00D0203B" w:rsidRDefault="00524AAA" w:rsidP="00B130D5">
            <w:pPr>
              <w:pStyle w:val="Bodytext170"/>
              <w:spacing w:before="120" w:line="240" w:lineRule="auto"/>
              <w:ind w:left="432"/>
              <w:jc w:val="center"/>
              <w:rPr>
                <w:b/>
                <w:sz w:val="20"/>
              </w:rPr>
            </w:pPr>
            <w:r w:rsidRPr="00D0203B">
              <w:rPr>
                <w:rStyle w:val="Bodytext17Bold"/>
                <w:b w:val="0"/>
                <w:sz w:val="20"/>
              </w:rPr>
              <w:t>6</w:t>
            </w:r>
          </w:p>
        </w:tc>
        <w:tc>
          <w:tcPr>
            <w:tcW w:w="3781" w:type="pct"/>
            <w:vAlign w:val="bottom"/>
          </w:tcPr>
          <w:p w14:paraId="6EB5B9F3"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The Company is not the Crown</w:t>
            </w:r>
            <w:r w:rsidRPr="00D0203B">
              <w:rPr>
                <w:rStyle w:val="Bodytext17NotItalic"/>
                <w:sz w:val="20"/>
              </w:rPr>
              <w:tab/>
            </w:r>
          </w:p>
        </w:tc>
        <w:tc>
          <w:tcPr>
            <w:tcW w:w="263" w:type="pct"/>
            <w:vAlign w:val="bottom"/>
          </w:tcPr>
          <w:p w14:paraId="4CAB8CE6"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536</w:t>
            </w:r>
          </w:p>
        </w:tc>
      </w:tr>
      <w:tr w:rsidR="005D1D9D" w:rsidRPr="00F852E7" w14:paraId="4213C83B" w14:textId="77777777" w:rsidTr="00553ECA">
        <w:trPr>
          <w:trHeight w:val="317"/>
        </w:trPr>
        <w:tc>
          <w:tcPr>
            <w:tcW w:w="956" w:type="pct"/>
            <w:vAlign w:val="bottom"/>
          </w:tcPr>
          <w:p w14:paraId="4CE3DE6F" w14:textId="77777777" w:rsidR="005D1D9D" w:rsidRPr="00D0203B" w:rsidRDefault="00524AAA" w:rsidP="00B130D5">
            <w:pPr>
              <w:pStyle w:val="Bodytext170"/>
              <w:spacing w:before="120" w:line="240" w:lineRule="auto"/>
              <w:ind w:left="432"/>
              <w:jc w:val="center"/>
              <w:rPr>
                <w:sz w:val="20"/>
              </w:rPr>
            </w:pPr>
            <w:r w:rsidRPr="00D0203B">
              <w:rPr>
                <w:rStyle w:val="Bodytext17NotItalic"/>
                <w:sz w:val="20"/>
              </w:rPr>
              <w:t>7</w:t>
            </w:r>
          </w:p>
        </w:tc>
        <w:tc>
          <w:tcPr>
            <w:tcW w:w="3781" w:type="pct"/>
            <w:vAlign w:val="bottom"/>
          </w:tcPr>
          <w:p w14:paraId="5CD928C1"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Transfer of the Corporation’s assets and liabilities</w:t>
            </w:r>
            <w:r w:rsidRPr="00D0203B">
              <w:rPr>
                <w:rStyle w:val="Bodytext17NotItalic"/>
                <w:sz w:val="20"/>
              </w:rPr>
              <w:tab/>
            </w:r>
          </w:p>
        </w:tc>
        <w:tc>
          <w:tcPr>
            <w:tcW w:w="263" w:type="pct"/>
            <w:vAlign w:val="bottom"/>
          </w:tcPr>
          <w:p w14:paraId="11FD6B8D"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536</w:t>
            </w:r>
          </w:p>
        </w:tc>
      </w:tr>
      <w:tr w:rsidR="005D1D9D" w:rsidRPr="00F852E7" w14:paraId="2FBD8BF1" w14:textId="77777777" w:rsidTr="00553ECA">
        <w:trPr>
          <w:trHeight w:val="317"/>
        </w:trPr>
        <w:tc>
          <w:tcPr>
            <w:tcW w:w="956" w:type="pct"/>
            <w:vAlign w:val="bottom"/>
          </w:tcPr>
          <w:p w14:paraId="0BF54844" w14:textId="77777777" w:rsidR="005D1D9D" w:rsidRPr="00D0203B" w:rsidRDefault="00524AAA" w:rsidP="00B130D5">
            <w:pPr>
              <w:pStyle w:val="Bodytext170"/>
              <w:spacing w:before="120" w:line="240" w:lineRule="auto"/>
              <w:ind w:left="432"/>
              <w:jc w:val="center"/>
              <w:rPr>
                <w:sz w:val="20"/>
              </w:rPr>
            </w:pPr>
            <w:r w:rsidRPr="00D0203B">
              <w:rPr>
                <w:rStyle w:val="Bodytext17NotItalic"/>
                <w:sz w:val="20"/>
              </w:rPr>
              <w:t>8</w:t>
            </w:r>
          </w:p>
        </w:tc>
        <w:tc>
          <w:tcPr>
            <w:tcW w:w="3781" w:type="pct"/>
            <w:vAlign w:val="bottom"/>
          </w:tcPr>
          <w:p w14:paraId="5BE22175"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Certain instruments to continue in force</w:t>
            </w:r>
            <w:r w:rsidRPr="00D0203B">
              <w:rPr>
                <w:rStyle w:val="Bodytext17NotItalic"/>
                <w:sz w:val="20"/>
              </w:rPr>
              <w:tab/>
            </w:r>
          </w:p>
        </w:tc>
        <w:tc>
          <w:tcPr>
            <w:tcW w:w="263" w:type="pct"/>
            <w:vAlign w:val="bottom"/>
          </w:tcPr>
          <w:p w14:paraId="0D2A6DA8"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537</w:t>
            </w:r>
          </w:p>
        </w:tc>
      </w:tr>
      <w:tr w:rsidR="005D1D9D" w:rsidRPr="00F852E7" w14:paraId="55B6C49A" w14:textId="77777777" w:rsidTr="00553ECA">
        <w:trPr>
          <w:trHeight w:val="317"/>
        </w:trPr>
        <w:tc>
          <w:tcPr>
            <w:tcW w:w="956" w:type="pct"/>
            <w:vAlign w:val="bottom"/>
          </w:tcPr>
          <w:p w14:paraId="15AE6216" w14:textId="77777777" w:rsidR="005D1D9D" w:rsidRPr="00D0203B" w:rsidRDefault="00524AAA" w:rsidP="00B130D5">
            <w:pPr>
              <w:pStyle w:val="Bodytext170"/>
              <w:spacing w:before="120" w:line="240" w:lineRule="auto"/>
              <w:ind w:left="432"/>
              <w:jc w:val="center"/>
              <w:rPr>
                <w:sz w:val="20"/>
              </w:rPr>
            </w:pPr>
            <w:r w:rsidRPr="00D0203B">
              <w:rPr>
                <w:rStyle w:val="Bodytext17NotItalic"/>
                <w:sz w:val="20"/>
              </w:rPr>
              <w:t>9</w:t>
            </w:r>
          </w:p>
        </w:tc>
        <w:tc>
          <w:tcPr>
            <w:tcW w:w="3781" w:type="pct"/>
            <w:vAlign w:val="bottom"/>
          </w:tcPr>
          <w:p w14:paraId="5DF5AF0C"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Pending proceedings</w:t>
            </w:r>
            <w:r w:rsidRPr="00D0203B">
              <w:rPr>
                <w:rStyle w:val="Bodytext17NotItalic"/>
                <w:sz w:val="20"/>
              </w:rPr>
              <w:tab/>
            </w:r>
          </w:p>
        </w:tc>
        <w:tc>
          <w:tcPr>
            <w:tcW w:w="263" w:type="pct"/>
            <w:vAlign w:val="bottom"/>
          </w:tcPr>
          <w:p w14:paraId="35493D05"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537</w:t>
            </w:r>
          </w:p>
        </w:tc>
      </w:tr>
      <w:tr w:rsidR="005D1D9D" w:rsidRPr="00F852E7" w14:paraId="710A6E27" w14:textId="77777777" w:rsidTr="00553ECA">
        <w:trPr>
          <w:trHeight w:val="317"/>
        </w:trPr>
        <w:tc>
          <w:tcPr>
            <w:tcW w:w="4737" w:type="pct"/>
            <w:gridSpan w:val="2"/>
            <w:vAlign w:val="bottom"/>
          </w:tcPr>
          <w:p w14:paraId="5FA13557" w14:textId="77777777" w:rsidR="005D1D9D" w:rsidRPr="00F852E7" w:rsidRDefault="00524AAA" w:rsidP="00F81362">
            <w:pPr>
              <w:pStyle w:val="Bodytext170"/>
              <w:spacing w:before="120" w:line="240" w:lineRule="auto"/>
              <w:jc w:val="left"/>
              <w:rPr>
                <w:b/>
                <w:sz w:val="22"/>
              </w:rPr>
            </w:pPr>
            <w:r w:rsidRPr="00F852E7">
              <w:rPr>
                <w:rStyle w:val="Bodytext17125pt0"/>
                <w:b/>
                <w:sz w:val="22"/>
              </w:rPr>
              <w:t>Part 3—Management of pre-transfer contracts</w:t>
            </w:r>
          </w:p>
        </w:tc>
        <w:tc>
          <w:tcPr>
            <w:tcW w:w="263" w:type="pct"/>
            <w:vAlign w:val="bottom"/>
          </w:tcPr>
          <w:p w14:paraId="46882BF0"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538</w:t>
            </w:r>
          </w:p>
        </w:tc>
      </w:tr>
      <w:tr w:rsidR="00A46593" w:rsidRPr="00F852E7" w14:paraId="11DDF715" w14:textId="77777777" w:rsidTr="00D1773D">
        <w:trPr>
          <w:trHeight w:val="317"/>
        </w:trPr>
        <w:tc>
          <w:tcPr>
            <w:tcW w:w="956" w:type="pct"/>
          </w:tcPr>
          <w:p w14:paraId="3830B173" w14:textId="77777777" w:rsidR="00A46593" w:rsidRPr="00D0203B" w:rsidRDefault="00A46593" w:rsidP="00D1773D">
            <w:pPr>
              <w:pStyle w:val="Bodytext170"/>
              <w:spacing w:before="120" w:line="240" w:lineRule="auto"/>
              <w:ind w:left="432"/>
              <w:jc w:val="center"/>
              <w:rPr>
                <w:sz w:val="20"/>
              </w:rPr>
            </w:pPr>
            <w:r w:rsidRPr="00D0203B">
              <w:rPr>
                <w:rStyle w:val="Bodytext17NotItalic"/>
                <w:sz w:val="20"/>
              </w:rPr>
              <w:t>10</w:t>
            </w:r>
          </w:p>
        </w:tc>
        <w:tc>
          <w:tcPr>
            <w:tcW w:w="3781" w:type="pct"/>
            <w:vAlign w:val="bottom"/>
          </w:tcPr>
          <w:p w14:paraId="3F14562E" w14:textId="77777777" w:rsidR="00A46593" w:rsidRPr="00D0203B" w:rsidRDefault="00A46593" w:rsidP="00F81362">
            <w:pPr>
              <w:pStyle w:val="Bodytext170"/>
              <w:tabs>
                <w:tab w:val="left" w:leader="dot" w:pos="7013"/>
              </w:tabs>
              <w:spacing w:before="120" w:line="240" w:lineRule="auto"/>
              <w:jc w:val="left"/>
              <w:rPr>
                <w:sz w:val="20"/>
              </w:rPr>
            </w:pPr>
            <w:r w:rsidRPr="00D0203B">
              <w:rPr>
                <w:rStyle w:val="Bodytext17NotItalic"/>
                <w:sz w:val="20"/>
              </w:rPr>
              <w:t>Agreement between the Commonwealth and the Company for management of pre-transfer contracts and establishment of Insurance Account</w:t>
            </w:r>
            <w:r w:rsidRPr="00D0203B">
              <w:rPr>
                <w:rStyle w:val="Bodytext17NotItalic"/>
                <w:sz w:val="20"/>
              </w:rPr>
              <w:tab/>
            </w:r>
          </w:p>
        </w:tc>
        <w:tc>
          <w:tcPr>
            <w:tcW w:w="263" w:type="pct"/>
            <w:vAlign w:val="bottom"/>
          </w:tcPr>
          <w:p w14:paraId="0A3AEE8B" w14:textId="77777777" w:rsidR="00A46593" w:rsidRPr="00D0203B" w:rsidRDefault="00A46593" w:rsidP="00F81362">
            <w:pPr>
              <w:pStyle w:val="Bodytext170"/>
              <w:spacing w:before="120" w:line="240" w:lineRule="auto"/>
              <w:ind w:right="144"/>
              <w:jc w:val="right"/>
              <w:rPr>
                <w:sz w:val="20"/>
                <w:szCs w:val="10"/>
              </w:rPr>
            </w:pPr>
            <w:r w:rsidRPr="00D0203B">
              <w:rPr>
                <w:rStyle w:val="Bodytext17NotItalic"/>
                <w:sz w:val="20"/>
              </w:rPr>
              <w:t>538</w:t>
            </w:r>
          </w:p>
        </w:tc>
      </w:tr>
      <w:tr w:rsidR="005D1D9D" w:rsidRPr="00F852E7" w14:paraId="39927009" w14:textId="77777777" w:rsidTr="00553ECA">
        <w:trPr>
          <w:trHeight w:val="317"/>
        </w:trPr>
        <w:tc>
          <w:tcPr>
            <w:tcW w:w="956" w:type="pct"/>
            <w:vAlign w:val="bottom"/>
          </w:tcPr>
          <w:p w14:paraId="0B5C9708" w14:textId="77777777" w:rsidR="005D1D9D" w:rsidRPr="00D0203B" w:rsidRDefault="00524AAA" w:rsidP="00B130D5">
            <w:pPr>
              <w:pStyle w:val="Bodytext170"/>
              <w:spacing w:before="120" w:line="240" w:lineRule="auto"/>
              <w:ind w:left="432"/>
              <w:jc w:val="center"/>
              <w:rPr>
                <w:sz w:val="20"/>
              </w:rPr>
            </w:pPr>
            <w:r w:rsidRPr="00D0203B">
              <w:rPr>
                <w:rStyle w:val="Bodytext17NotItalic2"/>
                <w:sz w:val="20"/>
              </w:rPr>
              <w:t>11</w:t>
            </w:r>
          </w:p>
        </w:tc>
        <w:tc>
          <w:tcPr>
            <w:tcW w:w="3781" w:type="pct"/>
            <w:vAlign w:val="bottom"/>
          </w:tcPr>
          <w:p w14:paraId="7A1ABC6F"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Guarantee by Commonwealth</w:t>
            </w:r>
            <w:r w:rsidRPr="00D0203B">
              <w:rPr>
                <w:rStyle w:val="Bodytext17NotItalic"/>
                <w:sz w:val="20"/>
              </w:rPr>
              <w:tab/>
            </w:r>
          </w:p>
        </w:tc>
        <w:tc>
          <w:tcPr>
            <w:tcW w:w="263" w:type="pct"/>
            <w:vAlign w:val="bottom"/>
          </w:tcPr>
          <w:p w14:paraId="6EBBE6CE"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538</w:t>
            </w:r>
          </w:p>
        </w:tc>
      </w:tr>
      <w:tr w:rsidR="005D1D9D" w:rsidRPr="00F852E7" w14:paraId="2D6C50E7" w14:textId="77777777" w:rsidTr="00553ECA">
        <w:trPr>
          <w:trHeight w:val="317"/>
        </w:trPr>
        <w:tc>
          <w:tcPr>
            <w:tcW w:w="956" w:type="pct"/>
            <w:vAlign w:val="bottom"/>
          </w:tcPr>
          <w:p w14:paraId="41E0E535" w14:textId="77777777" w:rsidR="005D1D9D" w:rsidRPr="00D0203B" w:rsidRDefault="00524AAA" w:rsidP="00B130D5">
            <w:pPr>
              <w:pStyle w:val="Bodytext170"/>
              <w:spacing w:before="120" w:line="240" w:lineRule="auto"/>
              <w:ind w:left="432"/>
              <w:jc w:val="center"/>
              <w:rPr>
                <w:sz w:val="20"/>
              </w:rPr>
            </w:pPr>
            <w:r w:rsidRPr="00D0203B">
              <w:rPr>
                <w:rStyle w:val="Bodytext17NotItalic"/>
                <w:sz w:val="20"/>
              </w:rPr>
              <w:t>12</w:t>
            </w:r>
          </w:p>
        </w:tc>
        <w:tc>
          <w:tcPr>
            <w:tcW w:w="3781" w:type="pct"/>
            <w:vAlign w:val="bottom"/>
          </w:tcPr>
          <w:p w14:paraId="6BC5F738"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Payments into Insurance Account</w:t>
            </w:r>
            <w:r w:rsidRPr="00D0203B">
              <w:rPr>
                <w:rStyle w:val="Bodytext17NotItalic"/>
                <w:sz w:val="20"/>
              </w:rPr>
              <w:tab/>
            </w:r>
          </w:p>
        </w:tc>
        <w:tc>
          <w:tcPr>
            <w:tcW w:w="263" w:type="pct"/>
            <w:vAlign w:val="bottom"/>
          </w:tcPr>
          <w:p w14:paraId="24AA1ECC"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538</w:t>
            </w:r>
          </w:p>
        </w:tc>
      </w:tr>
      <w:tr w:rsidR="005D1D9D" w:rsidRPr="00F852E7" w14:paraId="6DD033EB" w14:textId="77777777" w:rsidTr="00553ECA">
        <w:trPr>
          <w:trHeight w:val="317"/>
        </w:trPr>
        <w:tc>
          <w:tcPr>
            <w:tcW w:w="956" w:type="pct"/>
            <w:vAlign w:val="bottom"/>
          </w:tcPr>
          <w:p w14:paraId="2F686AC3" w14:textId="77777777" w:rsidR="005D1D9D" w:rsidRPr="00D0203B" w:rsidRDefault="00524AAA" w:rsidP="00B130D5">
            <w:pPr>
              <w:pStyle w:val="Bodytext170"/>
              <w:spacing w:before="120" w:line="240" w:lineRule="auto"/>
              <w:ind w:left="432"/>
              <w:jc w:val="center"/>
              <w:rPr>
                <w:sz w:val="20"/>
              </w:rPr>
            </w:pPr>
            <w:r w:rsidRPr="00D0203B">
              <w:rPr>
                <w:rStyle w:val="Bodytext17NotItalic"/>
                <w:sz w:val="20"/>
              </w:rPr>
              <w:t>13</w:t>
            </w:r>
          </w:p>
        </w:tc>
        <w:tc>
          <w:tcPr>
            <w:tcW w:w="3781" w:type="pct"/>
            <w:vAlign w:val="bottom"/>
          </w:tcPr>
          <w:p w14:paraId="53D48132" w14:textId="77777777" w:rsidR="005D1D9D" w:rsidRPr="00D0203B" w:rsidRDefault="00524AAA" w:rsidP="00F81362">
            <w:pPr>
              <w:pStyle w:val="Bodytext170"/>
              <w:tabs>
                <w:tab w:val="left" w:leader="dot" w:pos="7013"/>
              </w:tabs>
              <w:spacing w:before="120" w:line="240" w:lineRule="auto"/>
              <w:jc w:val="left"/>
              <w:rPr>
                <w:sz w:val="20"/>
              </w:rPr>
            </w:pPr>
            <w:r w:rsidRPr="00D0203B">
              <w:rPr>
                <w:rStyle w:val="Bodytext17NotItalic"/>
                <w:sz w:val="20"/>
              </w:rPr>
              <w:t>Payments out of Insurance Account</w:t>
            </w:r>
            <w:r w:rsidRPr="00D0203B">
              <w:rPr>
                <w:rStyle w:val="Bodytext17NotItalic"/>
                <w:sz w:val="20"/>
              </w:rPr>
              <w:tab/>
            </w:r>
          </w:p>
        </w:tc>
        <w:tc>
          <w:tcPr>
            <w:tcW w:w="263" w:type="pct"/>
            <w:vAlign w:val="bottom"/>
          </w:tcPr>
          <w:p w14:paraId="1A6D4A83"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539</w:t>
            </w:r>
          </w:p>
        </w:tc>
      </w:tr>
      <w:tr w:rsidR="005D1D9D" w:rsidRPr="00F852E7" w14:paraId="4AC16E6A" w14:textId="77777777" w:rsidTr="00553ECA">
        <w:trPr>
          <w:trHeight w:val="317"/>
        </w:trPr>
        <w:tc>
          <w:tcPr>
            <w:tcW w:w="4737" w:type="pct"/>
            <w:gridSpan w:val="2"/>
            <w:vAlign w:val="bottom"/>
          </w:tcPr>
          <w:p w14:paraId="67649E47" w14:textId="77777777" w:rsidR="005D1D9D" w:rsidRPr="00F852E7" w:rsidRDefault="00524AAA" w:rsidP="00F81362">
            <w:pPr>
              <w:pStyle w:val="Bodytext170"/>
              <w:spacing w:before="120" w:line="240" w:lineRule="auto"/>
              <w:jc w:val="left"/>
              <w:rPr>
                <w:b/>
                <w:sz w:val="22"/>
              </w:rPr>
            </w:pPr>
            <w:r w:rsidRPr="00F852E7">
              <w:rPr>
                <w:rStyle w:val="Bodytext17125pt0"/>
                <w:b/>
                <w:sz w:val="22"/>
              </w:rPr>
              <w:t>Part 4—Transfer and rights of employees</w:t>
            </w:r>
          </w:p>
        </w:tc>
        <w:tc>
          <w:tcPr>
            <w:tcW w:w="263" w:type="pct"/>
            <w:vAlign w:val="bottom"/>
          </w:tcPr>
          <w:p w14:paraId="1A18F6D1"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540</w:t>
            </w:r>
          </w:p>
        </w:tc>
      </w:tr>
      <w:tr w:rsidR="005D1D9D" w:rsidRPr="00F852E7" w14:paraId="0853B26C" w14:textId="77777777" w:rsidTr="00553ECA">
        <w:trPr>
          <w:trHeight w:val="317"/>
        </w:trPr>
        <w:tc>
          <w:tcPr>
            <w:tcW w:w="4737" w:type="pct"/>
            <w:gridSpan w:val="2"/>
            <w:vAlign w:val="bottom"/>
          </w:tcPr>
          <w:p w14:paraId="79B5C513" w14:textId="2E6BDC48" w:rsidR="005D1D9D" w:rsidRPr="00F852E7" w:rsidRDefault="00524AAA" w:rsidP="00ED2AD4">
            <w:pPr>
              <w:pStyle w:val="Bodytext170"/>
              <w:spacing w:before="120" w:line="240" w:lineRule="auto"/>
              <w:ind w:left="490"/>
              <w:jc w:val="left"/>
              <w:rPr>
                <w:b/>
                <w:sz w:val="22"/>
              </w:rPr>
            </w:pPr>
            <w:r w:rsidRPr="00D0203B">
              <w:rPr>
                <w:rStyle w:val="Bodytext1710pt"/>
                <w:b/>
              </w:rPr>
              <w:t>Division 1—Transfer of employees from Corporation to Company</w:t>
            </w:r>
          </w:p>
        </w:tc>
        <w:tc>
          <w:tcPr>
            <w:tcW w:w="263" w:type="pct"/>
            <w:vAlign w:val="bottom"/>
          </w:tcPr>
          <w:p w14:paraId="4D5671AC"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540</w:t>
            </w:r>
          </w:p>
        </w:tc>
      </w:tr>
      <w:tr w:rsidR="005D1D9D" w:rsidRPr="00F852E7" w14:paraId="75FA698C" w14:textId="77777777" w:rsidTr="00553ECA">
        <w:trPr>
          <w:trHeight w:val="317"/>
        </w:trPr>
        <w:tc>
          <w:tcPr>
            <w:tcW w:w="956" w:type="pct"/>
            <w:vAlign w:val="bottom"/>
          </w:tcPr>
          <w:p w14:paraId="0DF09209"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14</w:t>
            </w:r>
          </w:p>
        </w:tc>
        <w:tc>
          <w:tcPr>
            <w:tcW w:w="3781" w:type="pct"/>
            <w:vAlign w:val="bottom"/>
          </w:tcPr>
          <w:p w14:paraId="611F0A9B"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Transfer to Company of employees of Corporation</w:t>
            </w:r>
            <w:r w:rsidRPr="00ED2AD4">
              <w:rPr>
                <w:rStyle w:val="Bodytext17NotItalic"/>
                <w:sz w:val="20"/>
              </w:rPr>
              <w:tab/>
            </w:r>
          </w:p>
        </w:tc>
        <w:tc>
          <w:tcPr>
            <w:tcW w:w="263" w:type="pct"/>
            <w:vAlign w:val="bottom"/>
          </w:tcPr>
          <w:p w14:paraId="7EE6C401"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540</w:t>
            </w:r>
          </w:p>
        </w:tc>
      </w:tr>
      <w:tr w:rsidR="005D1D9D" w:rsidRPr="00F852E7" w14:paraId="7E0391F7" w14:textId="77777777" w:rsidTr="00553ECA">
        <w:trPr>
          <w:trHeight w:val="317"/>
        </w:trPr>
        <w:tc>
          <w:tcPr>
            <w:tcW w:w="956" w:type="pct"/>
            <w:vAlign w:val="bottom"/>
          </w:tcPr>
          <w:p w14:paraId="22B0248F"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15</w:t>
            </w:r>
          </w:p>
        </w:tc>
        <w:tc>
          <w:tcPr>
            <w:tcW w:w="3781" w:type="pct"/>
            <w:vAlign w:val="bottom"/>
          </w:tcPr>
          <w:p w14:paraId="5A774FCC"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Variations of terms and conditions of employment</w:t>
            </w:r>
            <w:r w:rsidRPr="00ED2AD4">
              <w:rPr>
                <w:rStyle w:val="Bodytext17NotItalic"/>
                <w:sz w:val="20"/>
              </w:rPr>
              <w:tab/>
            </w:r>
          </w:p>
        </w:tc>
        <w:tc>
          <w:tcPr>
            <w:tcW w:w="263" w:type="pct"/>
            <w:vAlign w:val="bottom"/>
          </w:tcPr>
          <w:p w14:paraId="2E3D3AC0"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540</w:t>
            </w:r>
          </w:p>
        </w:tc>
      </w:tr>
      <w:tr w:rsidR="00DC1D26" w:rsidRPr="00F852E7" w14:paraId="32A675FC" w14:textId="77777777" w:rsidTr="00553ECA">
        <w:trPr>
          <w:trHeight w:val="317"/>
        </w:trPr>
        <w:tc>
          <w:tcPr>
            <w:tcW w:w="4737" w:type="pct"/>
            <w:gridSpan w:val="2"/>
            <w:vAlign w:val="bottom"/>
          </w:tcPr>
          <w:p w14:paraId="6A03B61A" w14:textId="05732D74" w:rsidR="00DC1D26" w:rsidRPr="00F852E7" w:rsidRDefault="00DC1D26" w:rsidP="00ED2AD4">
            <w:pPr>
              <w:pStyle w:val="Bodytext170"/>
              <w:spacing w:before="120" w:line="240" w:lineRule="auto"/>
              <w:ind w:left="490"/>
              <w:jc w:val="left"/>
              <w:rPr>
                <w:b/>
                <w:sz w:val="22"/>
              </w:rPr>
            </w:pPr>
            <w:r w:rsidRPr="00ED2AD4">
              <w:rPr>
                <w:rStyle w:val="Bodytext1710pt"/>
                <w:b/>
              </w:rPr>
              <w:t xml:space="preserve">Division </w:t>
            </w:r>
            <w:r w:rsidRPr="00ED2AD4">
              <w:rPr>
                <w:rStyle w:val="Bodytext17NotItalic"/>
                <w:b/>
                <w:sz w:val="20"/>
              </w:rPr>
              <w:t>2</w:t>
            </w:r>
            <w:r w:rsidRPr="00ED2AD4">
              <w:rPr>
                <w:rStyle w:val="Bodytext1710pt"/>
                <w:b/>
              </w:rPr>
              <w:t>—Transitional and saving provisions in relation to long service leave</w:t>
            </w:r>
          </w:p>
        </w:tc>
        <w:tc>
          <w:tcPr>
            <w:tcW w:w="263" w:type="pct"/>
            <w:vAlign w:val="bottom"/>
          </w:tcPr>
          <w:p w14:paraId="2B6DE993" w14:textId="77777777" w:rsidR="00DC1D26" w:rsidRPr="00D0203B" w:rsidRDefault="00DC1D26" w:rsidP="00F81362">
            <w:pPr>
              <w:pStyle w:val="Bodytext170"/>
              <w:spacing w:before="120" w:line="240" w:lineRule="auto"/>
              <w:ind w:right="144"/>
              <w:jc w:val="right"/>
              <w:rPr>
                <w:sz w:val="20"/>
                <w:szCs w:val="10"/>
              </w:rPr>
            </w:pPr>
            <w:r w:rsidRPr="00D0203B">
              <w:rPr>
                <w:rStyle w:val="Bodytext17NotItalic"/>
                <w:sz w:val="20"/>
              </w:rPr>
              <w:t>542</w:t>
            </w:r>
          </w:p>
        </w:tc>
      </w:tr>
      <w:tr w:rsidR="005D1D9D" w:rsidRPr="00F852E7" w14:paraId="12B44A52" w14:textId="77777777" w:rsidTr="00553ECA">
        <w:trPr>
          <w:trHeight w:val="317"/>
        </w:trPr>
        <w:tc>
          <w:tcPr>
            <w:tcW w:w="956" w:type="pct"/>
            <w:vAlign w:val="bottom"/>
          </w:tcPr>
          <w:p w14:paraId="37090643"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16</w:t>
            </w:r>
          </w:p>
        </w:tc>
        <w:tc>
          <w:tcPr>
            <w:tcW w:w="3781" w:type="pct"/>
            <w:vAlign w:val="bottom"/>
          </w:tcPr>
          <w:p w14:paraId="7041F747"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Interpretation</w:t>
            </w:r>
            <w:r w:rsidRPr="00ED2AD4">
              <w:rPr>
                <w:rStyle w:val="Bodytext17NotItalic"/>
                <w:sz w:val="20"/>
              </w:rPr>
              <w:tab/>
            </w:r>
          </w:p>
        </w:tc>
        <w:tc>
          <w:tcPr>
            <w:tcW w:w="263" w:type="pct"/>
            <w:vAlign w:val="bottom"/>
          </w:tcPr>
          <w:p w14:paraId="2DB84ED0"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542</w:t>
            </w:r>
          </w:p>
        </w:tc>
      </w:tr>
      <w:tr w:rsidR="005D1D9D" w:rsidRPr="00F852E7" w14:paraId="57798EA8" w14:textId="77777777" w:rsidTr="00553ECA">
        <w:trPr>
          <w:trHeight w:val="317"/>
        </w:trPr>
        <w:tc>
          <w:tcPr>
            <w:tcW w:w="956" w:type="pct"/>
            <w:vMerge w:val="restart"/>
            <w:vAlign w:val="bottom"/>
          </w:tcPr>
          <w:p w14:paraId="2993ED94"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17</w:t>
            </w:r>
          </w:p>
        </w:tc>
        <w:tc>
          <w:tcPr>
            <w:tcW w:w="3781" w:type="pct"/>
            <w:vMerge w:val="restart"/>
            <w:vAlign w:val="bottom"/>
          </w:tcPr>
          <w:p w14:paraId="2B0E0CAD"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Long service leave for employees with less than 10 years</w:t>
            </w:r>
          </w:p>
        </w:tc>
        <w:tc>
          <w:tcPr>
            <w:tcW w:w="263" w:type="pct"/>
            <w:vAlign w:val="bottom"/>
          </w:tcPr>
          <w:p w14:paraId="55090E61" w14:textId="77777777" w:rsidR="005D1D9D" w:rsidRPr="00D0203B" w:rsidRDefault="005D1D9D" w:rsidP="00F81362">
            <w:pPr>
              <w:spacing w:before="120"/>
              <w:ind w:right="144"/>
              <w:jc w:val="right"/>
              <w:rPr>
                <w:rFonts w:ascii="Times New Roman" w:hAnsi="Times New Roman" w:cs="Times New Roman"/>
                <w:sz w:val="20"/>
                <w:szCs w:val="10"/>
              </w:rPr>
            </w:pPr>
          </w:p>
        </w:tc>
      </w:tr>
      <w:tr w:rsidR="005D1D9D" w:rsidRPr="00F852E7" w14:paraId="6BAC5E3D" w14:textId="77777777" w:rsidTr="00553ECA">
        <w:trPr>
          <w:trHeight w:val="317"/>
        </w:trPr>
        <w:tc>
          <w:tcPr>
            <w:tcW w:w="956" w:type="pct"/>
            <w:vMerge/>
            <w:vAlign w:val="bottom"/>
          </w:tcPr>
          <w:p w14:paraId="6D62A0B0" w14:textId="77777777" w:rsidR="005D1D9D" w:rsidRPr="00ED2AD4" w:rsidRDefault="005D1D9D" w:rsidP="00F960B8">
            <w:pPr>
              <w:spacing w:before="120"/>
              <w:jc w:val="center"/>
              <w:rPr>
                <w:rFonts w:ascii="Times New Roman" w:hAnsi="Times New Roman" w:cs="Times New Roman"/>
                <w:sz w:val="20"/>
              </w:rPr>
            </w:pPr>
          </w:p>
        </w:tc>
        <w:tc>
          <w:tcPr>
            <w:tcW w:w="3781" w:type="pct"/>
            <w:vMerge/>
            <w:vAlign w:val="bottom"/>
          </w:tcPr>
          <w:p w14:paraId="7BBB8216" w14:textId="77777777" w:rsidR="005D1D9D" w:rsidRPr="00ED2AD4" w:rsidRDefault="005D1D9D" w:rsidP="00F81362">
            <w:pPr>
              <w:tabs>
                <w:tab w:val="left" w:leader="dot" w:pos="7013"/>
              </w:tabs>
              <w:spacing w:before="120"/>
              <w:rPr>
                <w:rFonts w:ascii="Times New Roman" w:hAnsi="Times New Roman" w:cs="Times New Roman"/>
                <w:sz w:val="20"/>
              </w:rPr>
            </w:pPr>
          </w:p>
        </w:tc>
        <w:tc>
          <w:tcPr>
            <w:tcW w:w="263" w:type="pct"/>
            <w:vAlign w:val="bottom"/>
          </w:tcPr>
          <w:p w14:paraId="637A7376"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542</w:t>
            </w:r>
          </w:p>
        </w:tc>
      </w:tr>
      <w:tr w:rsidR="005D1D9D" w:rsidRPr="00F852E7" w14:paraId="2B166A0E" w14:textId="77777777" w:rsidTr="00D1773D">
        <w:trPr>
          <w:trHeight w:val="317"/>
        </w:trPr>
        <w:tc>
          <w:tcPr>
            <w:tcW w:w="956" w:type="pct"/>
            <w:vMerge w:val="restart"/>
            <w:vAlign w:val="center"/>
          </w:tcPr>
          <w:p w14:paraId="4EA84B56" w14:textId="77777777" w:rsidR="005D1D9D" w:rsidRPr="00ED2AD4" w:rsidRDefault="00524AAA" w:rsidP="00D1773D">
            <w:pPr>
              <w:pStyle w:val="Bodytext170"/>
              <w:spacing w:before="120" w:line="240" w:lineRule="auto"/>
              <w:ind w:left="432"/>
              <w:jc w:val="center"/>
              <w:rPr>
                <w:sz w:val="20"/>
              </w:rPr>
            </w:pPr>
            <w:r w:rsidRPr="00ED2AD4">
              <w:rPr>
                <w:rStyle w:val="Bodytext17NotItalic"/>
                <w:sz w:val="20"/>
              </w:rPr>
              <w:t>18</w:t>
            </w:r>
          </w:p>
        </w:tc>
        <w:tc>
          <w:tcPr>
            <w:tcW w:w="3781" w:type="pct"/>
            <w:vMerge w:val="restart"/>
            <w:vAlign w:val="bottom"/>
          </w:tcPr>
          <w:p w14:paraId="295F01C7"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Payments in lieu of long service leave for employees with less than 10 years service</w:t>
            </w:r>
            <w:r w:rsidRPr="00ED2AD4">
              <w:rPr>
                <w:rStyle w:val="Bodytext17NotItalic"/>
                <w:sz w:val="20"/>
              </w:rPr>
              <w:tab/>
            </w:r>
          </w:p>
        </w:tc>
        <w:tc>
          <w:tcPr>
            <w:tcW w:w="263" w:type="pct"/>
            <w:vAlign w:val="bottom"/>
          </w:tcPr>
          <w:p w14:paraId="3CD3F979" w14:textId="77777777" w:rsidR="005D1D9D" w:rsidRPr="00D0203B" w:rsidRDefault="005D1D9D" w:rsidP="00F81362">
            <w:pPr>
              <w:spacing w:before="120"/>
              <w:ind w:right="144"/>
              <w:jc w:val="right"/>
              <w:rPr>
                <w:rFonts w:ascii="Times New Roman" w:hAnsi="Times New Roman" w:cs="Times New Roman"/>
                <w:sz w:val="20"/>
                <w:szCs w:val="10"/>
              </w:rPr>
            </w:pPr>
          </w:p>
        </w:tc>
      </w:tr>
      <w:tr w:rsidR="005D1D9D" w:rsidRPr="00F852E7" w14:paraId="1FFCC20A" w14:textId="77777777" w:rsidTr="00553ECA">
        <w:trPr>
          <w:trHeight w:val="317"/>
        </w:trPr>
        <w:tc>
          <w:tcPr>
            <w:tcW w:w="956" w:type="pct"/>
            <w:vMerge/>
            <w:vAlign w:val="bottom"/>
          </w:tcPr>
          <w:p w14:paraId="15EF5F6C" w14:textId="77777777" w:rsidR="005D1D9D" w:rsidRPr="00ED2AD4" w:rsidRDefault="005D1D9D" w:rsidP="00F960B8">
            <w:pPr>
              <w:spacing w:before="120"/>
              <w:jc w:val="center"/>
              <w:rPr>
                <w:rFonts w:ascii="Times New Roman" w:hAnsi="Times New Roman" w:cs="Times New Roman"/>
                <w:sz w:val="20"/>
              </w:rPr>
            </w:pPr>
          </w:p>
        </w:tc>
        <w:tc>
          <w:tcPr>
            <w:tcW w:w="3781" w:type="pct"/>
            <w:vMerge/>
            <w:vAlign w:val="bottom"/>
          </w:tcPr>
          <w:p w14:paraId="1B2C7EE3" w14:textId="77777777" w:rsidR="005D1D9D" w:rsidRPr="00ED2AD4" w:rsidRDefault="005D1D9D" w:rsidP="00F81362">
            <w:pPr>
              <w:tabs>
                <w:tab w:val="left" w:leader="dot" w:pos="7013"/>
              </w:tabs>
              <w:spacing w:before="120"/>
              <w:rPr>
                <w:rFonts w:ascii="Times New Roman" w:hAnsi="Times New Roman" w:cs="Times New Roman"/>
                <w:sz w:val="20"/>
              </w:rPr>
            </w:pPr>
          </w:p>
        </w:tc>
        <w:tc>
          <w:tcPr>
            <w:tcW w:w="263" w:type="pct"/>
            <w:vAlign w:val="bottom"/>
          </w:tcPr>
          <w:p w14:paraId="150C9D57"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543</w:t>
            </w:r>
          </w:p>
        </w:tc>
      </w:tr>
      <w:tr w:rsidR="005D1D9D" w:rsidRPr="00F852E7" w14:paraId="50970AEB" w14:textId="77777777" w:rsidTr="00553ECA">
        <w:trPr>
          <w:trHeight w:val="317"/>
        </w:trPr>
        <w:tc>
          <w:tcPr>
            <w:tcW w:w="956" w:type="pct"/>
            <w:vAlign w:val="bottom"/>
          </w:tcPr>
          <w:p w14:paraId="3EACAC49"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19</w:t>
            </w:r>
          </w:p>
        </w:tc>
        <w:tc>
          <w:tcPr>
            <w:tcW w:w="3781" w:type="pct"/>
            <w:vAlign w:val="bottom"/>
          </w:tcPr>
          <w:p w14:paraId="015A3E45"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Payments on the death of an employee</w:t>
            </w:r>
            <w:r w:rsidRPr="00ED2AD4">
              <w:rPr>
                <w:rStyle w:val="Bodytext17NotItalic"/>
                <w:sz w:val="20"/>
              </w:rPr>
              <w:tab/>
            </w:r>
          </w:p>
        </w:tc>
        <w:tc>
          <w:tcPr>
            <w:tcW w:w="263" w:type="pct"/>
            <w:vAlign w:val="bottom"/>
          </w:tcPr>
          <w:p w14:paraId="7E13970F"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545</w:t>
            </w:r>
          </w:p>
        </w:tc>
      </w:tr>
      <w:tr w:rsidR="005D1D9D" w:rsidRPr="00F852E7" w14:paraId="14D3C974" w14:textId="77777777" w:rsidTr="00D1773D">
        <w:trPr>
          <w:trHeight w:val="317"/>
        </w:trPr>
        <w:tc>
          <w:tcPr>
            <w:tcW w:w="956" w:type="pct"/>
          </w:tcPr>
          <w:p w14:paraId="4D8AB11D" w14:textId="77777777" w:rsidR="005D1D9D" w:rsidRPr="00ED2AD4" w:rsidRDefault="00524AAA" w:rsidP="00D1773D">
            <w:pPr>
              <w:pStyle w:val="Bodytext170"/>
              <w:spacing w:before="120" w:line="240" w:lineRule="auto"/>
              <w:ind w:left="432"/>
              <w:jc w:val="center"/>
              <w:rPr>
                <w:sz w:val="20"/>
              </w:rPr>
            </w:pPr>
            <w:r w:rsidRPr="00ED2AD4">
              <w:rPr>
                <w:rStyle w:val="Bodytext17NotItalic"/>
                <w:sz w:val="20"/>
              </w:rPr>
              <w:t>20</w:t>
            </w:r>
          </w:p>
        </w:tc>
        <w:tc>
          <w:tcPr>
            <w:tcW w:w="3781" w:type="pct"/>
            <w:vAlign w:val="bottom"/>
          </w:tcPr>
          <w:p w14:paraId="5CB973E9"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Employee’s long service leave credit for the purposes of sections</w:t>
            </w:r>
          </w:p>
          <w:p w14:paraId="51A08B55"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17 and 18</w:t>
            </w:r>
            <w:r w:rsidRPr="00ED2AD4">
              <w:rPr>
                <w:rStyle w:val="Bodytext17NotItalic"/>
                <w:sz w:val="20"/>
              </w:rPr>
              <w:tab/>
            </w:r>
          </w:p>
        </w:tc>
        <w:tc>
          <w:tcPr>
            <w:tcW w:w="263" w:type="pct"/>
            <w:vAlign w:val="bottom"/>
          </w:tcPr>
          <w:p w14:paraId="170E25FB"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546</w:t>
            </w:r>
          </w:p>
        </w:tc>
      </w:tr>
      <w:tr w:rsidR="005D1D9D" w:rsidRPr="00F852E7" w14:paraId="6717E70B" w14:textId="77777777" w:rsidTr="00553ECA">
        <w:trPr>
          <w:trHeight w:val="317"/>
        </w:trPr>
        <w:tc>
          <w:tcPr>
            <w:tcW w:w="956" w:type="pct"/>
            <w:vAlign w:val="bottom"/>
          </w:tcPr>
          <w:p w14:paraId="1BE4349E"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21</w:t>
            </w:r>
          </w:p>
        </w:tc>
        <w:tc>
          <w:tcPr>
            <w:tcW w:w="3781" w:type="pct"/>
            <w:vAlign w:val="bottom"/>
          </w:tcPr>
          <w:p w14:paraId="1CC36432"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Division not to affect an employee’s future long service leave</w:t>
            </w:r>
          </w:p>
        </w:tc>
        <w:tc>
          <w:tcPr>
            <w:tcW w:w="263" w:type="pct"/>
            <w:vAlign w:val="bottom"/>
          </w:tcPr>
          <w:p w14:paraId="0EE7A0FE"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546</w:t>
            </w:r>
          </w:p>
        </w:tc>
      </w:tr>
      <w:tr w:rsidR="005D1D9D" w:rsidRPr="00F852E7" w14:paraId="631C82AF" w14:textId="77777777" w:rsidTr="00553ECA">
        <w:trPr>
          <w:trHeight w:val="317"/>
        </w:trPr>
        <w:tc>
          <w:tcPr>
            <w:tcW w:w="956" w:type="pct"/>
            <w:vAlign w:val="bottom"/>
          </w:tcPr>
          <w:p w14:paraId="1B0788BC" w14:textId="77777777" w:rsidR="005D1D9D" w:rsidRPr="00ED2AD4" w:rsidRDefault="00524AAA" w:rsidP="00A77A9D">
            <w:pPr>
              <w:pStyle w:val="Bodytext170"/>
              <w:spacing w:before="120" w:line="240" w:lineRule="auto"/>
              <w:ind w:left="432"/>
              <w:jc w:val="center"/>
              <w:rPr>
                <w:sz w:val="20"/>
              </w:rPr>
            </w:pPr>
            <w:r w:rsidRPr="00ED2AD4">
              <w:rPr>
                <w:rStyle w:val="Bodytext17NotItalic"/>
                <w:sz w:val="20"/>
              </w:rPr>
              <w:t>22</w:t>
            </w:r>
          </w:p>
        </w:tc>
        <w:tc>
          <w:tcPr>
            <w:tcW w:w="3781" w:type="pct"/>
            <w:vAlign w:val="bottom"/>
          </w:tcPr>
          <w:p w14:paraId="0B1551D1"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
                <w:sz w:val="20"/>
              </w:rPr>
              <w:t>Saving—Long Service Leave Act</w:t>
            </w:r>
            <w:r w:rsidRPr="00ED2AD4">
              <w:rPr>
                <w:rStyle w:val="Bodytext17NotItalic"/>
                <w:sz w:val="20"/>
              </w:rPr>
              <w:tab/>
            </w:r>
          </w:p>
        </w:tc>
        <w:tc>
          <w:tcPr>
            <w:tcW w:w="263" w:type="pct"/>
            <w:vAlign w:val="bottom"/>
          </w:tcPr>
          <w:p w14:paraId="4BF07745" w14:textId="77777777" w:rsidR="005D1D9D" w:rsidRPr="00D0203B" w:rsidRDefault="00524AAA" w:rsidP="00F81362">
            <w:pPr>
              <w:pStyle w:val="Bodytext170"/>
              <w:spacing w:before="120" w:line="240" w:lineRule="auto"/>
              <w:ind w:right="144"/>
              <w:jc w:val="right"/>
              <w:rPr>
                <w:sz w:val="20"/>
              </w:rPr>
            </w:pPr>
            <w:r w:rsidRPr="00D0203B">
              <w:rPr>
                <w:rStyle w:val="Bodytext17NotItalic"/>
                <w:sz w:val="20"/>
              </w:rPr>
              <w:t>546</w:t>
            </w:r>
          </w:p>
        </w:tc>
      </w:tr>
    </w:tbl>
    <w:p w14:paraId="57CE4DA3" w14:textId="77777777" w:rsidR="00866BFA" w:rsidRDefault="00866BFA" w:rsidP="007A0D78">
      <w:pPr>
        <w:pBdr>
          <w:top w:val="single" w:sz="12" w:space="1" w:color="auto"/>
        </w:pBdr>
        <w:rPr>
          <w:rFonts w:ascii="Times New Roman" w:eastAsia="Times New Roman" w:hAnsi="Times New Roman" w:cs="Times New Roman"/>
          <w:i/>
          <w:iCs/>
          <w:sz w:val="22"/>
          <w:szCs w:val="17"/>
        </w:rPr>
        <w:sectPr w:rsidR="00866BFA" w:rsidSect="00412419">
          <w:headerReference w:type="even" r:id="rId16"/>
          <w:pgSz w:w="12240" w:h="15840" w:code="1"/>
          <w:pgMar w:top="1440" w:right="1440" w:bottom="1440" w:left="1440" w:header="720" w:footer="487" w:gutter="0"/>
          <w:cols w:space="720"/>
          <w:noEndnote/>
          <w:docGrid w:linePitch="360"/>
        </w:sectPr>
      </w:pPr>
    </w:p>
    <w:p w14:paraId="20854CCB" w14:textId="77777777" w:rsidR="007A0D78" w:rsidRDefault="007A0D78" w:rsidP="007A0D78">
      <w:pPr>
        <w:pBdr>
          <w:top w:val="single" w:sz="12" w:space="1" w:color="auto"/>
        </w:pBdr>
        <w:rPr>
          <w:rFonts w:ascii="Times New Roman" w:eastAsia="Times New Roman" w:hAnsi="Times New Roman" w:cs="Times New Roman"/>
          <w:i/>
          <w:iCs/>
          <w:sz w:val="22"/>
          <w:szCs w:val="17"/>
        </w:rPr>
      </w:pPr>
    </w:p>
    <w:tbl>
      <w:tblPr>
        <w:tblOverlap w:val="never"/>
        <w:tblW w:w="5000" w:type="pct"/>
        <w:tblCellMar>
          <w:left w:w="10" w:type="dxa"/>
          <w:right w:w="10" w:type="dxa"/>
        </w:tblCellMar>
        <w:tblLook w:val="0000" w:firstRow="0" w:lastRow="0" w:firstColumn="0" w:lastColumn="0" w:noHBand="0" w:noVBand="0"/>
      </w:tblPr>
      <w:tblGrid>
        <w:gridCol w:w="1779"/>
        <w:gridCol w:w="7108"/>
        <w:gridCol w:w="493"/>
      </w:tblGrid>
      <w:tr w:rsidR="005D1D9D" w:rsidRPr="00F852E7" w14:paraId="3709AE58" w14:textId="77777777" w:rsidTr="006C426F">
        <w:trPr>
          <w:trHeight w:val="253"/>
        </w:trPr>
        <w:tc>
          <w:tcPr>
            <w:tcW w:w="4737" w:type="pct"/>
            <w:gridSpan w:val="2"/>
            <w:vMerge w:val="restart"/>
            <w:vAlign w:val="bottom"/>
          </w:tcPr>
          <w:p w14:paraId="34DFD4C6" w14:textId="52447AFF" w:rsidR="005D1D9D" w:rsidRPr="00F852E7" w:rsidRDefault="00524AAA" w:rsidP="00ED2AD4">
            <w:pPr>
              <w:pStyle w:val="Bodytext170"/>
              <w:spacing w:before="120" w:line="240" w:lineRule="auto"/>
              <w:ind w:left="1080" w:hanging="590"/>
              <w:jc w:val="left"/>
              <w:rPr>
                <w:sz w:val="22"/>
              </w:rPr>
            </w:pPr>
            <w:r w:rsidRPr="00ED2AD4">
              <w:rPr>
                <w:rStyle w:val="Bodytext1710pt0"/>
              </w:rPr>
              <w:t>Division 3—Transitional and saving provisions relating to the Safety, Rehabilitation and Compensation Act 1988</w:t>
            </w:r>
          </w:p>
        </w:tc>
        <w:tc>
          <w:tcPr>
            <w:tcW w:w="263" w:type="pct"/>
            <w:vMerge w:val="restart"/>
            <w:vAlign w:val="bottom"/>
          </w:tcPr>
          <w:p w14:paraId="09F27F48" w14:textId="1618511D" w:rsidR="005D1D9D" w:rsidRPr="00ED2AD4" w:rsidRDefault="00524AAA" w:rsidP="00ED2AD4">
            <w:pPr>
              <w:pStyle w:val="Bodytext170"/>
              <w:spacing w:before="120" w:line="240" w:lineRule="auto"/>
              <w:ind w:right="144"/>
              <w:jc w:val="right"/>
              <w:rPr>
                <w:sz w:val="20"/>
              </w:rPr>
            </w:pPr>
            <w:r w:rsidRPr="00ED2AD4">
              <w:rPr>
                <w:rStyle w:val="Bodytext17NotItalic3"/>
                <w:sz w:val="20"/>
              </w:rPr>
              <w:t>547</w:t>
            </w:r>
          </w:p>
        </w:tc>
      </w:tr>
      <w:tr w:rsidR="005D1D9D" w:rsidRPr="00F852E7" w14:paraId="47EF43DF" w14:textId="77777777" w:rsidTr="006C426F">
        <w:trPr>
          <w:trHeight w:val="373"/>
        </w:trPr>
        <w:tc>
          <w:tcPr>
            <w:tcW w:w="4737" w:type="pct"/>
            <w:gridSpan w:val="2"/>
            <w:vMerge/>
          </w:tcPr>
          <w:p w14:paraId="097240DC" w14:textId="77777777" w:rsidR="005D1D9D" w:rsidRPr="00F852E7" w:rsidRDefault="005D1D9D" w:rsidP="00F960B8">
            <w:pPr>
              <w:spacing w:before="120"/>
              <w:rPr>
                <w:rFonts w:ascii="Times New Roman" w:hAnsi="Times New Roman" w:cs="Times New Roman"/>
                <w:sz w:val="22"/>
              </w:rPr>
            </w:pPr>
          </w:p>
        </w:tc>
        <w:tc>
          <w:tcPr>
            <w:tcW w:w="263" w:type="pct"/>
            <w:vMerge/>
            <w:vAlign w:val="bottom"/>
          </w:tcPr>
          <w:p w14:paraId="7F2EF80F" w14:textId="77777777" w:rsidR="005D1D9D" w:rsidRPr="00ED2AD4" w:rsidRDefault="005D1D9D" w:rsidP="00F81362">
            <w:pPr>
              <w:spacing w:before="120"/>
              <w:ind w:right="144"/>
              <w:jc w:val="right"/>
              <w:rPr>
                <w:rFonts w:ascii="Times New Roman" w:hAnsi="Times New Roman" w:cs="Times New Roman"/>
                <w:sz w:val="20"/>
              </w:rPr>
            </w:pPr>
          </w:p>
        </w:tc>
      </w:tr>
      <w:tr w:rsidR="005D1D9D" w:rsidRPr="00F852E7" w14:paraId="44CD45E7" w14:textId="77777777" w:rsidTr="006C426F">
        <w:trPr>
          <w:trHeight w:val="269"/>
        </w:trPr>
        <w:tc>
          <w:tcPr>
            <w:tcW w:w="948" w:type="pct"/>
            <w:vAlign w:val="bottom"/>
          </w:tcPr>
          <w:p w14:paraId="410B958F"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23</w:t>
            </w:r>
          </w:p>
        </w:tc>
        <w:tc>
          <w:tcPr>
            <w:tcW w:w="3789" w:type="pct"/>
            <w:vAlign w:val="bottom"/>
          </w:tcPr>
          <w:p w14:paraId="747556BA" w14:textId="220D347D" w:rsidR="005D1D9D" w:rsidRPr="00ED2AD4" w:rsidRDefault="00524AAA" w:rsidP="00ED2AD4">
            <w:pPr>
              <w:pStyle w:val="Bodytext170"/>
              <w:tabs>
                <w:tab w:val="left" w:leader="dot" w:pos="7013"/>
              </w:tabs>
              <w:spacing w:before="120" w:line="240" w:lineRule="auto"/>
              <w:jc w:val="left"/>
              <w:rPr>
                <w:sz w:val="20"/>
              </w:rPr>
            </w:pPr>
            <w:r w:rsidRPr="00ED2AD4">
              <w:rPr>
                <w:rStyle w:val="Bodytext17NotItalic3"/>
                <w:sz w:val="20"/>
              </w:rPr>
              <w:t>Interpretation</w:t>
            </w:r>
            <w:r w:rsidRPr="00ED2AD4">
              <w:rPr>
                <w:rStyle w:val="Bodytext17NotItalic3"/>
                <w:sz w:val="20"/>
              </w:rPr>
              <w:tab/>
            </w:r>
          </w:p>
        </w:tc>
        <w:tc>
          <w:tcPr>
            <w:tcW w:w="263" w:type="pct"/>
            <w:vAlign w:val="bottom"/>
          </w:tcPr>
          <w:p w14:paraId="548D1E39"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547</w:t>
            </w:r>
          </w:p>
        </w:tc>
      </w:tr>
      <w:tr w:rsidR="005D1D9D" w:rsidRPr="00F852E7" w14:paraId="0178561F" w14:textId="77777777" w:rsidTr="00D1773D">
        <w:trPr>
          <w:trHeight w:val="480"/>
        </w:trPr>
        <w:tc>
          <w:tcPr>
            <w:tcW w:w="948" w:type="pct"/>
          </w:tcPr>
          <w:p w14:paraId="11FF768D" w14:textId="77777777" w:rsidR="005D1D9D" w:rsidRPr="00ED2AD4" w:rsidRDefault="00524AAA" w:rsidP="00D1773D">
            <w:pPr>
              <w:pStyle w:val="Bodytext170"/>
              <w:spacing w:before="120" w:line="240" w:lineRule="auto"/>
              <w:ind w:left="432"/>
              <w:jc w:val="center"/>
              <w:rPr>
                <w:sz w:val="20"/>
              </w:rPr>
            </w:pPr>
            <w:r w:rsidRPr="00ED2AD4">
              <w:rPr>
                <w:rStyle w:val="Bodytext17NotItalic3"/>
                <w:sz w:val="20"/>
              </w:rPr>
              <w:t>24</w:t>
            </w:r>
          </w:p>
        </w:tc>
        <w:tc>
          <w:tcPr>
            <w:tcW w:w="3789" w:type="pct"/>
            <w:vAlign w:val="bottom"/>
          </w:tcPr>
          <w:p w14:paraId="1073CB94"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Transitional provisions relating to the SRC Act in respect of certain employees of the Company</w:t>
            </w:r>
            <w:r w:rsidRPr="00ED2AD4">
              <w:rPr>
                <w:rStyle w:val="Bodytext17NotItalic3"/>
                <w:sz w:val="20"/>
              </w:rPr>
              <w:tab/>
            </w:r>
          </w:p>
        </w:tc>
        <w:tc>
          <w:tcPr>
            <w:tcW w:w="263" w:type="pct"/>
            <w:vAlign w:val="bottom"/>
          </w:tcPr>
          <w:p w14:paraId="4555A3C3"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547</w:t>
            </w:r>
          </w:p>
        </w:tc>
      </w:tr>
      <w:tr w:rsidR="005D1D9D" w:rsidRPr="00F852E7" w14:paraId="63F24426" w14:textId="77777777" w:rsidTr="00D1773D">
        <w:trPr>
          <w:trHeight w:val="710"/>
        </w:trPr>
        <w:tc>
          <w:tcPr>
            <w:tcW w:w="948" w:type="pct"/>
          </w:tcPr>
          <w:p w14:paraId="008C946B" w14:textId="77777777" w:rsidR="005D1D9D" w:rsidRPr="00ED2AD4" w:rsidRDefault="00524AAA" w:rsidP="00D1773D">
            <w:pPr>
              <w:pStyle w:val="Bodytext170"/>
              <w:spacing w:before="160" w:line="240" w:lineRule="auto"/>
              <w:ind w:left="432"/>
              <w:jc w:val="center"/>
              <w:rPr>
                <w:sz w:val="20"/>
              </w:rPr>
            </w:pPr>
            <w:r w:rsidRPr="00ED2AD4">
              <w:rPr>
                <w:rStyle w:val="Bodytext17NotItalic3"/>
                <w:sz w:val="20"/>
              </w:rPr>
              <w:t>25</w:t>
            </w:r>
          </w:p>
        </w:tc>
        <w:tc>
          <w:tcPr>
            <w:tcW w:w="3789" w:type="pct"/>
            <w:vAlign w:val="bottom"/>
          </w:tcPr>
          <w:p w14:paraId="2C268658"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Company liable to meet certain SRC Act liabilities and to be taken to be the employer in certain circumstances under the SRC Act</w:t>
            </w:r>
            <w:r w:rsidRPr="00ED2AD4">
              <w:rPr>
                <w:rStyle w:val="Bodytext17NotItalic3"/>
                <w:sz w:val="20"/>
              </w:rPr>
              <w:tab/>
            </w:r>
          </w:p>
        </w:tc>
        <w:tc>
          <w:tcPr>
            <w:tcW w:w="263" w:type="pct"/>
            <w:vAlign w:val="bottom"/>
          </w:tcPr>
          <w:p w14:paraId="5CFCA928"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547</w:t>
            </w:r>
          </w:p>
        </w:tc>
      </w:tr>
      <w:tr w:rsidR="005D1D9D" w:rsidRPr="00F852E7" w14:paraId="467ECBDC" w14:textId="77777777" w:rsidTr="006C426F">
        <w:trPr>
          <w:trHeight w:val="288"/>
        </w:trPr>
        <w:tc>
          <w:tcPr>
            <w:tcW w:w="4737" w:type="pct"/>
            <w:gridSpan w:val="2"/>
            <w:vMerge w:val="restart"/>
            <w:vAlign w:val="bottom"/>
          </w:tcPr>
          <w:p w14:paraId="602D5B71" w14:textId="7D3EDFFC" w:rsidR="005D1D9D" w:rsidRPr="00ED2AD4" w:rsidRDefault="00524AAA" w:rsidP="00ED2AD4">
            <w:pPr>
              <w:pStyle w:val="Bodytext170"/>
              <w:spacing w:before="120" w:line="240" w:lineRule="auto"/>
              <w:ind w:left="490"/>
              <w:jc w:val="left"/>
              <w:rPr>
                <w:sz w:val="20"/>
              </w:rPr>
            </w:pPr>
            <w:r w:rsidRPr="00ED2AD4">
              <w:rPr>
                <w:rStyle w:val="Bodytext1710pt0"/>
              </w:rPr>
              <w:t>Division 4—Transitional and saving provisions in relation to maternity leave</w:t>
            </w:r>
          </w:p>
        </w:tc>
        <w:tc>
          <w:tcPr>
            <w:tcW w:w="263" w:type="pct"/>
            <w:vMerge w:val="restart"/>
            <w:vAlign w:val="bottom"/>
          </w:tcPr>
          <w:p w14:paraId="4719DEA2"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548</w:t>
            </w:r>
          </w:p>
        </w:tc>
      </w:tr>
      <w:tr w:rsidR="005D1D9D" w:rsidRPr="00F852E7" w14:paraId="3556030D" w14:textId="77777777" w:rsidTr="006C426F">
        <w:trPr>
          <w:trHeight w:val="373"/>
        </w:trPr>
        <w:tc>
          <w:tcPr>
            <w:tcW w:w="4737" w:type="pct"/>
            <w:gridSpan w:val="2"/>
            <w:vMerge/>
          </w:tcPr>
          <w:p w14:paraId="095F9D0E" w14:textId="77777777" w:rsidR="005D1D9D" w:rsidRPr="00F852E7" w:rsidRDefault="005D1D9D" w:rsidP="00F960B8">
            <w:pPr>
              <w:spacing w:before="120"/>
              <w:rPr>
                <w:rFonts w:ascii="Times New Roman" w:hAnsi="Times New Roman" w:cs="Times New Roman"/>
                <w:sz w:val="22"/>
              </w:rPr>
            </w:pPr>
          </w:p>
        </w:tc>
        <w:tc>
          <w:tcPr>
            <w:tcW w:w="263" w:type="pct"/>
            <w:vMerge/>
            <w:vAlign w:val="bottom"/>
          </w:tcPr>
          <w:p w14:paraId="3418C54E" w14:textId="77777777" w:rsidR="005D1D9D" w:rsidRPr="00ED2AD4" w:rsidRDefault="005D1D9D" w:rsidP="00F81362">
            <w:pPr>
              <w:spacing w:before="120"/>
              <w:ind w:right="144"/>
              <w:jc w:val="right"/>
              <w:rPr>
                <w:rFonts w:ascii="Times New Roman" w:hAnsi="Times New Roman" w:cs="Times New Roman"/>
                <w:sz w:val="20"/>
              </w:rPr>
            </w:pPr>
          </w:p>
        </w:tc>
      </w:tr>
      <w:tr w:rsidR="005D1D9D" w:rsidRPr="00F852E7" w14:paraId="2E60B49F" w14:textId="77777777" w:rsidTr="006C426F">
        <w:trPr>
          <w:trHeight w:val="269"/>
        </w:trPr>
        <w:tc>
          <w:tcPr>
            <w:tcW w:w="948" w:type="pct"/>
            <w:vAlign w:val="bottom"/>
          </w:tcPr>
          <w:p w14:paraId="3FBFC8AA"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26</w:t>
            </w:r>
          </w:p>
        </w:tc>
        <w:tc>
          <w:tcPr>
            <w:tcW w:w="3789" w:type="pct"/>
            <w:vAlign w:val="bottom"/>
          </w:tcPr>
          <w:p w14:paraId="3B81EB6A"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Interpretation</w:t>
            </w:r>
            <w:r w:rsidRPr="00ED2AD4">
              <w:rPr>
                <w:rStyle w:val="Bodytext17NotItalic3"/>
                <w:sz w:val="20"/>
              </w:rPr>
              <w:tab/>
            </w:r>
          </w:p>
        </w:tc>
        <w:tc>
          <w:tcPr>
            <w:tcW w:w="263" w:type="pct"/>
            <w:vAlign w:val="bottom"/>
          </w:tcPr>
          <w:p w14:paraId="02310A31"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548</w:t>
            </w:r>
          </w:p>
        </w:tc>
      </w:tr>
      <w:tr w:rsidR="005D1D9D" w:rsidRPr="00F852E7" w14:paraId="1F5CC543" w14:textId="77777777" w:rsidTr="00D1773D">
        <w:trPr>
          <w:trHeight w:val="253"/>
        </w:trPr>
        <w:tc>
          <w:tcPr>
            <w:tcW w:w="948" w:type="pct"/>
            <w:vMerge w:val="restart"/>
          </w:tcPr>
          <w:p w14:paraId="4EFE01CB" w14:textId="77777777" w:rsidR="005D1D9D" w:rsidRPr="00ED2AD4" w:rsidRDefault="00524AAA" w:rsidP="00D1773D">
            <w:pPr>
              <w:pStyle w:val="Bodytext170"/>
              <w:spacing w:before="120" w:line="240" w:lineRule="auto"/>
              <w:ind w:left="432"/>
              <w:jc w:val="center"/>
              <w:rPr>
                <w:sz w:val="20"/>
              </w:rPr>
            </w:pPr>
            <w:r w:rsidRPr="00ED2AD4">
              <w:rPr>
                <w:rStyle w:val="Bodytext17NotItalic3"/>
                <w:sz w:val="20"/>
              </w:rPr>
              <w:t>27</w:t>
            </w:r>
          </w:p>
        </w:tc>
        <w:tc>
          <w:tcPr>
            <w:tcW w:w="3789" w:type="pct"/>
            <w:vMerge w:val="restart"/>
            <w:vAlign w:val="bottom"/>
          </w:tcPr>
          <w:p w14:paraId="0197A4E9"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Transitional maternity leave provisions for maternity leave beginning on or after transfer day</w:t>
            </w:r>
            <w:r w:rsidRPr="00ED2AD4">
              <w:rPr>
                <w:rStyle w:val="Bodytext17NotItalic3"/>
                <w:sz w:val="20"/>
              </w:rPr>
              <w:tab/>
            </w:r>
          </w:p>
        </w:tc>
        <w:tc>
          <w:tcPr>
            <w:tcW w:w="263" w:type="pct"/>
            <w:vMerge w:val="restart"/>
            <w:vAlign w:val="bottom"/>
          </w:tcPr>
          <w:p w14:paraId="319E4228"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548</w:t>
            </w:r>
          </w:p>
        </w:tc>
      </w:tr>
      <w:tr w:rsidR="005D1D9D" w:rsidRPr="00F852E7" w14:paraId="296DB506" w14:textId="77777777" w:rsidTr="006C426F">
        <w:trPr>
          <w:trHeight w:val="373"/>
        </w:trPr>
        <w:tc>
          <w:tcPr>
            <w:tcW w:w="948" w:type="pct"/>
            <w:vMerge/>
            <w:vAlign w:val="bottom"/>
          </w:tcPr>
          <w:p w14:paraId="45085A51" w14:textId="77777777" w:rsidR="005D1D9D" w:rsidRPr="00ED2AD4" w:rsidRDefault="005D1D9D" w:rsidP="00F960B8">
            <w:pPr>
              <w:spacing w:before="120"/>
              <w:jc w:val="center"/>
              <w:rPr>
                <w:rFonts w:ascii="Times New Roman" w:hAnsi="Times New Roman" w:cs="Times New Roman"/>
                <w:sz w:val="20"/>
              </w:rPr>
            </w:pPr>
          </w:p>
        </w:tc>
        <w:tc>
          <w:tcPr>
            <w:tcW w:w="3789" w:type="pct"/>
            <w:vMerge/>
            <w:vAlign w:val="bottom"/>
          </w:tcPr>
          <w:p w14:paraId="6C7DB5BE" w14:textId="77777777" w:rsidR="005D1D9D" w:rsidRPr="00ED2AD4" w:rsidRDefault="005D1D9D" w:rsidP="00F81362">
            <w:pPr>
              <w:tabs>
                <w:tab w:val="left" w:leader="dot" w:pos="7013"/>
              </w:tabs>
              <w:spacing w:before="120"/>
              <w:rPr>
                <w:rFonts w:ascii="Times New Roman" w:hAnsi="Times New Roman" w:cs="Times New Roman"/>
                <w:sz w:val="20"/>
              </w:rPr>
            </w:pPr>
          </w:p>
        </w:tc>
        <w:tc>
          <w:tcPr>
            <w:tcW w:w="263" w:type="pct"/>
            <w:vMerge/>
            <w:vAlign w:val="bottom"/>
          </w:tcPr>
          <w:p w14:paraId="2DB23A27" w14:textId="77777777" w:rsidR="005D1D9D" w:rsidRPr="00ED2AD4" w:rsidRDefault="005D1D9D" w:rsidP="00F81362">
            <w:pPr>
              <w:spacing w:before="120"/>
              <w:ind w:right="144"/>
              <w:jc w:val="right"/>
              <w:rPr>
                <w:rFonts w:ascii="Times New Roman" w:hAnsi="Times New Roman" w:cs="Times New Roman"/>
                <w:sz w:val="20"/>
              </w:rPr>
            </w:pPr>
          </w:p>
        </w:tc>
      </w:tr>
      <w:tr w:rsidR="005D1D9D" w:rsidRPr="00F852E7" w14:paraId="6DAA0775" w14:textId="77777777" w:rsidTr="00D1773D">
        <w:trPr>
          <w:trHeight w:val="936"/>
        </w:trPr>
        <w:tc>
          <w:tcPr>
            <w:tcW w:w="948" w:type="pct"/>
          </w:tcPr>
          <w:p w14:paraId="70C66C43" w14:textId="77777777" w:rsidR="005D1D9D" w:rsidRPr="00ED2AD4" w:rsidRDefault="00524AAA" w:rsidP="00D1773D">
            <w:pPr>
              <w:pStyle w:val="Bodytext170"/>
              <w:spacing w:before="120" w:line="240" w:lineRule="auto"/>
              <w:ind w:left="432"/>
              <w:jc w:val="center"/>
              <w:rPr>
                <w:sz w:val="20"/>
              </w:rPr>
            </w:pPr>
            <w:r w:rsidRPr="00ED2AD4">
              <w:rPr>
                <w:rStyle w:val="Bodytext17NotItalic3"/>
                <w:sz w:val="20"/>
              </w:rPr>
              <w:t>28</w:t>
            </w:r>
          </w:p>
        </w:tc>
        <w:tc>
          <w:tcPr>
            <w:tcW w:w="3789" w:type="pct"/>
            <w:vAlign w:val="bottom"/>
          </w:tcPr>
          <w:p w14:paraId="07343251"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Transitional maternity leave provisions relating to employees of</w:t>
            </w:r>
          </w:p>
          <w:p w14:paraId="787AF728"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the Corporation who were on maternity leave immediately before the transfer day</w:t>
            </w:r>
            <w:r w:rsidRPr="00ED2AD4">
              <w:rPr>
                <w:rStyle w:val="Bodytext17NotItalic3"/>
                <w:sz w:val="20"/>
              </w:rPr>
              <w:tab/>
            </w:r>
          </w:p>
        </w:tc>
        <w:tc>
          <w:tcPr>
            <w:tcW w:w="263" w:type="pct"/>
            <w:vAlign w:val="bottom"/>
          </w:tcPr>
          <w:p w14:paraId="2068C068"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548</w:t>
            </w:r>
          </w:p>
        </w:tc>
      </w:tr>
      <w:tr w:rsidR="005D1D9D" w:rsidRPr="00F852E7" w14:paraId="3BFF34C4" w14:textId="77777777" w:rsidTr="006C426F">
        <w:trPr>
          <w:trHeight w:val="312"/>
        </w:trPr>
        <w:tc>
          <w:tcPr>
            <w:tcW w:w="4737" w:type="pct"/>
            <w:gridSpan w:val="2"/>
            <w:vAlign w:val="bottom"/>
          </w:tcPr>
          <w:p w14:paraId="2EECFDC1" w14:textId="32F4AD90" w:rsidR="005D1D9D" w:rsidRPr="00ED2AD4" w:rsidRDefault="00524AAA" w:rsidP="00ED2AD4">
            <w:pPr>
              <w:pStyle w:val="Bodytext170"/>
              <w:spacing w:before="120" w:line="240" w:lineRule="auto"/>
              <w:ind w:left="490"/>
              <w:jc w:val="left"/>
              <w:rPr>
                <w:sz w:val="20"/>
              </w:rPr>
            </w:pPr>
            <w:r w:rsidRPr="00ED2AD4">
              <w:rPr>
                <w:rStyle w:val="Bodytext1710pt0"/>
              </w:rPr>
              <w:t>Division 5—Other transitional and saving provisions</w:t>
            </w:r>
          </w:p>
        </w:tc>
        <w:tc>
          <w:tcPr>
            <w:tcW w:w="263" w:type="pct"/>
            <w:vAlign w:val="bottom"/>
          </w:tcPr>
          <w:p w14:paraId="54CF9E78"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550</w:t>
            </w:r>
          </w:p>
        </w:tc>
      </w:tr>
      <w:tr w:rsidR="005D1D9D" w:rsidRPr="00F852E7" w14:paraId="0C129D7B" w14:textId="77777777" w:rsidTr="006C426F">
        <w:trPr>
          <w:trHeight w:val="259"/>
        </w:trPr>
        <w:tc>
          <w:tcPr>
            <w:tcW w:w="948" w:type="pct"/>
            <w:vAlign w:val="bottom"/>
          </w:tcPr>
          <w:p w14:paraId="48980E82"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29</w:t>
            </w:r>
          </w:p>
        </w:tc>
        <w:tc>
          <w:tcPr>
            <w:tcW w:w="3789" w:type="pct"/>
            <w:vAlign w:val="bottom"/>
          </w:tcPr>
          <w:p w14:paraId="0C7159C3"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Transitional provisions relating to the CSB Act</w:t>
            </w:r>
            <w:r w:rsidRPr="00ED2AD4">
              <w:rPr>
                <w:rStyle w:val="Bodytext17NotItalic3"/>
                <w:sz w:val="20"/>
              </w:rPr>
              <w:tab/>
            </w:r>
          </w:p>
        </w:tc>
        <w:tc>
          <w:tcPr>
            <w:tcW w:w="263" w:type="pct"/>
            <w:vAlign w:val="bottom"/>
          </w:tcPr>
          <w:p w14:paraId="738D3AB8"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550</w:t>
            </w:r>
          </w:p>
        </w:tc>
      </w:tr>
      <w:tr w:rsidR="005D1D9D" w:rsidRPr="00F852E7" w14:paraId="2C9889B5" w14:textId="77777777" w:rsidTr="006C426F">
        <w:trPr>
          <w:trHeight w:val="254"/>
        </w:trPr>
        <w:tc>
          <w:tcPr>
            <w:tcW w:w="948" w:type="pct"/>
            <w:vAlign w:val="bottom"/>
          </w:tcPr>
          <w:p w14:paraId="41303C3E"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30</w:t>
            </w:r>
          </w:p>
        </w:tc>
        <w:tc>
          <w:tcPr>
            <w:tcW w:w="3789" w:type="pct"/>
            <w:vAlign w:val="bottom"/>
          </w:tcPr>
          <w:p w14:paraId="7283F814"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Saving—DPP Act</w:t>
            </w:r>
            <w:r w:rsidRPr="00ED2AD4">
              <w:rPr>
                <w:rStyle w:val="Bodytext17NotItalic3"/>
                <w:sz w:val="20"/>
              </w:rPr>
              <w:tab/>
            </w:r>
          </w:p>
        </w:tc>
        <w:tc>
          <w:tcPr>
            <w:tcW w:w="263" w:type="pct"/>
            <w:vAlign w:val="bottom"/>
          </w:tcPr>
          <w:p w14:paraId="4BD10423"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551</w:t>
            </w:r>
          </w:p>
        </w:tc>
      </w:tr>
      <w:tr w:rsidR="005D1D9D" w:rsidRPr="00F852E7" w14:paraId="164F187B" w14:textId="77777777" w:rsidTr="006C426F">
        <w:trPr>
          <w:trHeight w:val="269"/>
        </w:trPr>
        <w:tc>
          <w:tcPr>
            <w:tcW w:w="948" w:type="pct"/>
            <w:vAlign w:val="bottom"/>
          </w:tcPr>
          <w:p w14:paraId="72E7BA2B"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31</w:t>
            </w:r>
          </w:p>
        </w:tc>
        <w:tc>
          <w:tcPr>
            <w:tcW w:w="3789" w:type="pct"/>
            <w:vAlign w:val="bottom"/>
          </w:tcPr>
          <w:p w14:paraId="3EDE0685"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Cessation of mobility rights</w:t>
            </w:r>
            <w:r w:rsidRPr="00ED2AD4">
              <w:rPr>
                <w:rStyle w:val="Bodytext17NotItalic3"/>
                <w:sz w:val="20"/>
              </w:rPr>
              <w:tab/>
            </w:r>
          </w:p>
        </w:tc>
        <w:tc>
          <w:tcPr>
            <w:tcW w:w="263" w:type="pct"/>
            <w:vAlign w:val="bottom"/>
          </w:tcPr>
          <w:p w14:paraId="66AD02BE"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551</w:t>
            </w:r>
          </w:p>
        </w:tc>
      </w:tr>
      <w:tr w:rsidR="005D1D9D" w:rsidRPr="00F852E7" w14:paraId="7D20B358" w14:textId="77777777" w:rsidTr="006C426F">
        <w:trPr>
          <w:trHeight w:val="317"/>
        </w:trPr>
        <w:tc>
          <w:tcPr>
            <w:tcW w:w="4737" w:type="pct"/>
            <w:gridSpan w:val="2"/>
            <w:vAlign w:val="bottom"/>
          </w:tcPr>
          <w:p w14:paraId="736AD7E9" w14:textId="77777777" w:rsidR="005D1D9D" w:rsidRPr="00F852E7" w:rsidRDefault="00524AAA" w:rsidP="00F81362">
            <w:pPr>
              <w:pStyle w:val="Bodytext170"/>
              <w:spacing w:before="120" w:line="240" w:lineRule="auto"/>
              <w:jc w:val="left"/>
              <w:rPr>
                <w:sz w:val="22"/>
              </w:rPr>
            </w:pPr>
            <w:r w:rsidRPr="00F852E7">
              <w:rPr>
                <w:rStyle w:val="Bodytext17125pt1"/>
                <w:sz w:val="22"/>
              </w:rPr>
              <w:t>Part 5—Miscellaneous</w:t>
            </w:r>
          </w:p>
        </w:tc>
        <w:tc>
          <w:tcPr>
            <w:tcW w:w="263" w:type="pct"/>
            <w:vAlign w:val="bottom"/>
          </w:tcPr>
          <w:p w14:paraId="64E9EC72"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552</w:t>
            </w:r>
          </w:p>
        </w:tc>
      </w:tr>
      <w:tr w:rsidR="005D1D9D" w:rsidRPr="00F852E7" w14:paraId="35EEF566" w14:textId="77777777" w:rsidTr="006C426F">
        <w:trPr>
          <w:trHeight w:val="283"/>
        </w:trPr>
        <w:tc>
          <w:tcPr>
            <w:tcW w:w="948" w:type="pct"/>
            <w:vAlign w:val="bottom"/>
          </w:tcPr>
          <w:p w14:paraId="6A8D2051"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32</w:t>
            </w:r>
          </w:p>
        </w:tc>
        <w:tc>
          <w:tcPr>
            <w:tcW w:w="3789" w:type="pct"/>
            <w:vAlign w:val="bottom"/>
          </w:tcPr>
          <w:p w14:paraId="431DAC40"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Exemption from taxes</w:t>
            </w:r>
            <w:r w:rsidRPr="00ED2AD4">
              <w:rPr>
                <w:rStyle w:val="Bodytext17NotItalic3"/>
                <w:sz w:val="20"/>
              </w:rPr>
              <w:tab/>
            </w:r>
          </w:p>
        </w:tc>
        <w:tc>
          <w:tcPr>
            <w:tcW w:w="263" w:type="pct"/>
            <w:vAlign w:val="bottom"/>
          </w:tcPr>
          <w:p w14:paraId="6465F182"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552</w:t>
            </w:r>
          </w:p>
        </w:tc>
      </w:tr>
      <w:tr w:rsidR="005D1D9D" w:rsidRPr="00F852E7" w14:paraId="5608C2C7" w14:textId="77777777" w:rsidTr="006C426F">
        <w:trPr>
          <w:trHeight w:val="264"/>
        </w:trPr>
        <w:tc>
          <w:tcPr>
            <w:tcW w:w="948" w:type="pct"/>
            <w:vAlign w:val="bottom"/>
          </w:tcPr>
          <w:p w14:paraId="2B49167C"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33</w:t>
            </w:r>
          </w:p>
        </w:tc>
        <w:tc>
          <w:tcPr>
            <w:tcW w:w="3789" w:type="pct"/>
            <w:vAlign w:val="bottom"/>
          </w:tcPr>
          <w:p w14:paraId="2DF05104"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Registration etc. of changing title to assets</w:t>
            </w:r>
            <w:r w:rsidRPr="00ED2AD4">
              <w:rPr>
                <w:rStyle w:val="Bodytext17NotItalic3"/>
                <w:sz w:val="20"/>
              </w:rPr>
              <w:tab/>
            </w:r>
          </w:p>
        </w:tc>
        <w:tc>
          <w:tcPr>
            <w:tcW w:w="263" w:type="pct"/>
            <w:vAlign w:val="bottom"/>
          </w:tcPr>
          <w:p w14:paraId="7760C23E"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552</w:t>
            </w:r>
          </w:p>
        </w:tc>
      </w:tr>
      <w:tr w:rsidR="005D1D9D" w:rsidRPr="00F852E7" w14:paraId="1FDA3129" w14:textId="77777777" w:rsidTr="006C426F">
        <w:trPr>
          <w:trHeight w:val="264"/>
        </w:trPr>
        <w:tc>
          <w:tcPr>
            <w:tcW w:w="948" w:type="pct"/>
            <w:vAlign w:val="bottom"/>
          </w:tcPr>
          <w:p w14:paraId="292528AE"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34</w:t>
            </w:r>
          </w:p>
        </w:tc>
        <w:tc>
          <w:tcPr>
            <w:tcW w:w="3789" w:type="pct"/>
            <w:vAlign w:val="bottom"/>
          </w:tcPr>
          <w:p w14:paraId="119673A1"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Compensation for acquisition of property</w:t>
            </w:r>
            <w:r w:rsidRPr="00ED2AD4">
              <w:rPr>
                <w:rStyle w:val="Bodytext17NotItalic3"/>
                <w:sz w:val="20"/>
              </w:rPr>
              <w:tab/>
            </w:r>
          </w:p>
        </w:tc>
        <w:tc>
          <w:tcPr>
            <w:tcW w:w="263" w:type="pct"/>
            <w:vAlign w:val="bottom"/>
          </w:tcPr>
          <w:p w14:paraId="53DEA7DA"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553</w:t>
            </w:r>
          </w:p>
        </w:tc>
      </w:tr>
      <w:tr w:rsidR="005D1D9D" w:rsidRPr="00F852E7" w14:paraId="2BD5C395" w14:textId="77777777" w:rsidTr="00ED2AD4">
        <w:trPr>
          <w:trHeight w:val="255"/>
        </w:trPr>
        <w:tc>
          <w:tcPr>
            <w:tcW w:w="948" w:type="pct"/>
            <w:vAlign w:val="bottom"/>
          </w:tcPr>
          <w:p w14:paraId="109CB901"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35</w:t>
            </w:r>
          </w:p>
        </w:tc>
        <w:tc>
          <w:tcPr>
            <w:tcW w:w="3789" w:type="pct"/>
            <w:vAlign w:val="bottom"/>
          </w:tcPr>
          <w:p w14:paraId="67721D4C"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Company’s financial statements and reports to be laid before Parliament</w:t>
            </w:r>
            <w:r w:rsidRPr="00ED2AD4">
              <w:rPr>
                <w:rStyle w:val="Bodytext17NotItalic3"/>
                <w:sz w:val="20"/>
              </w:rPr>
              <w:tab/>
            </w:r>
          </w:p>
        </w:tc>
        <w:tc>
          <w:tcPr>
            <w:tcW w:w="263" w:type="pct"/>
            <w:vAlign w:val="bottom"/>
          </w:tcPr>
          <w:p w14:paraId="1FDAE6D2"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553</w:t>
            </w:r>
          </w:p>
        </w:tc>
      </w:tr>
      <w:tr w:rsidR="005D1D9D" w:rsidRPr="00F852E7" w14:paraId="465D090D" w14:textId="77777777" w:rsidTr="006C426F">
        <w:trPr>
          <w:trHeight w:val="269"/>
        </w:trPr>
        <w:tc>
          <w:tcPr>
            <w:tcW w:w="948" w:type="pct"/>
            <w:vAlign w:val="bottom"/>
          </w:tcPr>
          <w:p w14:paraId="42BCF4EF"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36</w:t>
            </w:r>
          </w:p>
        </w:tc>
        <w:tc>
          <w:tcPr>
            <w:tcW w:w="3789" w:type="pct"/>
            <w:vAlign w:val="bottom"/>
          </w:tcPr>
          <w:p w14:paraId="660D4B70"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Amendment of the Commonwealth Borrowing Levy Act 1987</w:t>
            </w:r>
            <w:r w:rsidRPr="00ED2AD4">
              <w:rPr>
                <w:rStyle w:val="Bodytext17NotItalic3"/>
                <w:sz w:val="20"/>
              </w:rPr>
              <w:tab/>
            </w:r>
          </w:p>
        </w:tc>
        <w:tc>
          <w:tcPr>
            <w:tcW w:w="263" w:type="pct"/>
            <w:vAlign w:val="bottom"/>
          </w:tcPr>
          <w:p w14:paraId="271406FE"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554</w:t>
            </w:r>
          </w:p>
        </w:tc>
      </w:tr>
      <w:tr w:rsidR="005D1D9D" w:rsidRPr="00F852E7" w14:paraId="1CDF9035" w14:textId="77777777" w:rsidTr="006C426F">
        <w:trPr>
          <w:trHeight w:val="264"/>
        </w:trPr>
        <w:tc>
          <w:tcPr>
            <w:tcW w:w="948" w:type="pct"/>
            <w:vAlign w:val="bottom"/>
          </w:tcPr>
          <w:p w14:paraId="7A311C33"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37</w:t>
            </w:r>
          </w:p>
        </w:tc>
        <w:tc>
          <w:tcPr>
            <w:tcW w:w="3789" w:type="pct"/>
            <w:vAlign w:val="bottom"/>
          </w:tcPr>
          <w:p w14:paraId="4913C09F"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Delegation</w:t>
            </w:r>
            <w:r w:rsidRPr="00ED2AD4">
              <w:rPr>
                <w:rStyle w:val="Bodytext17NotItalic3"/>
                <w:sz w:val="20"/>
              </w:rPr>
              <w:tab/>
            </w:r>
          </w:p>
        </w:tc>
        <w:tc>
          <w:tcPr>
            <w:tcW w:w="263" w:type="pct"/>
            <w:vAlign w:val="bottom"/>
          </w:tcPr>
          <w:p w14:paraId="15D1636A"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554</w:t>
            </w:r>
          </w:p>
        </w:tc>
      </w:tr>
      <w:tr w:rsidR="005D1D9D" w:rsidRPr="00F852E7" w14:paraId="7F13F94C" w14:textId="77777777" w:rsidTr="006C426F">
        <w:trPr>
          <w:trHeight w:val="259"/>
        </w:trPr>
        <w:tc>
          <w:tcPr>
            <w:tcW w:w="948" w:type="pct"/>
            <w:vAlign w:val="bottom"/>
          </w:tcPr>
          <w:p w14:paraId="47AC0BA8"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38</w:t>
            </w:r>
          </w:p>
        </w:tc>
        <w:tc>
          <w:tcPr>
            <w:tcW w:w="3789" w:type="pct"/>
            <w:vAlign w:val="bottom"/>
          </w:tcPr>
          <w:p w14:paraId="2E481408"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Regulations</w:t>
            </w:r>
            <w:r w:rsidRPr="00ED2AD4">
              <w:rPr>
                <w:rStyle w:val="Bodytext17NotItalic3"/>
                <w:sz w:val="20"/>
              </w:rPr>
              <w:tab/>
            </w:r>
          </w:p>
        </w:tc>
        <w:tc>
          <w:tcPr>
            <w:tcW w:w="263" w:type="pct"/>
            <w:vAlign w:val="bottom"/>
          </w:tcPr>
          <w:p w14:paraId="1E35553E"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554</w:t>
            </w:r>
          </w:p>
        </w:tc>
      </w:tr>
      <w:tr w:rsidR="005D1D9D" w:rsidRPr="00F852E7" w14:paraId="2A6D6DA5" w14:textId="77777777" w:rsidTr="006C426F">
        <w:trPr>
          <w:trHeight w:val="317"/>
        </w:trPr>
        <w:tc>
          <w:tcPr>
            <w:tcW w:w="4737" w:type="pct"/>
            <w:gridSpan w:val="2"/>
            <w:vAlign w:val="bottom"/>
          </w:tcPr>
          <w:p w14:paraId="3C4FC747" w14:textId="77777777" w:rsidR="005D1D9D" w:rsidRPr="00F852E7" w:rsidRDefault="00524AAA" w:rsidP="00F81362">
            <w:pPr>
              <w:pStyle w:val="Bodytext170"/>
              <w:spacing w:before="120" w:line="240" w:lineRule="auto"/>
              <w:jc w:val="left"/>
              <w:rPr>
                <w:sz w:val="22"/>
              </w:rPr>
            </w:pPr>
            <w:r w:rsidRPr="00F852E7">
              <w:rPr>
                <w:rStyle w:val="Bodytext17125pt1"/>
                <w:sz w:val="22"/>
              </w:rPr>
              <w:t xml:space="preserve">Part </w:t>
            </w:r>
            <w:r w:rsidRPr="00F852E7">
              <w:rPr>
                <w:rStyle w:val="Bodytext17125pt2"/>
                <w:sz w:val="22"/>
              </w:rPr>
              <w:t>6</w:t>
            </w:r>
            <w:r w:rsidRPr="00F852E7">
              <w:rPr>
                <w:rStyle w:val="Bodytext17125pt1"/>
                <w:sz w:val="22"/>
              </w:rPr>
              <w:t>—Abolition of Corporation</w:t>
            </w:r>
          </w:p>
        </w:tc>
        <w:tc>
          <w:tcPr>
            <w:tcW w:w="263" w:type="pct"/>
            <w:vAlign w:val="bottom"/>
          </w:tcPr>
          <w:p w14:paraId="5B9CD392"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555</w:t>
            </w:r>
          </w:p>
        </w:tc>
      </w:tr>
      <w:tr w:rsidR="005D1D9D" w:rsidRPr="00F852E7" w14:paraId="1B46D366" w14:textId="77777777" w:rsidTr="006C426F">
        <w:trPr>
          <w:trHeight w:val="278"/>
        </w:trPr>
        <w:tc>
          <w:tcPr>
            <w:tcW w:w="948" w:type="pct"/>
            <w:vAlign w:val="bottom"/>
          </w:tcPr>
          <w:p w14:paraId="4314121B"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39</w:t>
            </w:r>
          </w:p>
        </w:tc>
        <w:tc>
          <w:tcPr>
            <w:tcW w:w="3789" w:type="pct"/>
            <w:vAlign w:val="bottom"/>
          </w:tcPr>
          <w:p w14:paraId="7407745E" w14:textId="77777777" w:rsidR="005D1D9D" w:rsidRPr="00ED2AD4" w:rsidRDefault="001E56D9" w:rsidP="00F81362">
            <w:pPr>
              <w:tabs>
                <w:tab w:val="left" w:leader="dot" w:pos="7013"/>
              </w:tabs>
              <w:spacing w:before="120"/>
              <w:rPr>
                <w:rFonts w:ascii="Times New Roman" w:hAnsi="Times New Roman" w:cs="Times New Roman"/>
                <w:sz w:val="20"/>
                <w:szCs w:val="10"/>
              </w:rPr>
            </w:pPr>
            <w:r w:rsidRPr="00ED2AD4">
              <w:rPr>
                <w:rFonts w:ascii="Times New Roman" w:hAnsi="Times New Roman" w:cs="Times New Roman"/>
                <w:sz w:val="20"/>
                <w:szCs w:val="10"/>
              </w:rPr>
              <w:t>Repeals</w:t>
            </w:r>
            <w:r w:rsidRPr="00ED2AD4">
              <w:rPr>
                <w:rFonts w:ascii="Times New Roman" w:hAnsi="Times New Roman" w:cs="Times New Roman"/>
                <w:sz w:val="20"/>
                <w:szCs w:val="10"/>
              </w:rPr>
              <w:tab/>
            </w:r>
          </w:p>
        </w:tc>
        <w:tc>
          <w:tcPr>
            <w:tcW w:w="263" w:type="pct"/>
            <w:vAlign w:val="bottom"/>
          </w:tcPr>
          <w:p w14:paraId="5D081CD4"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555</w:t>
            </w:r>
          </w:p>
        </w:tc>
      </w:tr>
      <w:tr w:rsidR="005D1D9D" w:rsidRPr="00F852E7" w14:paraId="253DF08F" w14:textId="77777777" w:rsidTr="006C426F">
        <w:trPr>
          <w:trHeight w:val="264"/>
        </w:trPr>
        <w:tc>
          <w:tcPr>
            <w:tcW w:w="948" w:type="pct"/>
            <w:vAlign w:val="bottom"/>
          </w:tcPr>
          <w:p w14:paraId="0728B67E"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40</w:t>
            </w:r>
          </w:p>
        </w:tc>
        <w:tc>
          <w:tcPr>
            <w:tcW w:w="3789" w:type="pct"/>
            <w:vAlign w:val="bottom"/>
          </w:tcPr>
          <w:p w14:paraId="3FEDA95C"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Final report by Corporation</w:t>
            </w:r>
            <w:r w:rsidRPr="00ED2AD4">
              <w:rPr>
                <w:rStyle w:val="Bodytext17NotItalic3"/>
                <w:sz w:val="20"/>
              </w:rPr>
              <w:tab/>
            </w:r>
          </w:p>
        </w:tc>
        <w:tc>
          <w:tcPr>
            <w:tcW w:w="263" w:type="pct"/>
            <w:vAlign w:val="bottom"/>
          </w:tcPr>
          <w:p w14:paraId="1B8700FF"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555</w:t>
            </w:r>
          </w:p>
        </w:tc>
      </w:tr>
      <w:tr w:rsidR="005D1D9D" w:rsidRPr="00F852E7" w14:paraId="353A751C" w14:textId="77777777" w:rsidTr="006C426F">
        <w:trPr>
          <w:trHeight w:val="254"/>
        </w:trPr>
        <w:tc>
          <w:tcPr>
            <w:tcW w:w="948" w:type="pct"/>
            <w:vAlign w:val="bottom"/>
          </w:tcPr>
          <w:p w14:paraId="54426116" w14:textId="77777777" w:rsidR="005D1D9D" w:rsidRPr="00ED2AD4" w:rsidRDefault="00524AAA" w:rsidP="00B374D1">
            <w:pPr>
              <w:pStyle w:val="Bodytext170"/>
              <w:spacing w:before="120" w:line="240" w:lineRule="auto"/>
              <w:ind w:left="432"/>
              <w:jc w:val="center"/>
              <w:rPr>
                <w:sz w:val="20"/>
              </w:rPr>
            </w:pPr>
            <w:r w:rsidRPr="00ED2AD4">
              <w:rPr>
                <w:rStyle w:val="Bodytext17NotItalic3"/>
                <w:sz w:val="20"/>
              </w:rPr>
              <w:t>41</w:t>
            </w:r>
          </w:p>
        </w:tc>
        <w:tc>
          <w:tcPr>
            <w:tcW w:w="3789" w:type="pct"/>
            <w:tcBorders>
              <w:bottom w:val="nil"/>
            </w:tcBorders>
            <w:vAlign w:val="bottom"/>
          </w:tcPr>
          <w:p w14:paraId="1193593E" w14:textId="77777777" w:rsidR="005D1D9D" w:rsidRPr="00ED2AD4" w:rsidRDefault="00524AAA" w:rsidP="00F81362">
            <w:pPr>
              <w:pStyle w:val="Bodytext170"/>
              <w:tabs>
                <w:tab w:val="left" w:leader="dot" w:pos="7013"/>
              </w:tabs>
              <w:spacing w:before="120" w:line="240" w:lineRule="auto"/>
              <w:jc w:val="left"/>
              <w:rPr>
                <w:sz w:val="20"/>
              </w:rPr>
            </w:pPr>
            <w:r w:rsidRPr="00ED2AD4">
              <w:rPr>
                <w:rStyle w:val="Bodytext17NotItalic3"/>
                <w:sz w:val="20"/>
              </w:rPr>
              <w:t>Judicial notice of Corporation’s seal</w:t>
            </w:r>
            <w:r w:rsidRPr="00ED2AD4">
              <w:rPr>
                <w:rStyle w:val="Bodytext17NotItalic3"/>
                <w:sz w:val="20"/>
              </w:rPr>
              <w:tab/>
            </w:r>
          </w:p>
        </w:tc>
        <w:tc>
          <w:tcPr>
            <w:tcW w:w="263" w:type="pct"/>
            <w:vAlign w:val="bottom"/>
          </w:tcPr>
          <w:p w14:paraId="5CD3679A" w14:textId="77777777" w:rsidR="005D1D9D" w:rsidRPr="00ED2AD4" w:rsidRDefault="00524AAA" w:rsidP="00F81362">
            <w:pPr>
              <w:pStyle w:val="Bodytext170"/>
              <w:spacing w:before="120" w:line="240" w:lineRule="auto"/>
              <w:ind w:right="144"/>
              <w:jc w:val="right"/>
              <w:rPr>
                <w:sz w:val="20"/>
              </w:rPr>
            </w:pPr>
            <w:r w:rsidRPr="00ED2AD4">
              <w:rPr>
                <w:rStyle w:val="Bodytext17NotItalic3"/>
                <w:sz w:val="20"/>
              </w:rPr>
              <w:t>555</w:t>
            </w:r>
          </w:p>
        </w:tc>
      </w:tr>
    </w:tbl>
    <w:p w14:paraId="1EAB77CF" w14:textId="77777777" w:rsidR="00D1773D" w:rsidRDefault="00D1773D">
      <w:pPr>
        <w:rPr>
          <w:sz w:val="22"/>
        </w:rPr>
        <w:sectPr w:rsidR="00D1773D" w:rsidSect="00412419">
          <w:headerReference w:type="default" r:id="rId17"/>
          <w:pgSz w:w="12240" w:h="15840" w:code="1"/>
          <w:pgMar w:top="1440" w:right="1440" w:bottom="1440" w:left="1440" w:header="720" w:footer="487" w:gutter="0"/>
          <w:cols w:space="720"/>
          <w:noEndnote/>
          <w:docGrid w:linePitch="360"/>
        </w:sectPr>
      </w:pPr>
    </w:p>
    <w:p w14:paraId="3320025D" w14:textId="77777777" w:rsidR="00412419" w:rsidRDefault="00412419">
      <w:pPr>
        <w:rPr>
          <w:sz w:val="22"/>
        </w:rPr>
        <w:sectPr w:rsidR="00412419" w:rsidSect="00412419">
          <w:headerReference w:type="even" r:id="rId18"/>
          <w:footerReference w:type="even" r:id="rId19"/>
          <w:pgSz w:w="12240" w:h="15840" w:code="1"/>
          <w:pgMar w:top="1440" w:right="1440" w:bottom="1440" w:left="1440" w:header="720" w:footer="487" w:gutter="0"/>
          <w:cols w:space="720"/>
          <w:noEndnote/>
          <w:docGrid w:linePitch="360"/>
        </w:sectPr>
      </w:pPr>
    </w:p>
    <w:p w14:paraId="6E076C2B" w14:textId="385CB7D2" w:rsidR="005D1D9D" w:rsidRPr="00F852E7" w:rsidRDefault="00ED2AD4" w:rsidP="00F4238E">
      <w:pPr>
        <w:spacing w:before="960"/>
        <w:rPr>
          <w:rFonts w:ascii="Times New Roman" w:hAnsi="Times New Roman" w:cs="Times New Roman"/>
          <w:sz w:val="22"/>
          <w:szCs w:val="2"/>
        </w:rPr>
      </w:pPr>
      <w:r>
        <w:rPr>
          <w:rFonts w:ascii="Times New Roman" w:hAnsi="Times New Roman" w:cs="Times New Roman"/>
          <w:sz w:val="22"/>
        </w:rPr>
        <w:lastRenderedPageBreak/>
        <w:pict w14:anchorId="4952E617">
          <v:shape id="_x0000_i1026" type="#_x0000_t75" alt="Commonwealth Coat of Arms" style="width:108.85pt;height:78.9pt">
            <v:imagedata r:id="rId20" o:title=""/>
          </v:shape>
        </w:pict>
      </w:r>
    </w:p>
    <w:p w14:paraId="2DCDAB47" w14:textId="77777777" w:rsidR="005D1D9D" w:rsidRPr="00F852E7" w:rsidRDefault="00524AAA" w:rsidP="00F4238E">
      <w:pPr>
        <w:spacing w:before="960"/>
        <w:rPr>
          <w:rFonts w:ascii="Times New Roman" w:hAnsi="Times New Roman" w:cs="Times New Roman"/>
          <w:b/>
          <w:sz w:val="22"/>
          <w:szCs w:val="22"/>
        </w:rPr>
      </w:pPr>
      <w:bookmarkStart w:id="0" w:name="bookmark0"/>
      <w:r w:rsidRPr="00F852E7">
        <w:rPr>
          <w:rFonts w:ascii="Times New Roman" w:hAnsi="Times New Roman" w:cs="Times New Roman"/>
          <w:b/>
          <w:sz w:val="36"/>
          <w:szCs w:val="22"/>
        </w:rPr>
        <w:t>Housing Loans Insurance Corporation (Transfer of Assets and Abolition) Act 1996</w:t>
      </w:r>
      <w:bookmarkEnd w:id="0"/>
    </w:p>
    <w:p w14:paraId="46308DCC" w14:textId="5804C808" w:rsidR="005D1D9D" w:rsidRPr="00ED2AD4" w:rsidRDefault="00524AAA" w:rsidP="00F4238E">
      <w:pPr>
        <w:pStyle w:val="Bodytext50"/>
        <w:spacing w:before="960" w:line="240" w:lineRule="auto"/>
        <w:rPr>
          <w:rStyle w:val="Bodytext51"/>
          <w:b/>
          <w:bCs/>
          <w:sz w:val="28"/>
        </w:rPr>
      </w:pPr>
      <w:r w:rsidRPr="00ED2AD4">
        <w:rPr>
          <w:rStyle w:val="Bodytext51"/>
          <w:b/>
          <w:bCs/>
          <w:sz w:val="28"/>
        </w:rPr>
        <w:t>No. 14, 1996</w:t>
      </w:r>
    </w:p>
    <w:p w14:paraId="4FBC9E21" w14:textId="77777777" w:rsidR="00FB031A" w:rsidRPr="00F852E7" w:rsidRDefault="00FB031A" w:rsidP="00FB031A">
      <w:pPr>
        <w:pStyle w:val="Bodytext50"/>
        <w:pBdr>
          <w:bottom w:val="thickThinSmallGap" w:sz="24" w:space="1" w:color="auto"/>
        </w:pBdr>
        <w:spacing w:before="960" w:line="240" w:lineRule="auto"/>
        <w:rPr>
          <w:sz w:val="22"/>
        </w:rPr>
      </w:pPr>
    </w:p>
    <w:p w14:paraId="120B3BB9" w14:textId="77777777" w:rsidR="005D1D9D" w:rsidRPr="00F852E7" w:rsidRDefault="00524AAA" w:rsidP="00F4238E">
      <w:pPr>
        <w:pStyle w:val="Bodytext20"/>
        <w:spacing w:before="960" w:line="240" w:lineRule="auto"/>
        <w:rPr>
          <w:spacing w:val="0"/>
          <w:sz w:val="26"/>
          <w:szCs w:val="26"/>
        </w:rPr>
      </w:pPr>
      <w:r w:rsidRPr="00F852E7">
        <w:rPr>
          <w:rStyle w:val="Bodytext2165pt0"/>
          <w:b/>
          <w:bCs/>
          <w:sz w:val="26"/>
          <w:szCs w:val="26"/>
        </w:rPr>
        <w:t>An Act to provide for the transfer of the assets, and the abolition, of the Housing Loans Insurance Corporation, and for related purposes</w:t>
      </w:r>
    </w:p>
    <w:p w14:paraId="53FED29E" w14:textId="77777777" w:rsidR="005D1D9D" w:rsidRPr="00F852E7" w:rsidRDefault="00524AAA" w:rsidP="00F960B8">
      <w:pPr>
        <w:pStyle w:val="Bodytext60"/>
        <w:spacing w:before="120" w:line="240" w:lineRule="auto"/>
        <w:jc w:val="left"/>
        <w:rPr>
          <w:sz w:val="22"/>
        </w:rPr>
      </w:pPr>
      <w:r w:rsidRPr="00F852E7">
        <w:rPr>
          <w:rStyle w:val="Bodytext61"/>
          <w:iCs/>
          <w:sz w:val="22"/>
        </w:rPr>
        <w:t>[</w:t>
      </w:r>
      <w:r w:rsidRPr="00F852E7">
        <w:rPr>
          <w:rStyle w:val="Bodytext61"/>
          <w:i/>
          <w:iCs/>
          <w:sz w:val="22"/>
        </w:rPr>
        <w:t>Assented to 24 June 1996</w:t>
      </w:r>
      <w:r w:rsidRPr="00F852E7">
        <w:rPr>
          <w:rStyle w:val="Bodytext6NotItalic"/>
          <w:sz w:val="22"/>
        </w:rPr>
        <w:t>]</w:t>
      </w:r>
    </w:p>
    <w:p w14:paraId="71E2C9E4" w14:textId="436C37DE" w:rsidR="005D1D9D" w:rsidRPr="00ED2AD4" w:rsidRDefault="00524AAA" w:rsidP="00F960B8">
      <w:pPr>
        <w:pStyle w:val="Bodytext180"/>
        <w:spacing w:before="120" w:line="240" w:lineRule="auto"/>
        <w:rPr>
          <w:sz w:val="24"/>
        </w:rPr>
      </w:pPr>
      <w:r w:rsidRPr="00ED2AD4">
        <w:rPr>
          <w:rStyle w:val="Bodytext18NotBold"/>
        </w:rPr>
        <w:t>The Parliament of Australia enacts</w:t>
      </w:r>
      <w:r w:rsidR="00ED2AD4">
        <w:rPr>
          <w:rStyle w:val="CommentReference"/>
          <w:rFonts w:ascii="Courier New" w:eastAsia="Courier New" w:hAnsi="Courier New" w:cs="Courier New"/>
          <w:b w:val="0"/>
          <w:bCs w:val="0"/>
          <w:sz w:val="20"/>
        </w:rPr>
        <w:t>:</w:t>
      </w:r>
    </w:p>
    <w:p w14:paraId="24682F82" w14:textId="35249589" w:rsidR="005D1D9D" w:rsidRPr="00ED2AD4" w:rsidRDefault="00524AAA" w:rsidP="00F960B8">
      <w:pPr>
        <w:pStyle w:val="Bodytext20"/>
        <w:spacing w:before="120" w:line="240" w:lineRule="auto"/>
        <w:rPr>
          <w:spacing w:val="0"/>
          <w:sz w:val="26"/>
          <w:szCs w:val="26"/>
        </w:rPr>
      </w:pPr>
      <w:r w:rsidRPr="00ED2AD4">
        <w:rPr>
          <w:rStyle w:val="Bodytext2165pt0"/>
          <w:b/>
          <w:bCs/>
          <w:sz w:val="26"/>
          <w:szCs w:val="26"/>
        </w:rPr>
        <w:t>Part 1—Preliminary</w:t>
      </w:r>
    </w:p>
    <w:p w14:paraId="4BF3557C" w14:textId="77777777" w:rsidR="005D1D9D" w:rsidRPr="00F852E7" w:rsidRDefault="00524AAA" w:rsidP="00604D24">
      <w:pPr>
        <w:pStyle w:val="Bodytext140"/>
        <w:spacing w:before="120" w:after="60" w:line="240" w:lineRule="auto"/>
        <w:ind w:firstLine="0"/>
        <w:jc w:val="left"/>
        <w:rPr>
          <w:sz w:val="22"/>
        </w:rPr>
      </w:pPr>
      <w:r w:rsidRPr="00F852E7">
        <w:rPr>
          <w:rStyle w:val="Bodytext14Bold"/>
          <w:sz w:val="22"/>
        </w:rPr>
        <w:t>1 Short title</w:t>
      </w:r>
    </w:p>
    <w:p w14:paraId="512345EB" w14:textId="77777777" w:rsidR="005D1D9D" w:rsidRPr="00F852E7" w:rsidRDefault="00524AAA" w:rsidP="002D759F">
      <w:pPr>
        <w:pStyle w:val="Bodytext60"/>
        <w:spacing w:before="120" w:line="240" w:lineRule="auto"/>
        <w:ind w:left="990"/>
        <w:jc w:val="left"/>
        <w:rPr>
          <w:sz w:val="22"/>
        </w:rPr>
      </w:pPr>
      <w:r w:rsidRPr="00F852E7">
        <w:rPr>
          <w:rStyle w:val="Bodytext6NotItalic"/>
          <w:sz w:val="22"/>
        </w:rPr>
        <w:t xml:space="preserve">This Act may be cited as the </w:t>
      </w:r>
      <w:r w:rsidRPr="00F852E7">
        <w:rPr>
          <w:rStyle w:val="Bodytext61"/>
          <w:i/>
          <w:iCs/>
          <w:sz w:val="22"/>
        </w:rPr>
        <w:t>Housing Loans Insurance Corporation (Transfer of Assets and Abolition) Act 1996.</w:t>
      </w:r>
    </w:p>
    <w:p w14:paraId="513E3A56" w14:textId="77777777" w:rsidR="00412419" w:rsidRDefault="00412419">
      <w:pPr>
        <w:rPr>
          <w:rStyle w:val="BodytextBold"/>
          <w:rFonts w:eastAsia="Courier New"/>
          <w:sz w:val="22"/>
        </w:rPr>
        <w:sectPr w:rsidR="00412419" w:rsidSect="00412419">
          <w:headerReference w:type="default" r:id="rId21"/>
          <w:footerReference w:type="default" r:id="rId22"/>
          <w:pgSz w:w="12240" w:h="15840" w:code="1"/>
          <w:pgMar w:top="1440" w:right="1440" w:bottom="1440" w:left="1440" w:header="720" w:footer="577" w:gutter="0"/>
          <w:cols w:space="720"/>
          <w:noEndnote/>
          <w:docGrid w:linePitch="360"/>
        </w:sectPr>
      </w:pPr>
    </w:p>
    <w:p w14:paraId="5B50D9A5" w14:textId="77777777" w:rsidR="005D1D9D" w:rsidRPr="00775F7E" w:rsidRDefault="00C434CF" w:rsidP="004014D3">
      <w:pPr>
        <w:pStyle w:val="Bodytext140"/>
        <w:spacing w:before="120" w:after="60" w:line="240" w:lineRule="auto"/>
        <w:ind w:firstLine="0"/>
        <w:jc w:val="left"/>
        <w:rPr>
          <w:rStyle w:val="Bodytext14Bold2"/>
          <w:sz w:val="22"/>
        </w:rPr>
      </w:pPr>
      <w:r w:rsidRPr="00775F7E">
        <w:rPr>
          <w:rStyle w:val="Bodytext14Bold2"/>
          <w:sz w:val="22"/>
        </w:rPr>
        <w:lastRenderedPageBreak/>
        <w:t xml:space="preserve">2 </w:t>
      </w:r>
      <w:r w:rsidR="00524AAA" w:rsidRPr="00775F7E">
        <w:rPr>
          <w:rStyle w:val="Bodytext14Bold2"/>
          <w:sz w:val="22"/>
        </w:rPr>
        <w:t>Commencement</w:t>
      </w:r>
    </w:p>
    <w:p w14:paraId="47BA7811" w14:textId="77777777" w:rsidR="005D1D9D" w:rsidRPr="00F852E7" w:rsidRDefault="00C434CF" w:rsidP="00015C34">
      <w:pPr>
        <w:pStyle w:val="BodyText8"/>
        <w:spacing w:before="120" w:line="240" w:lineRule="auto"/>
        <w:ind w:left="990" w:hanging="297"/>
        <w:jc w:val="left"/>
        <w:rPr>
          <w:rStyle w:val="BodyText1"/>
          <w:sz w:val="22"/>
        </w:rPr>
      </w:pPr>
      <w:r w:rsidRPr="00F852E7">
        <w:rPr>
          <w:rStyle w:val="BodyText1"/>
          <w:sz w:val="22"/>
        </w:rPr>
        <w:t xml:space="preserve">(1) </w:t>
      </w:r>
      <w:r w:rsidR="00524AAA" w:rsidRPr="00F852E7">
        <w:rPr>
          <w:rStyle w:val="BodyText1"/>
          <w:sz w:val="22"/>
        </w:rPr>
        <w:t>Parts 1 to 5 commence on the day on which this Act receives the Royal Assent.</w:t>
      </w:r>
    </w:p>
    <w:p w14:paraId="579CF7F2" w14:textId="77777777" w:rsidR="005D1D9D" w:rsidRPr="00F852E7" w:rsidRDefault="00C434CF" w:rsidP="00015C34">
      <w:pPr>
        <w:pStyle w:val="BodyText8"/>
        <w:spacing w:before="120" w:line="240" w:lineRule="auto"/>
        <w:ind w:left="990" w:hanging="297"/>
        <w:jc w:val="left"/>
        <w:rPr>
          <w:rStyle w:val="BodyText1"/>
          <w:sz w:val="22"/>
        </w:rPr>
      </w:pPr>
      <w:r w:rsidRPr="00F852E7">
        <w:rPr>
          <w:rStyle w:val="BodyText1"/>
          <w:sz w:val="22"/>
        </w:rPr>
        <w:t xml:space="preserve">(2) </w:t>
      </w:r>
      <w:r w:rsidR="00524AAA" w:rsidRPr="00F852E7">
        <w:rPr>
          <w:rStyle w:val="BodyText1"/>
          <w:sz w:val="22"/>
        </w:rPr>
        <w:t>Part 6 commences on a day to be fixed by Proclamation.</w:t>
      </w:r>
    </w:p>
    <w:p w14:paraId="3BE0DB9A" w14:textId="77777777" w:rsidR="005D1D9D" w:rsidRPr="00F852E7" w:rsidRDefault="00C434CF" w:rsidP="00015C34">
      <w:pPr>
        <w:pStyle w:val="BodyText8"/>
        <w:spacing w:before="120" w:line="240" w:lineRule="auto"/>
        <w:ind w:left="990" w:hanging="297"/>
        <w:jc w:val="left"/>
        <w:rPr>
          <w:rStyle w:val="BodyText1"/>
          <w:sz w:val="22"/>
        </w:rPr>
      </w:pPr>
      <w:r w:rsidRPr="00F852E7">
        <w:rPr>
          <w:rStyle w:val="BodyText1"/>
          <w:sz w:val="22"/>
        </w:rPr>
        <w:t xml:space="preserve">(3) </w:t>
      </w:r>
      <w:r w:rsidR="00524AAA" w:rsidRPr="00F852E7">
        <w:rPr>
          <w:rStyle w:val="BodyText1"/>
          <w:sz w:val="22"/>
        </w:rPr>
        <w:t>The day to be fixed under subsection (2) must not be earlier than the transfer day.</w:t>
      </w:r>
    </w:p>
    <w:p w14:paraId="3C5570DF" w14:textId="77777777" w:rsidR="005D1D9D" w:rsidRPr="00F852E7" w:rsidRDefault="00C434CF" w:rsidP="00015C34">
      <w:pPr>
        <w:pStyle w:val="BodyText8"/>
        <w:spacing w:before="120" w:line="240" w:lineRule="auto"/>
        <w:ind w:left="990" w:hanging="297"/>
        <w:jc w:val="left"/>
        <w:rPr>
          <w:sz w:val="22"/>
        </w:rPr>
      </w:pPr>
      <w:r w:rsidRPr="00F852E7">
        <w:rPr>
          <w:rStyle w:val="BodyText1"/>
          <w:sz w:val="22"/>
        </w:rPr>
        <w:t xml:space="preserve">(4) </w:t>
      </w:r>
      <w:r w:rsidR="00524AAA" w:rsidRPr="00F852E7">
        <w:rPr>
          <w:rStyle w:val="BodyText1"/>
          <w:sz w:val="22"/>
        </w:rPr>
        <w:t>If Part 6 does not commence under subsection (2) within 6 months after the transfer day, it commences on the first day after the end of that period.</w:t>
      </w:r>
    </w:p>
    <w:p w14:paraId="34D7F141" w14:textId="77777777" w:rsidR="005D1D9D" w:rsidRPr="00775F7E" w:rsidRDefault="007728D9" w:rsidP="00775F7E">
      <w:pPr>
        <w:pStyle w:val="Bodytext140"/>
        <w:spacing w:before="120" w:after="60" w:line="240" w:lineRule="auto"/>
        <w:ind w:firstLine="0"/>
        <w:jc w:val="left"/>
        <w:rPr>
          <w:rStyle w:val="Bodytext14Bold2"/>
          <w:sz w:val="22"/>
        </w:rPr>
      </w:pPr>
      <w:r w:rsidRPr="00775F7E">
        <w:rPr>
          <w:rStyle w:val="Bodytext14Bold2"/>
          <w:rFonts w:eastAsia="Courier New"/>
          <w:sz w:val="22"/>
        </w:rPr>
        <w:t xml:space="preserve">3 </w:t>
      </w:r>
      <w:r w:rsidR="00524AAA" w:rsidRPr="00775F7E">
        <w:rPr>
          <w:rStyle w:val="Bodytext14Bold2"/>
          <w:rFonts w:eastAsia="Courier New"/>
          <w:sz w:val="22"/>
        </w:rPr>
        <w:t>Definitions</w:t>
      </w:r>
    </w:p>
    <w:p w14:paraId="5B4F2713" w14:textId="77777777" w:rsidR="005D1D9D" w:rsidRPr="00F852E7" w:rsidRDefault="00524AAA" w:rsidP="00324A13">
      <w:pPr>
        <w:pStyle w:val="BodyText8"/>
        <w:spacing w:before="120" w:line="240" w:lineRule="auto"/>
        <w:ind w:left="990" w:firstLine="0"/>
        <w:jc w:val="left"/>
        <w:rPr>
          <w:sz w:val="22"/>
        </w:rPr>
      </w:pPr>
      <w:r w:rsidRPr="00F852E7">
        <w:rPr>
          <w:rStyle w:val="BodyText1"/>
          <w:sz w:val="22"/>
        </w:rPr>
        <w:t>In this Act, unless the contrary intention appears:</w:t>
      </w:r>
    </w:p>
    <w:p w14:paraId="069AE34A" w14:textId="77777777" w:rsidR="005D1D9D" w:rsidRPr="00F852E7" w:rsidRDefault="00524AAA" w:rsidP="00324A13">
      <w:pPr>
        <w:pStyle w:val="BodyText8"/>
        <w:spacing w:before="120" w:line="240" w:lineRule="auto"/>
        <w:ind w:left="990" w:firstLine="0"/>
        <w:jc w:val="left"/>
        <w:rPr>
          <w:sz w:val="22"/>
        </w:rPr>
      </w:pPr>
      <w:r w:rsidRPr="001E53E5">
        <w:rPr>
          <w:rStyle w:val="BodytextItalic"/>
          <w:b/>
          <w:sz w:val="22"/>
        </w:rPr>
        <w:t>assets</w:t>
      </w:r>
      <w:r w:rsidRPr="00F852E7">
        <w:rPr>
          <w:rStyle w:val="BodyText1"/>
          <w:sz w:val="22"/>
        </w:rPr>
        <w:t xml:space="preserve"> means any legal or equitable estate or interest (whether present or future and whether vested or contingent) in real or personal property of any description and, subject to paragraph 6(c), includes any rights, powers, privileges and immunities (whether actual, contingent or prospective, whether statutory or otherwise and wherever arising).</w:t>
      </w:r>
    </w:p>
    <w:p w14:paraId="7F0E4A1F" w14:textId="77777777" w:rsidR="005D1D9D" w:rsidRPr="00F852E7" w:rsidRDefault="00524AAA" w:rsidP="00BC24C1">
      <w:pPr>
        <w:pStyle w:val="BodyText8"/>
        <w:spacing w:before="120" w:line="240" w:lineRule="auto"/>
        <w:ind w:left="990" w:firstLine="0"/>
        <w:jc w:val="left"/>
        <w:rPr>
          <w:sz w:val="22"/>
        </w:rPr>
      </w:pPr>
      <w:r w:rsidRPr="00F852E7">
        <w:rPr>
          <w:rStyle w:val="Bodytext6Bold"/>
          <w:iCs w:val="0"/>
          <w:sz w:val="22"/>
        </w:rPr>
        <w:t>authorised person</w:t>
      </w:r>
      <w:r w:rsidRPr="00F852E7">
        <w:rPr>
          <w:rStyle w:val="Bodytext6NotItalic0"/>
          <w:i w:val="0"/>
          <w:sz w:val="22"/>
        </w:rPr>
        <w:t xml:space="preserve"> means:</w:t>
      </w:r>
    </w:p>
    <w:p w14:paraId="623E88F6" w14:textId="77777777" w:rsidR="005D1D9D" w:rsidRPr="00F852E7" w:rsidRDefault="00D4362E" w:rsidP="007008F8">
      <w:pPr>
        <w:pStyle w:val="BodyText8"/>
        <w:spacing w:before="120" w:line="240" w:lineRule="auto"/>
        <w:ind w:left="1170" w:firstLine="0"/>
        <w:jc w:val="left"/>
        <w:rPr>
          <w:sz w:val="22"/>
        </w:rPr>
      </w:pPr>
      <w:r w:rsidRPr="00F852E7">
        <w:rPr>
          <w:rStyle w:val="BodyText1"/>
          <w:sz w:val="22"/>
        </w:rPr>
        <w:t xml:space="preserve">(a) </w:t>
      </w:r>
      <w:r w:rsidR="00524AAA" w:rsidRPr="00F852E7">
        <w:rPr>
          <w:rStyle w:val="BodyText1"/>
          <w:sz w:val="22"/>
        </w:rPr>
        <w:t>the Minister; or</w:t>
      </w:r>
    </w:p>
    <w:p w14:paraId="14192F65" w14:textId="77777777" w:rsidR="005D1D9D" w:rsidRPr="00F852E7" w:rsidRDefault="00D4362E" w:rsidP="005820E4">
      <w:pPr>
        <w:pStyle w:val="BodyText8"/>
        <w:spacing w:before="120" w:line="240" w:lineRule="auto"/>
        <w:ind w:left="1440" w:hanging="270"/>
        <w:jc w:val="left"/>
        <w:rPr>
          <w:sz w:val="22"/>
        </w:rPr>
      </w:pPr>
      <w:r w:rsidRPr="00F852E7">
        <w:rPr>
          <w:rStyle w:val="BodyText1"/>
          <w:sz w:val="22"/>
        </w:rPr>
        <w:t xml:space="preserve">(b) </w:t>
      </w:r>
      <w:r w:rsidR="00524AAA" w:rsidRPr="00F852E7">
        <w:rPr>
          <w:rStyle w:val="BodyText1"/>
          <w:sz w:val="22"/>
        </w:rPr>
        <w:t>a person who is authorised by the Minister, by writing, to act under the provision in which the expression is used.</w:t>
      </w:r>
    </w:p>
    <w:p w14:paraId="253BE9FE" w14:textId="77777777" w:rsidR="005D1D9D" w:rsidRPr="00F852E7" w:rsidRDefault="00524AAA" w:rsidP="005820E4">
      <w:pPr>
        <w:pStyle w:val="BodyText8"/>
        <w:spacing w:before="120" w:line="240" w:lineRule="auto"/>
        <w:ind w:left="990" w:firstLine="0"/>
        <w:jc w:val="left"/>
        <w:rPr>
          <w:sz w:val="22"/>
        </w:rPr>
      </w:pPr>
      <w:r w:rsidRPr="00F852E7">
        <w:rPr>
          <w:rStyle w:val="BodytextBold0"/>
          <w:sz w:val="22"/>
        </w:rPr>
        <w:t>Company</w:t>
      </w:r>
      <w:r w:rsidRPr="00F852E7">
        <w:rPr>
          <w:rStyle w:val="BodyText1"/>
          <w:sz w:val="22"/>
        </w:rPr>
        <w:t xml:space="preserve"> means the company incorporated, or to be incorporated, by or on behalf of the Commonwealth under the Corporations Law of the Australian Capital Territory by the name Housing Loans Insurance Corporation Limited.</w:t>
      </w:r>
    </w:p>
    <w:p w14:paraId="068C86E0" w14:textId="77777777" w:rsidR="005D1D9D" w:rsidRPr="00F852E7" w:rsidRDefault="00524AAA" w:rsidP="00E14E0A">
      <w:pPr>
        <w:pStyle w:val="BodyText8"/>
        <w:spacing w:before="120" w:line="240" w:lineRule="auto"/>
        <w:ind w:left="990" w:firstLine="0"/>
        <w:jc w:val="left"/>
        <w:rPr>
          <w:sz w:val="22"/>
        </w:rPr>
      </w:pPr>
      <w:r w:rsidRPr="00F852E7">
        <w:rPr>
          <w:rStyle w:val="BodytextItalic"/>
          <w:b/>
          <w:sz w:val="22"/>
        </w:rPr>
        <w:t>contract of insurance</w:t>
      </w:r>
      <w:r w:rsidRPr="00F852E7">
        <w:rPr>
          <w:rStyle w:val="BodyText1"/>
          <w:sz w:val="22"/>
        </w:rPr>
        <w:t xml:space="preserve"> means a contract of insurance under the Housing Loans Insurance Act and includes such a contract that is of a kind known as a cover note.</w:t>
      </w:r>
    </w:p>
    <w:p w14:paraId="581EEB6F" w14:textId="77777777" w:rsidR="005D1D9D" w:rsidRPr="00F852E7" w:rsidRDefault="00524AAA" w:rsidP="00353F8E">
      <w:pPr>
        <w:pStyle w:val="BodyText8"/>
        <w:spacing w:before="120" w:line="240" w:lineRule="auto"/>
        <w:ind w:left="994" w:firstLine="0"/>
        <w:jc w:val="left"/>
        <w:rPr>
          <w:sz w:val="22"/>
        </w:rPr>
      </w:pPr>
      <w:r w:rsidRPr="00F852E7">
        <w:rPr>
          <w:rStyle w:val="BodytextItalic"/>
          <w:b/>
          <w:sz w:val="22"/>
        </w:rPr>
        <w:t>Corporation</w:t>
      </w:r>
      <w:r w:rsidRPr="00F852E7">
        <w:rPr>
          <w:rStyle w:val="BodyText1"/>
          <w:sz w:val="22"/>
        </w:rPr>
        <w:t xml:space="preserve"> means the Housing Loans Insurance Corporation established by the Housing Loans Insurance Act.</w:t>
      </w:r>
    </w:p>
    <w:p w14:paraId="353AD3AC" w14:textId="77777777" w:rsidR="005D1D9D" w:rsidRPr="00F852E7" w:rsidRDefault="00524AAA" w:rsidP="00394678">
      <w:pPr>
        <w:pStyle w:val="BodyText8"/>
        <w:spacing w:before="120" w:line="240" w:lineRule="auto"/>
        <w:ind w:left="990" w:firstLine="0"/>
        <w:jc w:val="left"/>
        <w:rPr>
          <w:sz w:val="22"/>
        </w:rPr>
      </w:pPr>
      <w:r w:rsidRPr="00F852E7">
        <w:rPr>
          <w:b/>
          <w:sz w:val="22"/>
        </w:rPr>
        <w:t>CSB Act</w:t>
      </w:r>
      <w:r w:rsidRPr="00F852E7">
        <w:rPr>
          <w:rStyle w:val="Bodytext6NotItalic0"/>
          <w:sz w:val="22"/>
        </w:rPr>
        <w:t xml:space="preserve"> </w:t>
      </w:r>
      <w:r w:rsidRPr="00F852E7">
        <w:rPr>
          <w:rStyle w:val="Bodytext6NotItalic0"/>
          <w:i w:val="0"/>
          <w:sz w:val="22"/>
        </w:rPr>
        <w:t>means the</w:t>
      </w:r>
      <w:r w:rsidRPr="00F852E7">
        <w:rPr>
          <w:rStyle w:val="Bodytext6NotItalic0"/>
          <w:sz w:val="22"/>
        </w:rPr>
        <w:t xml:space="preserve"> </w:t>
      </w:r>
      <w:r w:rsidRPr="00F852E7">
        <w:rPr>
          <w:i/>
          <w:sz w:val="22"/>
        </w:rPr>
        <w:t>Crimes</w:t>
      </w:r>
      <w:r w:rsidRPr="00F852E7">
        <w:rPr>
          <w:sz w:val="22"/>
        </w:rPr>
        <w:t xml:space="preserve"> (</w:t>
      </w:r>
      <w:r w:rsidRPr="00F852E7">
        <w:rPr>
          <w:i/>
          <w:sz w:val="22"/>
        </w:rPr>
        <w:t>Superannuation Benefits</w:t>
      </w:r>
      <w:r w:rsidRPr="00F852E7">
        <w:rPr>
          <w:sz w:val="22"/>
        </w:rPr>
        <w:t>)</w:t>
      </w:r>
      <w:r w:rsidRPr="00F852E7">
        <w:rPr>
          <w:i/>
          <w:sz w:val="22"/>
        </w:rPr>
        <w:t xml:space="preserve"> Act 1989</w:t>
      </w:r>
      <w:r w:rsidRPr="00F852E7">
        <w:rPr>
          <w:sz w:val="22"/>
        </w:rPr>
        <w:t>.</w:t>
      </w:r>
    </w:p>
    <w:p w14:paraId="2CD738DD" w14:textId="77777777" w:rsidR="005D1D9D" w:rsidRPr="00F852E7" w:rsidRDefault="00524AAA" w:rsidP="00CF3F63">
      <w:pPr>
        <w:pStyle w:val="BodyText8"/>
        <w:spacing w:before="120" w:line="240" w:lineRule="auto"/>
        <w:ind w:left="994" w:firstLine="0"/>
        <w:jc w:val="left"/>
        <w:rPr>
          <w:sz w:val="22"/>
        </w:rPr>
      </w:pPr>
      <w:r w:rsidRPr="008E71F5">
        <w:rPr>
          <w:b/>
          <w:i/>
          <w:sz w:val="22"/>
        </w:rPr>
        <w:t>DPP Act</w:t>
      </w:r>
      <w:r w:rsidRPr="00F852E7">
        <w:rPr>
          <w:rStyle w:val="Bodytext6NotItalic0"/>
          <w:sz w:val="22"/>
        </w:rPr>
        <w:t xml:space="preserve"> </w:t>
      </w:r>
      <w:r w:rsidRPr="00F852E7">
        <w:rPr>
          <w:rStyle w:val="Bodytext6NotItalic0"/>
          <w:i w:val="0"/>
          <w:sz w:val="22"/>
        </w:rPr>
        <w:t>means the</w:t>
      </w:r>
      <w:r w:rsidRPr="00F852E7">
        <w:rPr>
          <w:rStyle w:val="Bodytext6NotItalic0"/>
          <w:sz w:val="22"/>
        </w:rPr>
        <w:t xml:space="preserve"> </w:t>
      </w:r>
      <w:r w:rsidRPr="00F852E7">
        <w:rPr>
          <w:i/>
          <w:sz w:val="22"/>
        </w:rPr>
        <w:t>Director of Public Prosecutions Act 1983</w:t>
      </w:r>
      <w:r w:rsidRPr="00F852E7">
        <w:rPr>
          <w:sz w:val="22"/>
        </w:rPr>
        <w:t>.</w:t>
      </w:r>
    </w:p>
    <w:p w14:paraId="57AD45C8" w14:textId="77777777" w:rsidR="005D1D9D" w:rsidRPr="00F852E7" w:rsidRDefault="00524AAA" w:rsidP="00CF3F63">
      <w:pPr>
        <w:pStyle w:val="Bodytext60"/>
        <w:spacing w:before="120" w:line="240" w:lineRule="auto"/>
        <w:ind w:left="994"/>
        <w:jc w:val="left"/>
        <w:rPr>
          <w:sz w:val="22"/>
        </w:rPr>
      </w:pPr>
      <w:r w:rsidRPr="00F852E7">
        <w:rPr>
          <w:rStyle w:val="Bodytext6Bold"/>
          <w:i/>
          <w:iCs/>
          <w:sz w:val="22"/>
        </w:rPr>
        <w:t>exempt matter</w:t>
      </w:r>
      <w:r w:rsidRPr="00F852E7">
        <w:rPr>
          <w:rStyle w:val="Bodytext6NotItalic0"/>
          <w:sz w:val="22"/>
        </w:rPr>
        <w:t xml:space="preserve"> means:</w:t>
      </w:r>
    </w:p>
    <w:p w14:paraId="2D5AFF25" w14:textId="77777777" w:rsidR="005D1D9D" w:rsidRPr="00F852E7" w:rsidRDefault="00304025" w:rsidP="00A6769E">
      <w:pPr>
        <w:pStyle w:val="BodyText8"/>
        <w:spacing w:before="120" w:line="240" w:lineRule="auto"/>
        <w:ind w:left="1143" w:firstLine="0"/>
        <w:jc w:val="left"/>
        <w:rPr>
          <w:sz w:val="22"/>
        </w:rPr>
      </w:pPr>
      <w:r w:rsidRPr="00F852E7">
        <w:rPr>
          <w:rStyle w:val="BodyText1"/>
          <w:sz w:val="22"/>
        </w:rPr>
        <w:t xml:space="preserve">(a) </w:t>
      </w:r>
      <w:r w:rsidR="00524AAA" w:rsidRPr="00F852E7">
        <w:rPr>
          <w:rStyle w:val="BodyText1"/>
          <w:sz w:val="22"/>
        </w:rPr>
        <w:t>the operation of section 7; or</w:t>
      </w:r>
    </w:p>
    <w:p w14:paraId="16FB0117" w14:textId="77777777" w:rsidR="005D1D9D" w:rsidRPr="00F852E7" w:rsidRDefault="00304025" w:rsidP="00A6769E">
      <w:pPr>
        <w:pStyle w:val="BodyText8"/>
        <w:spacing w:before="120" w:line="240" w:lineRule="auto"/>
        <w:ind w:left="1143" w:firstLine="0"/>
        <w:jc w:val="left"/>
        <w:rPr>
          <w:sz w:val="22"/>
        </w:rPr>
      </w:pPr>
      <w:r w:rsidRPr="00F852E7">
        <w:rPr>
          <w:rStyle w:val="BodyText1"/>
          <w:sz w:val="22"/>
        </w:rPr>
        <w:t xml:space="preserve">(b) </w:t>
      </w:r>
      <w:r w:rsidR="00524AAA" w:rsidRPr="00F852E7">
        <w:rPr>
          <w:rStyle w:val="BodyText1"/>
          <w:sz w:val="22"/>
        </w:rPr>
        <w:t>giving effect to section 7.</w:t>
      </w:r>
    </w:p>
    <w:p w14:paraId="3665903F" w14:textId="77777777" w:rsidR="000130D2" w:rsidRDefault="00524AAA" w:rsidP="0018563C">
      <w:pPr>
        <w:pStyle w:val="Bodytext60"/>
        <w:spacing w:before="120" w:line="240" w:lineRule="auto"/>
        <w:ind w:left="994"/>
        <w:jc w:val="left"/>
        <w:rPr>
          <w:sz w:val="22"/>
        </w:rPr>
      </w:pPr>
      <w:r w:rsidRPr="00F852E7">
        <w:rPr>
          <w:rStyle w:val="Bodytext6Bold"/>
          <w:i/>
          <w:iCs/>
          <w:sz w:val="22"/>
        </w:rPr>
        <w:t>Housing Loans Insurance Act</w:t>
      </w:r>
      <w:r w:rsidRPr="00F852E7">
        <w:rPr>
          <w:rStyle w:val="Bodytext6NotItalic0"/>
          <w:sz w:val="22"/>
        </w:rPr>
        <w:t xml:space="preserve"> means the </w:t>
      </w:r>
      <w:r w:rsidRPr="00F852E7">
        <w:rPr>
          <w:sz w:val="22"/>
        </w:rPr>
        <w:t>Housing Loans Insurance Act 1965.</w:t>
      </w:r>
    </w:p>
    <w:p w14:paraId="715B7FE6" w14:textId="77777777" w:rsidR="00412419" w:rsidRDefault="00412419">
      <w:pPr>
        <w:rPr>
          <w:sz w:val="22"/>
        </w:rPr>
        <w:sectPr w:rsidR="00412419" w:rsidSect="00C41E6B">
          <w:headerReference w:type="even" r:id="rId23"/>
          <w:headerReference w:type="default" r:id="rId24"/>
          <w:footerReference w:type="even" r:id="rId25"/>
          <w:pgSz w:w="12240" w:h="15840" w:code="1"/>
          <w:pgMar w:top="1440" w:right="1440" w:bottom="1440" w:left="1440" w:header="450" w:footer="487" w:gutter="0"/>
          <w:cols w:space="720"/>
          <w:noEndnote/>
          <w:docGrid w:linePitch="360"/>
        </w:sectPr>
      </w:pPr>
    </w:p>
    <w:p w14:paraId="5E46918A" w14:textId="77777777" w:rsidR="005D1D9D" w:rsidRPr="00F852E7" w:rsidRDefault="00524AAA" w:rsidP="0018563C">
      <w:pPr>
        <w:pStyle w:val="BodyText8"/>
        <w:spacing w:before="120" w:line="240" w:lineRule="auto"/>
        <w:ind w:left="994" w:firstLine="0"/>
        <w:jc w:val="left"/>
        <w:rPr>
          <w:sz w:val="22"/>
        </w:rPr>
      </w:pPr>
      <w:r w:rsidRPr="00F852E7">
        <w:rPr>
          <w:rStyle w:val="BodytextBold2"/>
          <w:sz w:val="22"/>
        </w:rPr>
        <w:lastRenderedPageBreak/>
        <w:t>instrument</w:t>
      </w:r>
      <w:r w:rsidRPr="00F852E7">
        <w:rPr>
          <w:rStyle w:val="BodyText21"/>
          <w:sz w:val="22"/>
        </w:rPr>
        <w:t xml:space="preserve"> includes a document and an oral agreement.</w:t>
      </w:r>
    </w:p>
    <w:p w14:paraId="544A460E" w14:textId="77777777" w:rsidR="005D1D9D" w:rsidRPr="00F852E7" w:rsidRDefault="00524AAA" w:rsidP="001E3B90">
      <w:pPr>
        <w:pStyle w:val="BodyText8"/>
        <w:spacing w:before="120" w:line="240" w:lineRule="auto"/>
        <w:ind w:left="994" w:firstLine="0"/>
        <w:jc w:val="left"/>
        <w:rPr>
          <w:sz w:val="22"/>
        </w:rPr>
      </w:pPr>
      <w:r w:rsidRPr="00F852E7">
        <w:rPr>
          <w:rStyle w:val="BodytextBold2"/>
          <w:sz w:val="22"/>
        </w:rPr>
        <w:t>Insurance Account</w:t>
      </w:r>
      <w:r w:rsidRPr="00F852E7">
        <w:rPr>
          <w:rStyle w:val="BodyText21"/>
          <w:sz w:val="22"/>
        </w:rPr>
        <w:t xml:space="preserve"> means the account required by subsection 10(3).</w:t>
      </w:r>
    </w:p>
    <w:p w14:paraId="406E68A5" w14:textId="77777777" w:rsidR="005D1D9D" w:rsidRPr="00F852E7" w:rsidRDefault="00524AAA" w:rsidP="001E3B90">
      <w:pPr>
        <w:pStyle w:val="BodyText8"/>
        <w:spacing w:before="120" w:line="240" w:lineRule="auto"/>
        <w:ind w:left="994" w:firstLine="0"/>
        <w:jc w:val="left"/>
        <w:rPr>
          <w:sz w:val="22"/>
        </w:rPr>
      </w:pPr>
      <w:r w:rsidRPr="00F852E7">
        <w:rPr>
          <w:rStyle w:val="BodytextBold2"/>
          <w:sz w:val="22"/>
        </w:rPr>
        <w:t>liabilities</w:t>
      </w:r>
      <w:r w:rsidRPr="00F852E7">
        <w:rPr>
          <w:rStyle w:val="BodyText21"/>
          <w:sz w:val="22"/>
        </w:rPr>
        <w:t xml:space="preserve"> means all liabilities, duties and obligations (whether actual, contingent or prospective, and wherever arising).</w:t>
      </w:r>
    </w:p>
    <w:p w14:paraId="66B14872" w14:textId="77777777" w:rsidR="00B05F6E" w:rsidRDefault="00524AAA" w:rsidP="001E3B90">
      <w:pPr>
        <w:pStyle w:val="Bodytext60"/>
        <w:spacing w:before="120" w:line="240" w:lineRule="auto"/>
        <w:ind w:left="994"/>
        <w:jc w:val="left"/>
        <w:rPr>
          <w:rStyle w:val="Bodytext6NotItalic"/>
          <w:sz w:val="22"/>
        </w:rPr>
      </w:pPr>
      <w:r w:rsidRPr="00F852E7">
        <w:rPr>
          <w:rStyle w:val="Bodytext6Bold0"/>
          <w:i/>
          <w:iCs/>
          <w:sz w:val="22"/>
        </w:rPr>
        <w:t>Long Service Leave Act</w:t>
      </w:r>
      <w:r w:rsidRPr="00F852E7">
        <w:rPr>
          <w:rStyle w:val="Bodytext6NotItalic"/>
          <w:sz w:val="22"/>
        </w:rPr>
        <w:t xml:space="preserve"> means the </w:t>
      </w:r>
      <w:r w:rsidRPr="00F852E7">
        <w:rPr>
          <w:rStyle w:val="Bodytext62"/>
          <w:i/>
          <w:iCs/>
          <w:sz w:val="22"/>
        </w:rPr>
        <w:t>Long Service Leave (Commonwealth Employees) Act 1976</w:t>
      </w:r>
      <w:r w:rsidRPr="00F852E7">
        <w:rPr>
          <w:rStyle w:val="Bodytext6NotItalic"/>
          <w:sz w:val="22"/>
        </w:rPr>
        <w:t xml:space="preserve"> as in force immediately before the transfer day.</w:t>
      </w:r>
    </w:p>
    <w:p w14:paraId="3A353AB2" w14:textId="77777777" w:rsidR="005D1D9D" w:rsidRPr="00F852E7" w:rsidRDefault="00524AAA" w:rsidP="001E3B90">
      <w:pPr>
        <w:pStyle w:val="Bodytext60"/>
        <w:spacing w:before="120" w:line="240" w:lineRule="auto"/>
        <w:ind w:left="994"/>
        <w:jc w:val="left"/>
        <w:rPr>
          <w:sz w:val="22"/>
        </w:rPr>
      </w:pPr>
      <w:r w:rsidRPr="00F852E7">
        <w:rPr>
          <w:rStyle w:val="Bodytext6Bold0"/>
          <w:i/>
          <w:iCs/>
          <w:sz w:val="22"/>
        </w:rPr>
        <w:t>management agreement</w:t>
      </w:r>
      <w:r w:rsidRPr="00F852E7">
        <w:rPr>
          <w:rStyle w:val="Bodytext6NotItalic"/>
          <w:sz w:val="22"/>
        </w:rPr>
        <w:t xml:space="preserve"> means:</w:t>
      </w:r>
    </w:p>
    <w:p w14:paraId="27198D1E" w14:textId="77777777" w:rsidR="005D1D9D" w:rsidRPr="00F852E7" w:rsidRDefault="001E3B90" w:rsidP="001E3B90">
      <w:pPr>
        <w:pStyle w:val="BodyText8"/>
        <w:spacing w:before="120" w:line="240" w:lineRule="auto"/>
        <w:ind w:left="1143" w:firstLine="0"/>
        <w:jc w:val="left"/>
        <w:rPr>
          <w:sz w:val="22"/>
        </w:rPr>
      </w:pPr>
      <w:r w:rsidRPr="00F852E7">
        <w:rPr>
          <w:rStyle w:val="BodyText21"/>
          <w:sz w:val="22"/>
        </w:rPr>
        <w:t xml:space="preserve">(a) </w:t>
      </w:r>
      <w:r w:rsidR="00524AAA" w:rsidRPr="00F852E7">
        <w:rPr>
          <w:rStyle w:val="BodyText21"/>
          <w:sz w:val="22"/>
        </w:rPr>
        <w:t>the agreement referred to in subsection 10(1); or</w:t>
      </w:r>
    </w:p>
    <w:p w14:paraId="1A477232" w14:textId="77777777" w:rsidR="005D1D9D" w:rsidRPr="00F852E7" w:rsidRDefault="001E3B90" w:rsidP="001E3B90">
      <w:pPr>
        <w:pStyle w:val="BodyText8"/>
        <w:spacing w:before="120" w:line="240" w:lineRule="auto"/>
        <w:ind w:left="1143" w:firstLine="0"/>
        <w:jc w:val="left"/>
        <w:rPr>
          <w:sz w:val="22"/>
        </w:rPr>
      </w:pPr>
      <w:r w:rsidRPr="00F852E7">
        <w:rPr>
          <w:rStyle w:val="BodyText21"/>
          <w:sz w:val="22"/>
        </w:rPr>
        <w:t xml:space="preserve">(b) </w:t>
      </w:r>
      <w:r w:rsidR="00524AAA" w:rsidRPr="00F852E7">
        <w:rPr>
          <w:rStyle w:val="BodyText21"/>
          <w:sz w:val="22"/>
        </w:rPr>
        <w:t>if that agreement is varied by another agreement—that agreement as so varied.</w:t>
      </w:r>
    </w:p>
    <w:p w14:paraId="41F4A7C7" w14:textId="77777777" w:rsidR="005D1D9D" w:rsidRPr="00F852E7" w:rsidRDefault="00524AAA" w:rsidP="001E3B90">
      <w:pPr>
        <w:pStyle w:val="BodyText8"/>
        <w:spacing w:before="120" w:line="240" w:lineRule="auto"/>
        <w:ind w:left="994" w:firstLine="0"/>
        <w:jc w:val="left"/>
        <w:rPr>
          <w:sz w:val="22"/>
        </w:rPr>
      </w:pPr>
      <w:r w:rsidRPr="00F852E7">
        <w:rPr>
          <w:rStyle w:val="BodytextBold2"/>
          <w:sz w:val="22"/>
        </w:rPr>
        <w:t>management period</w:t>
      </w:r>
      <w:r w:rsidRPr="00F852E7">
        <w:rPr>
          <w:rStyle w:val="BodyText21"/>
          <w:sz w:val="22"/>
        </w:rPr>
        <w:t xml:space="preserve"> means the period in which the Company is, under the management agreement or under any variation of that agreement, to manage the pre-transfer contracts on behalf of the Commonwealth.</w:t>
      </w:r>
    </w:p>
    <w:p w14:paraId="61D55F4C" w14:textId="77777777" w:rsidR="005D1D9D" w:rsidRPr="00F852E7" w:rsidRDefault="00524AAA" w:rsidP="001E3B90">
      <w:pPr>
        <w:pStyle w:val="Bodytext60"/>
        <w:spacing w:before="120" w:line="240" w:lineRule="auto"/>
        <w:ind w:left="994"/>
        <w:jc w:val="left"/>
        <w:rPr>
          <w:sz w:val="22"/>
        </w:rPr>
      </w:pPr>
      <w:r w:rsidRPr="00F852E7">
        <w:rPr>
          <w:rStyle w:val="Bodytext6Bold0"/>
          <w:i/>
          <w:iCs/>
          <w:sz w:val="22"/>
        </w:rPr>
        <w:t>Maternity Leave Act</w:t>
      </w:r>
      <w:r w:rsidRPr="00F852E7">
        <w:rPr>
          <w:rStyle w:val="Bodytext6NotItalic"/>
          <w:sz w:val="22"/>
        </w:rPr>
        <w:t xml:space="preserve"> means the </w:t>
      </w:r>
      <w:r w:rsidRPr="00F852E7">
        <w:rPr>
          <w:rStyle w:val="Bodytext62"/>
          <w:i/>
          <w:iCs/>
          <w:sz w:val="22"/>
        </w:rPr>
        <w:t>Maternity Leave (Commonwealth Employees) Act 1973.</w:t>
      </w:r>
    </w:p>
    <w:p w14:paraId="51B5D6ED" w14:textId="77777777" w:rsidR="005D1D9D" w:rsidRPr="00F852E7" w:rsidRDefault="00524AAA" w:rsidP="001E3B90">
      <w:pPr>
        <w:pStyle w:val="BodyText8"/>
        <w:spacing w:before="120" w:line="240" w:lineRule="auto"/>
        <w:ind w:left="994" w:firstLine="0"/>
        <w:jc w:val="left"/>
        <w:rPr>
          <w:sz w:val="22"/>
        </w:rPr>
      </w:pPr>
      <w:r w:rsidRPr="00F852E7">
        <w:rPr>
          <w:rStyle w:val="BodytextBold2"/>
          <w:sz w:val="22"/>
        </w:rPr>
        <w:t>pre-transfer contract</w:t>
      </w:r>
      <w:r w:rsidRPr="00F852E7">
        <w:rPr>
          <w:rStyle w:val="BodyText21"/>
          <w:sz w:val="22"/>
        </w:rPr>
        <w:t xml:space="preserve"> means a contract of insurance that is in force.</w:t>
      </w:r>
    </w:p>
    <w:p w14:paraId="480326A7" w14:textId="29A80C74" w:rsidR="005D1D9D" w:rsidRPr="00F852E7" w:rsidRDefault="00524AAA" w:rsidP="001E3B90">
      <w:pPr>
        <w:pStyle w:val="BodyText8"/>
        <w:spacing w:before="120" w:line="240" w:lineRule="auto"/>
        <w:ind w:left="994" w:firstLine="0"/>
        <w:jc w:val="left"/>
        <w:rPr>
          <w:sz w:val="22"/>
        </w:rPr>
      </w:pPr>
      <w:r w:rsidRPr="00F852E7">
        <w:rPr>
          <w:rStyle w:val="BodytextBold2"/>
          <w:sz w:val="22"/>
        </w:rPr>
        <w:t>share</w:t>
      </w:r>
      <w:r w:rsidRPr="00ED2AD4">
        <w:rPr>
          <w:rStyle w:val="BodytextBold3"/>
          <w:b w:val="0"/>
          <w:sz w:val="22"/>
        </w:rPr>
        <w:t>,</w:t>
      </w:r>
      <w:r w:rsidRPr="00F852E7">
        <w:rPr>
          <w:rStyle w:val="BodyText21"/>
          <w:sz w:val="22"/>
        </w:rPr>
        <w:t xml:space="preserve"> in relation to the Company, means a share in the capital of the Company and includes stock.</w:t>
      </w:r>
    </w:p>
    <w:p w14:paraId="3BEEA55E" w14:textId="77777777" w:rsidR="005D1D9D" w:rsidRPr="00F852E7" w:rsidRDefault="00524AAA" w:rsidP="001E3B90">
      <w:pPr>
        <w:pStyle w:val="Bodytext60"/>
        <w:spacing w:before="120" w:line="240" w:lineRule="auto"/>
        <w:ind w:left="994"/>
        <w:jc w:val="left"/>
        <w:rPr>
          <w:sz w:val="22"/>
        </w:rPr>
      </w:pPr>
      <w:r w:rsidRPr="00F852E7">
        <w:rPr>
          <w:rStyle w:val="Bodytext6Bold0"/>
          <w:i/>
          <w:iCs/>
          <w:sz w:val="22"/>
        </w:rPr>
        <w:t>SRC Act</w:t>
      </w:r>
      <w:r w:rsidRPr="00F852E7">
        <w:rPr>
          <w:rStyle w:val="Bodytext6NotItalic"/>
          <w:sz w:val="22"/>
        </w:rPr>
        <w:t xml:space="preserve"> means the </w:t>
      </w:r>
      <w:r w:rsidRPr="00F852E7">
        <w:rPr>
          <w:rStyle w:val="Bodytext62"/>
          <w:i/>
          <w:iCs/>
          <w:sz w:val="22"/>
        </w:rPr>
        <w:t>Safety, Rehabilitation and Compensation Act 1988.</w:t>
      </w:r>
    </w:p>
    <w:p w14:paraId="4D4AD2AD" w14:textId="77777777" w:rsidR="005D1D9D" w:rsidRPr="00F852E7" w:rsidRDefault="00524AAA" w:rsidP="001E3B90">
      <w:pPr>
        <w:pStyle w:val="BodyText8"/>
        <w:spacing w:before="120" w:line="240" w:lineRule="auto"/>
        <w:ind w:left="994" w:firstLine="0"/>
        <w:jc w:val="left"/>
        <w:rPr>
          <w:sz w:val="22"/>
        </w:rPr>
      </w:pPr>
      <w:r w:rsidRPr="00F852E7">
        <w:rPr>
          <w:rStyle w:val="BodytextBold2"/>
          <w:sz w:val="22"/>
        </w:rPr>
        <w:t>transfer day</w:t>
      </w:r>
      <w:r w:rsidRPr="00F852E7">
        <w:rPr>
          <w:rStyle w:val="BodyText21"/>
          <w:sz w:val="22"/>
        </w:rPr>
        <w:t xml:space="preserve"> means a day fixed by the Minister by notice published in the </w:t>
      </w:r>
      <w:r w:rsidRPr="00F852E7">
        <w:rPr>
          <w:rStyle w:val="BodytextItalic0"/>
          <w:sz w:val="22"/>
        </w:rPr>
        <w:t>Gazette.</w:t>
      </w:r>
    </w:p>
    <w:p w14:paraId="4A811448" w14:textId="77777777" w:rsidR="005D1D9D" w:rsidRPr="00F852E7" w:rsidRDefault="00524AAA" w:rsidP="001E3B90">
      <w:pPr>
        <w:pStyle w:val="BodyText8"/>
        <w:spacing w:before="120" w:line="240" w:lineRule="auto"/>
        <w:ind w:left="994" w:firstLine="0"/>
        <w:jc w:val="left"/>
        <w:rPr>
          <w:sz w:val="22"/>
        </w:rPr>
      </w:pPr>
      <w:r w:rsidRPr="00F852E7">
        <w:rPr>
          <w:rStyle w:val="BodytextBold2"/>
          <w:sz w:val="22"/>
        </w:rPr>
        <w:t>transferred employee</w:t>
      </w:r>
      <w:r w:rsidRPr="00F852E7">
        <w:rPr>
          <w:rStyle w:val="BodyText21"/>
          <w:sz w:val="22"/>
        </w:rPr>
        <w:t xml:space="preserve"> means a person who, under section 14, is taken to have been engaged as an employee by the Company.</w:t>
      </w:r>
    </w:p>
    <w:p w14:paraId="54F3FB67" w14:textId="77777777" w:rsidR="005D1D9D" w:rsidRPr="00775F7E" w:rsidRDefault="005C30E0" w:rsidP="00775F7E">
      <w:pPr>
        <w:pStyle w:val="Bodytext140"/>
        <w:spacing w:before="120" w:after="60" w:line="240" w:lineRule="auto"/>
        <w:ind w:firstLine="0"/>
        <w:jc w:val="left"/>
        <w:rPr>
          <w:rStyle w:val="Bodytext14Bold2"/>
          <w:sz w:val="22"/>
        </w:rPr>
      </w:pPr>
      <w:bookmarkStart w:id="1" w:name="bookmark1"/>
      <w:r w:rsidRPr="00775F7E">
        <w:rPr>
          <w:rStyle w:val="Bodytext14Bold2"/>
          <w:rFonts w:eastAsia="Courier New"/>
          <w:sz w:val="22"/>
        </w:rPr>
        <w:t xml:space="preserve">4 </w:t>
      </w:r>
      <w:r w:rsidR="00524AAA" w:rsidRPr="00775F7E">
        <w:rPr>
          <w:rStyle w:val="Bodytext14Bold2"/>
          <w:rFonts w:eastAsia="Courier New"/>
          <w:sz w:val="22"/>
        </w:rPr>
        <w:t>Act binds the Crown</w:t>
      </w:r>
      <w:bookmarkEnd w:id="1"/>
    </w:p>
    <w:p w14:paraId="2F0071D1" w14:textId="77777777" w:rsidR="005D1D9D" w:rsidRPr="00F852E7" w:rsidRDefault="00524AAA" w:rsidP="0028530D">
      <w:pPr>
        <w:pStyle w:val="BodyText8"/>
        <w:spacing w:before="120" w:line="240" w:lineRule="auto"/>
        <w:ind w:left="994" w:firstLine="0"/>
        <w:jc w:val="left"/>
        <w:rPr>
          <w:sz w:val="22"/>
        </w:rPr>
      </w:pPr>
      <w:r w:rsidRPr="00F852E7">
        <w:rPr>
          <w:rStyle w:val="BodyText21"/>
          <w:sz w:val="22"/>
        </w:rPr>
        <w:t>This Act binds the Crown in right of the Commonwealth, of each of the States, of the Australian Capital Territory and of the Northern Territory.</w:t>
      </w:r>
    </w:p>
    <w:p w14:paraId="3F1B18C5" w14:textId="77777777" w:rsidR="00412419" w:rsidRDefault="00412419">
      <w:pPr>
        <w:rPr>
          <w:rStyle w:val="Bodytext173"/>
          <w:rFonts w:eastAsia="Courier New"/>
          <w:i w:val="0"/>
          <w:iCs w:val="0"/>
          <w:sz w:val="22"/>
        </w:rPr>
        <w:sectPr w:rsidR="00412419" w:rsidSect="00C41E6B">
          <w:headerReference w:type="even" r:id="rId26"/>
          <w:headerReference w:type="default" r:id="rId27"/>
          <w:pgSz w:w="12240" w:h="15840" w:code="1"/>
          <w:pgMar w:top="1440" w:right="1440" w:bottom="1440" w:left="1440" w:header="540" w:footer="397" w:gutter="0"/>
          <w:cols w:space="720"/>
          <w:noEndnote/>
          <w:docGrid w:linePitch="360"/>
        </w:sectPr>
      </w:pPr>
    </w:p>
    <w:p w14:paraId="0D92201A" w14:textId="1D66136F" w:rsidR="005D1D9D" w:rsidRPr="00ED2AD4" w:rsidRDefault="00524AAA" w:rsidP="001D1849">
      <w:pPr>
        <w:spacing w:before="120"/>
        <w:rPr>
          <w:rFonts w:ascii="Times New Roman" w:hAnsi="Times New Roman" w:cs="Times New Roman"/>
          <w:b/>
          <w:sz w:val="26"/>
          <w:szCs w:val="26"/>
        </w:rPr>
      </w:pPr>
      <w:bookmarkStart w:id="2" w:name="bookmark2"/>
      <w:r w:rsidRPr="00ED2AD4">
        <w:rPr>
          <w:rFonts w:ascii="Times New Roman" w:hAnsi="Times New Roman" w:cs="Times New Roman"/>
          <w:b/>
          <w:sz w:val="26"/>
          <w:szCs w:val="26"/>
        </w:rPr>
        <w:lastRenderedPageBreak/>
        <w:t>Part 2—The Company</w:t>
      </w:r>
      <w:bookmarkEnd w:id="2"/>
    </w:p>
    <w:p w14:paraId="39E63374" w14:textId="77777777" w:rsidR="005D1D9D" w:rsidRPr="00775F7E" w:rsidRDefault="000E51A3" w:rsidP="00775F7E">
      <w:pPr>
        <w:pStyle w:val="Bodytext140"/>
        <w:spacing w:before="120" w:after="60" w:line="240" w:lineRule="auto"/>
        <w:ind w:firstLine="0"/>
        <w:jc w:val="left"/>
        <w:rPr>
          <w:rStyle w:val="Bodytext14Bold2"/>
          <w:sz w:val="22"/>
        </w:rPr>
      </w:pPr>
      <w:bookmarkStart w:id="3" w:name="bookmark3"/>
      <w:r w:rsidRPr="00775F7E">
        <w:rPr>
          <w:rStyle w:val="Bodytext14Bold2"/>
          <w:rFonts w:eastAsia="Courier New"/>
          <w:sz w:val="22"/>
        </w:rPr>
        <w:t xml:space="preserve">5 </w:t>
      </w:r>
      <w:r w:rsidR="00524AAA" w:rsidRPr="00775F7E">
        <w:rPr>
          <w:rStyle w:val="Bodytext14Bold2"/>
          <w:rFonts w:eastAsia="Courier New"/>
          <w:sz w:val="22"/>
        </w:rPr>
        <w:t>Shares in the Company</w:t>
      </w:r>
      <w:bookmarkEnd w:id="3"/>
    </w:p>
    <w:p w14:paraId="4F50B0D9" w14:textId="77777777" w:rsidR="005D1D9D" w:rsidRPr="00F852E7" w:rsidRDefault="00524AAA" w:rsidP="0075264D">
      <w:pPr>
        <w:pStyle w:val="BodyText8"/>
        <w:spacing w:before="120" w:line="240" w:lineRule="auto"/>
        <w:ind w:left="994" w:firstLine="0"/>
        <w:jc w:val="left"/>
        <w:rPr>
          <w:sz w:val="22"/>
        </w:rPr>
      </w:pPr>
      <w:r w:rsidRPr="00F852E7">
        <w:rPr>
          <w:rStyle w:val="BodyText21"/>
          <w:sz w:val="22"/>
        </w:rPr>
        <w:t>Any shares in the Company issued to the Commonwealth or to a nominee of the Commonwealth are taken to have been fully paid up.</w:t>
      </w:r>
    </w:p>
    <w:p w14:paraId="659D4826" w14:textId="77777777" w:rsidR="005D1D9D" w:rsidRPr="00F852E7" w:rsidRDefault="00945B72" w:rsidP="00775F7E">
      <w:pPr>
        <w:pStyle w:val="Bodytext140"/>
        <w:spacing w:before="120" w:after="60" w:line="240" w:lineRule="auto"/>
        <w:ind w:firstLine="0"/>
        <w:jc w:val="left"/>
      </w:pPr>
      <w:bookmarkStart w:id="4" w:name="bookmark4"/>
      <w:r>
        <w:rPr>
          <w:rStyle w:val="Heading4Bold"/>
          <w:rFonts w:eastAsia="Courier New"/>
          <w:sz w:val="22"/>
        </w:rPr>
        <w:t xml:space="preserve">6 </w:t>
      </w:r>
      <w:r w:rsidR="00524AAA" w:rsidRPr="00775F7E">
        <w:rPr>
          <w:rStyle w:val="Bodytext14Bold2"/>
          <w:rFonts w:eastAsia="Courier New"/>
          <w:sz w:val="22"/>
        </w:rPr>
        <w:t>The</w:t>
      </w:r>
      <w:r w:rsidR="00524AAA" w:rsidRPr="00F852E7">
        <w:rPr>
          <w:rStyle w:val="Heading4Bold"/>
          <w:rFonts w:eastAsia="Courier New"/>
          <w:sz w:val="22"/>
        </w:rPr>
        <w:t xml:space="preserve"> Company is not the Crown</w:t>
      </w:r>
      <w:bookmarkEnd w:id="4"/>
    </w:p>
    <w:p w14:paraId="5DE5D968" w14:textId="77777777" w:rsidR="005D1D9D" w:rsidRPr="00F852E7" w:rsidRDefault="00524AAA" w:rsidP="00E30D4E">
      <w:pPr>
        <w:pStyle w:val="BodyText8"/>
        <w:spacing w:before="120" w:line="240" w:lineRule="auto"/>
        <w:ind w:left="994" w:firstLine="0"/>
        <w:jc w:val="left"/>
        <w:rPr>
          <w:sz w:val="22"/>
        </w:rPr>
      </w:pPr>
      <w:r w:rsidRPr="00F852E7">
        <w:rPr>
          <w:rStyle w:val="BodyText21"/>
          <w:sz w:val="22"/>
        </w:rPr>
        <w:t>The Company:</w:t>
      </w:r>
    </w:p>
    <w:p w14:paraId="55D2516F" w14:textId="77777777" w:rsidR="005D1D9D" w:rsidRPr="00F852E7" w:rsidRDefault="00E432A8" w:rsidP="00B12751">
      <w:pPr>
        <w:pStyle w:val="BodyText8"/>
        <w:spacing w:before="120" w:line="240" w:lineRule="auto"/>
        <w:ind w:left="1138" w:firstLine="0"/>
        <w:jc w:val="left"/>
        <w:rPr>
          <w:sz w:val="22"/>
        </w:rPr>
      </w:pPr>
      <w:r>
        <w:rPr>
          <w:rStyle w:val="BodyText21"/>
          <w:sz w:val="22"/>
        </w:rPr>
        <w:t xml:space="preserve">(a) </w:t>
      </w:r>
      <w:r w:rsidR="00524AAA" w:rsidRPr="00F852E7">
        <w:rPr>
          <w:rStyle w:val="BodyText21"/>
          <w:sz w:val="22"/>
        </w:rPr>
        <w:t>is not, and does not represent, the Crown; and</w:t>
      </w:r>
    </w:p>
    <w:p w14:paraId="008AE353" w14:textId="77777777" w:rsidR="005D1D9D" w:rsidRPr="00F852E7" w:rsidRDefault="00B12751" w:rsidP="00B12751">
      <w:pPr>
        <w:pStyle w:val="BodyText8"/>
        <w:spacing w:before="120" w:line="240" w:lineRule="auto"/>
        <w:ind w:left="1138" w:firstLine="0"/>
        <w:jc w:val="left"/>
        <w:rPr>
          <w:sz w:val="22"/>
        </w:rPr>
      </w:pPr>
      <w:r>
        <w:rPr>
          <w:rStyle w:val="BodyText21"/>
          <w:sz w:val="22"/>
        </w:rPr>
        <w:t xml:space="preserve">(b) </w:t>
      </w:r>
      <w:r w:rsidR="00524AAA" w:rsidRPr="00F852E7">
        <w:rPr>
          <w:rStyle w:val="BodyText21"/>
          <w:sz w:val="22"/>
        </w:rPr>
        <w:t>is not an instrumentality or agency of the Crown; and</w:t>
      </w:r>
    </w:p>
    <w:p w14:paraId="6B3F8C04" w14:textId="77777777" w:rsidR="005D1D9D" w:rsidRPr="00F852E7" w:rsidRDefault="00321621" w:rsidP="00321621">
      <w:pPr>
        <w:pStyle w:val="BodyText8"/>
        <w:spacing w:before="120" w:line="240" w:lineRule="auto"/>
        <w:ind w:left="1138" w:firstLine="0"/>
        <w:jc w:val="left"/>
        <w:rPr>
          <w:sz w:val="22"/>
        </w:rPr>
      </w:pPr>
      <w:r>
        <w:rPr>
          <w:rStyle w:val="BodyText21"/>
          <w:sz w:val="22"/>
        </w:rPr>
        <w:t xml:space="preserve">(c) </w:t>
      </w:r>
      <w:r w:rsidR="00524AAA" w:rsidRPr="00F852E7">
        <w:rPr>
          <w:rStyle w:val="BodyText21"/>
          <w:sz w:val="22"/>
        </w:rPr>
        <w:t>is not entitled to any immunity or privilege of the Crown; and</w:t>
      </w:r>
    </w:p>
    <w:p w14:paraId="7FEB5D60" w14:textId="77777777" w:rsidR="005D1D9D" w:rsidRPr="00F852E7" w:rsidRDefault="00C511BC" w:rsidP="001B6094">
      <w:pPr>
        <w:pStyle w:val="BodyText8"/>
        <w:spacing w:before="120" w:line="240" w:lineRule="auto"/>
        <w:ind w:left="1440" w:hanging="302"/>
        <w:jc w:val="left"/>
        <w:rPr>
          <w:sz w:val="22"/>
        </w:rPr>
      </w:pPr>
      <w:r>
        <w:rPr>
          <w:rStyle w:val="BodyText21"/>
          <w:sz w:val="22"/>
        </w:rPr>
        <w:t xml:space="preserve">(d) </w:t>
      </w:r>
      <w:r w:rsidR="00524AAA" w:rsidRPr="00F852E7">
        <w:rPr>
          <w:rStyle w:val="BodyText21"/>
          <w:sz w:val="22"/>
        </w:rPr>
        <w:t>is not a public authority for any purpose and is taken not to have been constituted or established for a public purpose or for a purpose of the Commonwealth;</w:t>
      </w:r>
    </w:p>
    <w:p w14:paraId="036A3539" w14:textId="77777777" w:rsidR="005D1D9D" w:rsidRPr="00F852E7" w:rsidRDefault="00524AAA" w:rsidP="009F04DF">
      <w:pPr>
        <w:pStyle w:val="BodyText8"/>
        <w:spacing w:before="120" w:line="240" w:lineRule="auto"/>
        <w:ind w:left="994" w:firstLine="0"/>
        <w:jc w:val="left"/>
        <w:rPr>
          <w:sz w:val="22"/>
        </w:rPr>
      </w:pPr>
      <w:r w:rsidRPr="00F852E7">
        <w:rPr>
          <w:rStyle w:val="BodyText21"/>
          <w:sz w:val="22"/>
        </w:rPr>
        <w:t>except so far as express provision is made by any law of the Commonwealth, of a State or of a Territory.</w:t>
      </w:r>
    </w:p>
    <w:p w14:paraId="1C887D3D" w14:textId="77777777" w:rsidR="005D1D9D" w:rsidRPr="00F852E7" w:rsidRDefault="001B6094" w:rsidP="00775F7E">
      <w:pPr>
        <w:pStyle w:val="Bodytext140"/>
        <w:spacing w:before="120" w:after="60" w:line="240" w:lineRule="auto"/>
        <w:ind w:firstLine="0"/>
        <w:jc w:val="left"/>
      </w:pPr>
      <w:bookmarkStart w:id="5" w:name="bookmark5"/>
      <w:r>
        <w:rPr>
          <w:rStyle w:val="Heading4Bold"/>
          <w:rFonts w:eastAsia="Courier New"/>
          <w:sz w:val="22"/>
        </w:rPr>
        <w:t xml:space="preserve">7 </w:t>
      </w:r>
      <w:r w:rsidR="00524AAA" w:rsidRPr="00775F7E">
        <w:rPr>
          <w:rStyle w:val="Bodytext14Bold2"/>
          <w:rFonts w:eastAsia="Courier New"/>
          <w:sz w:val="22"/>
        </w:rPr>
        <w:t>Transfer</w:t>
      </w:r>
      <w:r w:rsidR="00524AAA" w:rsidRPr="00F852E7">
        <w:rPr>
          <w:rStyle w:val="Heading4Bold"/>
          <w:rFonts w:eastAsia="Courier New"/>
          <w:sz w:val="22"/>
        </w:rPr>
        <w:t xml:space="preserve"> of the Corporation’s assets and liabilities</w:t>
      </w:r>
      <w:bookmarkEnd w:id="5"/>
    </w:p>
    <w:p w14:paraId="3B39431C" w14:textId="77777777" w:rsidR="005D1D9D" w:rsidRPr="00F852E7" w:rsidRDefault="00E30D4E" w:rsidP="00A065F5">
      <w:pPr>
        <w:pStyle w:val="BodyText8"/>
        <w:spacing w:before="120" w:line="240" w:lineRule="auto"/>
        <w:ind w:left="634" w:firstLine="0"/>
        <w:jc w:val="left"/>
        <w:rPr>
          <w:sz w:val="22"/>
        </w:rPr>
      </w:pPr>
      <w:r>
        <w:rPr>
          <w:rStyle w:val="BodyText21"/>
          <w:sz w:val="22"/>
        </w:rPr>
        <w:t xml:space="preserve">(1) </w:t>
      </w:r>
      <w:r w:rsidR="00524AAA" w:rsidRPr="00F852E7">
        <w:rPr>
          <w:rStyle w:val="BodyText21"/>
          <w:sz w:val="22"/>
        </w:rPr>
        <w:t>On the transfer day:</w:t>
      </w:r>
    </w:p>
    <w:p w14:paraId="1ED05A9F" w14:textId="77777777" w:rsidR="005D1D9D" w:rsidRPr="00F852E7" w:rsidRDefault="00A065F5" w:rsidP="00A065F5">
      <w:pPr>
        <w:pStyle w:val="BodyText8"/>
        <w:spacing w:before="120" w:line="240" w:lineRule="auto"/>
        <w:ind w:left="1440" w:hanging="302"/>
        <w:jc w:val="left"/>
        <w:rPr>
          <w:sz w:val="22"/>
        </w:rPr>
      </w:pPr>
      <w:r>
        <w:rPr>
          <w:rStyle w:val="BodyText21"/>
          <w:sz w:val="22"/>
        </w:rPr>
        <w:t xml:space="preserve">(a) </w:t>
      </w:r>
      <w:r w:rsidR="00524AAA" w:rsidRPr="00F852E7">
        <w:rPr>
          <w:rStyle w:val="BodyText21"/>
          <w:sz w:val="22"/>
        </w:rPr>
        <w:t>so much of the Corporation’s capital and reserves, wherever located, as the Minister determines in writing before that day to be necessary to provide adequate capital for the Company vest in the Company by this subsection and become the capital of the Company; and</w:t>
      </w:r>
    </w:p>
    <w:p w14:paraId="3A314A3F" w14:textId="77777777" w:rsidR="005D1D9D" w:rsidRPr="00FA7AE1" w:rsidRDefault="00FA7AE1" w:rsidP="00FA7AE1">
      <w:pPr>
        <w:pStyle w:val="BodyText8"/>
        <w:spacing w:before="120" w:line="240" w:lineRule="auto"/>
        <w:ind w:left="1440" w:hanging="302"/>
        <w:jc w:val="left"/>
        <w:rPr>
          <w:rStyle w:val="BodyText21"/>
          <w:sz w:val="22"/>
        </w:rPr>
      </w:pPr>
      <w:r>
        <w:rPr>
          <w:rStyle w:val="BodyText21"/>
          <w:sz w:val="22"/>
        </w:rPr>
        <w:t xml:space="preserve">(b) </w:t>
      </w:r>
      <w:r w:rsidR="00524AAA" w:rsidRPr="00F852E7">
        <w:rPr>
          <w:rStyle w:val="BodyText21"/>
          <w:sz w:val="22"/>
        </w:rPr>
        <w:t>so much of any other money of the Corporation as the Minister determines in writing before that day to be required for the purposes of the Company vest in the Company by this subsection; and</w:t>
      </w:r>
    </w:p>
    <w:p w14:paraId="0FFA2D7A" w14:textId="77777777" w:rsidR="005D1D9D" w:rsidRPr="00FA7AE1" w:rsidRDefault="008A0F38" w:rsidP="00FA7AE1">
      <w:pPr>
        <w:pStyle w:val="BodyText8"/>
        <w:spacing w:before="120" w:line="240" w:lineRule="auto"/>
        <w:ind w:left="1440" w:hanging="302"/>
        <w:jc w:val="left"/>
        <w:rPr>
          <w:rStyle w:val="BodyText21"/>
          <w:sz w:val="22"/>
        </w:rPr>
      </w:pPr>
      <w:r>
        <w:rPr>
          <w:rStyle w:val="BodyText21"/>
          <w:sz w:val="22"/>
        </w:rPr>
        <w:t xml:space="preserve">(c) </w:t>
      </w:r>
      <w:r w:rsidR="00524AAA" w:rsidRPr="00F852E7">
        <w:rPr>
          <w:rStyle w:val="BodyText21"/>
          <w:sz w:val="22"/>
        </w:rPr>
        <w:t>any rights of the Corporation under contracts of insurance to which the Corporation was a party immediately before that day, and the ownership of those contracts and any associated documents, vest in the Commonwealth by this subsection; and</w:t>
      </w:r>
    </w:p>
    <w:p w14:paraId="0BAF6BF4" w14:textId="77777777" w:rsidR="005D1D9D" w:rsidRPr="00F852E7" w:rsidRDefault="00F32837" w:rsidP="00FA7AE1">
      <w:pPr>
        <w:pStyle w:val="BodyText8"/>
        <w:spacing w:before="120" w:line="240" w:lineRule="auto"/>
        <w:ind w:left="1440" w:hanging="302"/>
        <w:jc w:val="left"/>
        <w:rPr>
          <w:sz w:val="22"/>
        </w:rPr>
      </w:pPr>
      <w:r>
        <w:rPr>
          <w:rStyle w:val="BodyText21"/>
          <w:sz w:val="22"/>
        </w:rPr>
        <w:t xml:space="preserve">(d) </w:t>
      </w:r>
      <w:r w:rsidR="00524AAA" w:rsidRPr="00F852E7">
        <w:rPr>
          <w:rStyle w:val="BodyText21"/>
          <w:sz w:val="22"/>
        </w:rPr>
        <w:t>the Corporation’s other assets, wherever located, vest in the Company by this subsection; and</w:t>
      </w:r>
    </w:p>
    <w:p w14:paraId="63CD1FD1" w14:textId="77777777" w:rsidR="00412419" w:rsidRDefault="00412419">
      <w:pPr>
        <w:rPr>
          <w:rStyle w:val="Bodytext173"/>
          <w:rFonts w:eastAsia="Courier New"/>
          <w:i w:val="0"/>
          <w:iCs w:val="0"/>
          <w:sz w:val="22"/>
        </w:rPr>
        <w:sectPr w:rsidR="00412419" w:rsidSect="00C41E6B">
          <w:headerReference w:type="default" r:id="rId28"/>
          <w:pgSz w:w="12240" w:h="15840" w:code="1"/>
          <w:pgMar w:top="1440" w:right="1440" w:bottom="1440" w:left="1440" w:header="540" w:footer="577" w:gutter="0"/>
          <w:cols w:space="720"/>
          <w:noEndnote/>
          <w:docGrid w:linePitch="360"/>
        </w:sectPr>
      </w:pPr>
    </w:p>
    <w:p w14:paraId="4F4A8D43" w14:textId="77777777" w:rsidR="005D1D9D" w:rsidRPr="00F852E7" w:rsidRDefault="00512E73" w:rsidP="00512E73">
      <w:pPr>
        <w:pStyle w:val="BodyText8"/>
        <w:spacing w:before="120" w:line="240" w:lineRule="auto"/>
        <w:ind w:left="1440" w:hanging="302"/>
        <w:jc w:val="left"/>
        <w:rPr>
          <w:sz w:val="22"/>
        </w:rPr>
      </w:pPr>
      <w:r>
        <w:rPr>
          <w:rStyle w:val="BodyText21"/>
          <w:sz w:val="22"/>
        </w:rPr>
        <w:lastRenderedPageBreak/>
        <w:t xml:space="preserve">(e) </w:t>
      </w:r>
      <w:r w:rsidR="00524AAA" w:rsidRPr="00F852E7">
        <w:rPr>
          <w:rStyle w:val="BodyText21"/>
          <w:sz w:val="22"/>
        </w:rPr>
        <w:t>if the Corporation is liable to make a payment, in respect of a period on or after the transfer day, under a contract (including a lease) under which rights vest in the Company under paragraph (d), the liability to make the payment becomes a liability of the Company; and</w:t>
      </w:r>
    </w:p>
    <w:p w14:paraId="7A1A123C" w14:textId="77777777" w:rsidR="005D1D9D" w:rsidRPr="00F852E7" w:rsidRDefault="00512E73" w:rsidP="00512E73">
      <w:pPr>
        <w:pStyle w:val="BodyText8"/>
        <w:spacing w:before="120" w:line="240" w:lineRule="auto"/>
        <w:ind w:left="1440" w:hanging="302"/>
        <w:jc w:val="left"/>
        <w:rPr>
          <w:sz w:val="22"/>
        </w:rPr>
      </w:pPr>
      <w:r>
        <w:rPr>
          <w:rStyle w:val="BodyText21"/>
          <w:sz w:val="22"/>
        </w:rPr>
        <w:t xml:space="preserve">(f) </w:t>
      </w:r>
      <w:r w:rsidR="00524AAA" w:rsidRPr="00F852E7">
        <w:rPr>
          <w:rStyle w:val="BodyText21"/>
          <w:sz w:val="22"/>
        </w:rPr>
        <w:t>the Corporation’s other liabilities become liabilities of the Commonwealth.</w:t>
      </w:r>
    </w:p>
    <w:p w14:paraId="553A9243" w14:textId="77777777" w:rsidR="005D1D9D" w:rsidRPr="00F852E7" w:rsidRDefault="004637E8" w:rsidP="0097673E">
      <w:pPr>
        <w:pStyle w:val="BodyText8"/>
        <w:spacing w:before="120" w:line="240" w:lineRule="auto"/>
        <w:ind w:left="954" w:hanging="320"/>
        <w:jc w:val="left"/>
        <w:rPr>
          <w:sz w:val="22"/>
        </w:rPr>
      </w:pPr>
      <w:r>
        <w:rPr>
          <w:rStyle w:val="BodyText21"/>
          <w:sz w:val="22"/>
        </w:rPr>
        <w:t xml:space="preserve">(2) </w:t>
      </w:r>
      <w:r w:rsidR="00524AAA" w:rsidRPr="00F852E7">
        <w:rPr>
          <w:rStyle w:val="BodyText21"/>
          <w:sz w:val="22"/>
        </w:rPr>
        <w:t>The vesting of assets by this section has effect without the need for any conveyance, transfer, assignment or other assurance but this section does not preclude the use of any other method to transfer any of the Corporation’s assets to the Company or to the Commonwealth.</w:t>
      </w:r>
    </w:p>
    <w:p w14:paraId="430A07F4" w14:textId="77777777" w:rsidR="005D1D9D" w:rsidRPr="00F852E7" w:rsidRDefault="009065EC" w:rsidP="00775F7E">
      <w:pPr>
        <w:pStyle w:val="Bodytext140"/>
        <w:spacing w:before="120" w:after="60" w:line="240" w:lineRule="auto"/>
        <w:ind w:firstLine="0"/>
        <w:jc w:val="left"/>
        <w:rPr>
          <w:sz w:val="22"/>
        </w:rPr>
      </w:pPr>
      <w:r>
        <w:rPr>
          <w:rStyle w:val="Bodytext14Bold1"/>
          <w:sz w:val="22"/>
        </w:rPr>
        <w:t xml:space="preserve">8 </w:t>
      </w:r>
      <w:r w:rsidR="00524AAA" w:rsidRPr="00775F7E">
        <w:rPr>
          <w:rStyle w:val="Bodytext14Bold2"/>
          <w:sz w:val="22"/>
        </w:rPr>
        <w:t>Certain</w:t>
      </w:r>
      <w:r w:rsidR="00524AAA" w:rsidRPr="00F852E7">
        <w:rPr>
          <w:rStyle w:val="Bodytext14Bold1"/>
          <w:sz w:val="22"/>
        </w:rPr>
        <w:t xml:space="preserve"> instruments to continue in force</w:t>
      </w:r>
    </w:p>
    <w:p w14:paraId="72DFFFE4" w14:textId="77777777" w:rsidR="005D1D9D" w:rsidRPr="00F852E7" w:rsidRDefault="00BF7834" w:rsidP="00352E99">
      <w:pPr>
        <w:pStyle w:val="BodyText8"/>
        <w:spacing w:before="120" w:line="240" w:lineRule="auto"/>
        <w:ind w:left="951" w:hanging="317"/>
        <w:jc w:val="left"/>
        <w:rPr>
          <w:sz w:val="22"/>
        </w:rPr>
      </w:pPr>
      <w:r>
        <w:rPr>
          <w:rStyle w:val="BodyText21"/>
          <w:sz w:val="22"/>
        </w:rPr>
        <w:t xml:space="preserve">(1) </w:t>
      </w:r>
      <w:r w:rsidR="00524AAA" w:rsidRPr="00F852E7">
        <w:rPr>
          <w:rStyle w:val="BodyText21"/>
          <w:sz w:val="22"/>
        </w:rPr>
        <w:t>Subject to the regulations, on and after the transfer day each instrument (including a legislative instrument other than this Act and the Housing Loans Insurance Act) that was in force immediately before that day:</w:t>
      </w:r>
    </w:p>
    <w:p w14:paraId="1668CF62" w14:textId="77777777" w:rsidR="005D1D9D" w:rsidRPr="00F852E7" w:rsidRDefault="002855A4" w:rsidP="005A7F8E">
      <w:pPr>
        <w:pStyle w:val="BodyText8"/>
        <w:spacing w:before="120" w:line="240" w:lineRule="auto"/>
        <w:ind w:left="1080" w:firstLine="0"/>
        <w:jc w:val="left"/>
        <w:rPr>
          <w:sz w:val="22"/>
        </w:rPr>
      </w:pPr>
      <w:r>
        <w:rPr>
          <w:rStyle w:val="BodyText21"/>
          <w:sz w:val="22"/>
        </w:rPr>
        <w:t xml:space="preserve">(a) </w:t>
      </w:r>
      <w:r w:rsidR="00524AAA" w:rsidRPr="00F852E7">
        <w:rPr>
          <w:rStyle w:val="BodyText21"/>
          <w:sz w:val="22"/>
        </w:rPr>
        <w:t>to which the Corporation was a party; or</w:t>
      </w:r>
    </w:p>
    <w:p w14:paraId="4DE89853" w14:textId="77777777" w:rsidR="005D1D9D" w:rsidRPr="00F852E7" w:rsidRDefault="003001C8" w:rsidP="003001C8">
      <w:pPr>
        <w:pStyle w:val="BodyText8"/>
        <w:spacing w:before="120" w:line="240" w:lineRule="auto"/>
        <w:ind w:left="1080" w:firstLine="0"/>
        <w:jc w:val="left"/>
        <w:rPr>
          <w:sz w:val="22"/>
        </w:rPr>
      </w:pPr>
      <w:r>
        <w:rPr>
          <w:rStyle w:val="BodyText21"/>
          <w:sz w:val="22"/>
        </w:rPr>
        <w:t xml:space="preserve">(b) </w:t>
      </w:r>
      <w:r w:rsidR="00524AAA" w:rsidRPr="00F852E7">
        <w:rPr>
          <w:rStyle w:val="BodyText21"/>
          <w:sz w:val="22"/>
        </w:rPr>
        <w:t>that refers to the Corporation;</w:t>
      </w:r>
    </w:p>
    <w:p w14:paraId="6F288B0E" w14:textId="77777777" w:rsidR="005D1D9D" w:rsidRPr="00F852E7" w:rsidRDefault="00524AAA" w:rsidP="00931F91">
      <w:pPr>
        <w:pStyle w:val="BodyText8"/>
        <w:spacing w:before="120" w:line="240" w:lineRule="auto"/>
        <w:ind w:left="990" w:firstLine="0"/>
        <w:jc w:val="left"/>
        <w:rPr>
          <w:sz w:val="22"/>
        </w:rPr>
      </w:pPr>
      <w:r w:rsidRPr="00F852E7">
        <w:rPr>
          <w:rStyle w:val="BodyText21"/>
          <w:sz w:val="22"/>
        </w:rPr>
        <w:t>continues to have effect according to its terms, but a reference in the instrument to the Corporation is taken (except in relation to matters that occurred before that day) to be a reference:</w:t>
      </w:r>
    </w:p>
    <w:p w14:paraId="016B8F4D" w14:textId="77777777" w:rsidR="005D1D9D" w:rsidRPr="00F852E7" w:rsidRDefault="00931F91" w:rsidP="00931F91">
      <w:pPr>
        <w:pStyle w:val="BodyText8"/>
        <w:spacing w:before="120" w:line="240" w:lineRule="auto"/>
        <w:ind w:left="1350" w:hanging="270"/>
        <w:jc w:val="left"/>
        <w:rPr>
          <w:sz w:val="22"/>
        </w:rPr>
      </w:pPr>
      <w:r>
        <w:rPr>
          <w:rStyle w:val="BodyText21"/>
          <w:sz w:val="22"/>
        </w:rPr>
        <w:t xml:space="preserve">(c) </w:t>
      </w:r>
      <w:r w:rsidR="00524AAA" w:rsidRPr="00F852E7">
        <w:rPr>
          <w:rStyle w:val="BodyText21"/>
          <w:sz w:val="22"/>
        </w:rPr>
        <w:t>if the instrument is a legislative instrument or a contract of insurance—to the Commonwealth; or</w:t>
      </w:r>
    </w:p>
    <w:p w14:paraId="16653027" w14:textId="77777777" w:rsidR="005D1D9D" w:rsidRPr="00F852E7" w:rsidRDefault="00931F91" w:rsidP="00931F91">
      <w:pPr>
        <w:pStyle w:val="BodyText8"/>
        <w:spacing w:before="120" w:line="240" w:lineRule="auto"/>
        <w:ind w:left="1350" w:hanging="270"/>
        <w:jc w:val="left"/>
        <w:rPr>
          <w:sz w:val="22"/>
        </w:rPr>
      </w:pPr>
      <w:r>
        <w:rPr>
          <w:rStyle w:val="BodyText21"/>
          <w:sz w:val="22"/>
        </w:rPr>
        <w:t xml:space="preserve">(d) </w:t>
      </w:r>
      <w:r w:rsidR="00524AAA" w:rsidRPr="00F852E7">
        <w:rPr>
          <w:rStyle w:val="BodyText21"/>
          <w:sz w:val="22"/>
        </w:rPr>
        <w:t>otherwise—to the Company.</w:t>
      </w:r>
    </w:p>
    <w:p w14:paraId="42F4FDF8" w14:textId="77777777" w:rsidR="005D1D9D" w:rsidRPr="00F852E7" w:rsidRDefault="00E224E7" w:rsidP="00E224E7">
      <w:pPr>
        <w:pStyle w:val="BodyText8"/>
        <w:spacing w:before="120" w:line="240" w:lineRule="auto"/>
        <w:ind w:left="951" w:hanging="317"/>
        <w:jc w:val="left"/>
        <w:rPr>
          <w:sz w:val="22"/>
        </w:rPr>
      </w:pPr>
      <w:r>
        <w:rPr>
          <w:rStyle w:val="BodyText21"/>
          <w:sz w:val="22"/>
        </w:rPr>
        <w:t xml:space="preserve">(2) </w:t>
      </w:r>
      <w:r w:rsidR="00524AAA" w:rsidRPr="00F852E7">
        <w:rPr>
          <w:rStyle w:val="BodyText21"/>
          <w:sz w:val="22"/>
        </w:rPr>
        <w:t>Nothing in this section limits, or is limited by, anything in section 7.</w:t>
      </w:r>
    </w:p>
    <w:p w14:paraId="4BBFE21B" w14:textId="77777777" w:rsidR="005D1D9D" w:rsidRPr="00F852E7" w:rsidRDefault="00A94308" w:rsidP="00775F7E">
      <w:pPr>
        <w:pStyle w:val="Bodytext140"/>
        <w:spacing w:before="120" w:after="60" w:line="240" w:lineRule="auto"/>
        <w:ind w:firstLine="0"/>
        <w:jc w:val="left"/>
        <w:rPr>
          <w:sz w:val="22"/>
        </w:rPr>
      </w:pPr>
      <w:r>
        <w:rPr>
          <w:rStyle w:val="Bodytext14Bold1"/>
          <w:sz w:val="22"/>
        </w:rPr>
        <w:t xml:space="preserve">9 </w:t>
      </w:r>
      <w:r w:rsidR="00524AAA" w:rsidRPr="00775F7E">
        <w:rPr>
          <w:rStyle w:val="Bodytext14Bold2"/>
          <w:sz w:val="22"/>
        </w:rPr>
        <w:t>Pending</w:t>
      </w:r>
      <w:r w:rsidR="00524AAA" w:rsidRPr="00F852E7">
        <w:rPr>
          <w:rStyle w:val="Bodytext14Bold1"/>
          <w:sz w:val="22"/>
        </w:rPr>
        <w:t xml:space="preserve"> proceedings</w:t>
      </w:r>
    </w:p>
    <w:p w14:paraId="1B520139" w14:textId="77777777" w:rsidR="005C57BC" w:rsidRDefault="00524AAA" w:rsidP="007356E9">
      <w:pPr>
        <w:pStyle w:val="BodyText8"/>
        <w:spacing w:before="120" w:line="240" w:lineRule="auto"/>
        <w:ind w:left="994" w:firstLine="0"/>
        <w:jc w:val="left"/>
        <w:rPr>
          <w:rStyle w:val="BodyText21"/>
          <w:sz w:val="22"/>
        </w:rPr>
      </w:pPr>
      <w:r w:rsidRPr="00F852E7">
        <w:rPr>
          <w:rStyle w:val="BodyText21"/>
          <w:sz w:val="22"/>
        </w:rPr>
        <w:t>If, immediately before the transfer day, proceedings to which the Corporation was a party (including any proceedings that relate to an instrument to which section 8 applies) were pending in or before a court or tribunal, then, on and after that day, the Commonwealth is substituted for the Corporation as a party to the proceedings.</w:t>
      </w:r>
    </w:p>
    <w:p w14:paraId="3405B243" w14:textId="77777777" w:rsidR="00412419" w:rsidRDefault="00412419">
      <w:pPr>
        <w:rPr>
          <w:rStyle w:val="BodyText21"/>
          <w:rFonts w:eastAsia="Courier New"/>
          <w:sz w:val="22"/>
        </w:rPr>
        <w:sectPr w:rsidR="00412419" w:rsidSect="00C41E6B">
          <w:headerReference w:type="even" r:id="rId29"/>
          <w:pgSz w:w="12240" w:h="15840" w:code="1"/>
          <w:pgMar w:top="1440" w:right="1440" w:bottom="1440" w:left="1440" w:header="540" w:footer="487" w:gutter="0"/>
          <w:cols w:space="720"/>
          <w:noEndnote/>
          <w:docGrid w:linePitch="360"/>
        </w:sectPr>
      </w:pPr>
    </w:p>
    <w:p w14:paraId="599483EA" w14:textId="752855E8" w:rsidR="005D1D9D" w:rsidRPr="00ED2AD4" w:rsidRDefault="00524AAA" w:rsidP="001D1849">
      <w:pPr>
        <w:spacing w:before="120"/>
        <w:rPr>
          <w:rFonts w:ascii="Times New Roman" w:hAnsi="Times New Roman" w:cs="Times New Roman"/>
          <w:b/>
          <w:sz w:val="26"/>
          <w:szCs w:val="26"/>
        </w:rPr>
      </w:pPr>
      <w:bookmarkStart w:id="6" w:name="bookmark6"/>
      <w:r w:rsidRPr="00ED2AD4">
        <w:rPr>
          <w:rFonts w:ascii="Times New Roman" w:hAnsi="Times New Roman" w:cs="Times New Roman"/>
          <w:b/>
          <w:sz w:val="26"/>
          <w:szCs w:val="26"/>
        </w:rPr>
        <w:lastRenderedPageBreak/>
        <w:t>Part 3—Management of pre-transfer contracts</w:t>
      </w:r>
      <w:bookmarkEnd w:id="6"/>
    </w:p>
    <w:p w14:paraId="31957E1A" w14:textId="77777777" w:rsidR="005D1D9D" w:rsidRPr="00F852E7" w:rsidRDefault="00A95865" w:rsidP="00161AFB">
      <w:pPr>
        <w:pStyle w:val="Bodytext140"/>
        <w:spacing w:before="120" w:after="60" w:line="240" w:lineRule="auto"/>
        <w:ind w:left="990" w:hanging="990"/>
        <w:jc w:val="left"/>
      </w:pPr>
      <w:bookmarkStart w:id="7" w:name="bookmark7"/>
      <w:r>
        <w:rPr>
          <w:rStyle w:val="Heading4Bold"/>
          <w:rFonts w:eastAsia="Courier New"/>
          <w:sz w:val="22"/>
        </w:rPr>
        <w:t xml:space="preserve">10 </w:t>
      </w:r>
      <w:r w:rsidR="00524AAA" w:rsidRPr="00775F7E">
        <w:rPr>
          <w:rStyle w:val="Bodytext14Bold2"/>
          <w:rFonts w:eastAsia="Courier New"/>
          <w:sz w:val="22"/>
        </w:rPr>
        <w:t>Agreement</w:t>
      </w:r>
      <w:r w:rsidR="00524AAA" w:rsidRPr="00F852E7">
        <w:rPr>
          <w:rStyle w:val="Heading4Bold"/>
          <w:rFonts w:eastAsia="Courier New"/>
          <w:sz w:val="22"/>
        </w:rPr>
        <w:t xml:space="preserve"> between the Commonwealth and the Company for</w:t>
      </w:r>
      <w:bookmarkStart w:id="8" w:name="bookmark8"/>
      <w:bookmarkEnd w:id="7"/>
      <w:r w:rsidR="00161AFB">
        <w:rPr>
          <w:rStyle w:val="Heading4Bold"/>
          <w:rFonts w:eastAsia="Courier New"/>
          <w:sz w:val="22"/>
        </w:rPr>
        <w:t xml:space="preserve"> </w:t>
      </w:r>
      <w:r w:rsidR="00524AAA" w:rsidRPr="00F852E7">
        <w:rPr>
          <w:rStyle w:val="Heading4Bold"/>
          <w:rFonts w:eastAsia="Courier New"/>
          <w:sz w:val="22"/>
        </w:rPr>
        <w:t>management of pre-transfer contracts and establishment of Insurance Account</w:t>
      </w:r>
      <w:bookmarkEnd w:id="8"/>
    </w:p>
    <w:p w14:paraId="4F1379F8" w14:textId="3A2A0A81" w:rsidR="005D1D9D" w:rsidRPr="00F852E7" w:rsidRDefault="002C747F" w:rsidP="005A7F8E">
      <w:pPr>
        <w:pStyle w:val="BodyText8"/>
        <w:spacing w:before="120" w:line="240" w:lineRule="auto"/>
        <w:ind w:left="990" w:hanging="356"/>
        <w:jc w:val="left"/>
        <w:rPr>
          <w:sz w:val="22"/>
        </w:rPr>
      </w:pPr>
      <w:r>
        <w:rPr>
          <w:rStyle w:val="BodyText21"/>
          <w:sz w:val="22"/>
        </w:rPr>
        <w:t xml:space="preserve">(1) </w:t>
      </w:r>
      <w:r w:rsidR="00524AAA" w:rsidRPr="00F852E7">
        <w:rPr>
          <w:rStyle w:val="BodyText21"/>
          <w:sz w:val="22"/>
        </w:rPr>
        <w:t xml:space="preserve">The Commonwealth may enter into an agreement (the </w:t>
      </w:r>
      <w:r w:rsidR="00524AAA" w:rsidRPr="00F852E7">
        <w:rPr>
          <w:rStyle w:val="BodytextBold2"/>
          <w:sz w:val="22"/>
        </w:rPr>
        <w:t>management agreement</w:t>
      </w:r>
      <w:r w:rsidR="00524AAA" w:rsidRPr="00ED2AD4">
        <w:rPr>
          <w:rStyle w:val="BodytextBold3"/>
          <w:b w:val="0"/>
          <w:sz w:val="22"/>
        </w:rPr>
        <w:t>)</w:t>
      </w:r>
      <w:r w:rsidR="00524AAA" w:rsidRPr="00F852E7">
        <w:rPr>
          <w:rStyle w:val="BodyText21"/>
          <w:sz w:val="22"/>
        </w:rPr>
        <w:t xml:space="preserve"> with the Company under which, on and after the transfer day, the Company will, on behalf of the Commonwealth, manage all pre-transfer contracts during a period (the </w:t>
      </w:r>
      <w:r w:rsidR="00524AAA" w:rsidRPr="00F852E7">
        <w:rPr>
          <w:rStyle w:val="BodytextBold2"/>
          <w:sz w:val="22"/>
        </w:rPr>
        <w:t>management period</w:t>
      </w:r>
      <w:r w:rsidR="00524AAA" w:rsidRPr="00ED2AD4">
        <w:rPr>
          <w:rStyle w:val="BodytextItalic0"/>
          <w:i w:val="0"/>
          <w:sz w:val="22"/>
        </w:rPr>
        <w:t>)</w:t>
      </w:r>
      <w:r w:rsidR="00524AAA" w:rsidRPr="00F852E7">
        <w:rPr>
          <w:rStyle w:val="BodyText42"/>
          <w:sz w:val="22"/>
        </w:rPr>
        <w:t>:</w:t>
      </w:r>
    </w:p>
    <w:p w14:paraId="393B06B8" w14:textId="77777777" w:rsidR="005D1D9D" w:rsidRPr="00F852E7" w:rsidRDefault="00DE3B55" w:rsidP="00C85522">
      <w:pPr>
        <w:pStyle w:val="BodyText8"/>
        <w:spacing w:before="120" w:line="240" w:lineRule="auto"/>
        <w:ind w:left="1080" w:firstLine="0"/>
        <w:jc w:val="left"/>
        <w:rPr>
          <w:sz w:val="22"/>
        </w:rPr>
      </w:pPr>
      <w:r>
        <w:rPr>
          <w:rStyle w:val="BodyText21"/>
          <w:sz w:val="22"/>
        </w:rPr>
        <w:t xml:space="preserve">(a) </w:t>
      </w:r>
      <w:r w:rsidR="00524AAA" w:rsidRPr="00F852E7">
        <w:rPr>
          <w:rStyle w:val="BodyText21"/>
          <w:sz w:val="22"/>
        </w:rPr>
        <w:t>that begins on the transfer day; and</w:t>
      </w:r>
    </w:p>
    <w:p w14:paraId="287DA2B4" w14:textId="77777777" w:rsidR="005D1D9D" w:rsidRPr="00F852E7" w:rsidRDefault="00462161" w:rsidP="00C85522">
      <w:pPr>
        <w:pStyle w:val="BodyText8"/>
        <w:spacing w:before="120" w:line="240" w:lineRule="auto"/>
        <w:ind w:left="1080" w:firstLine="0"/>
        <w:jc w:val="left"/>
        <w:rPr>
          <w:sz w:val="22"/>
        </w:rPr>
      </w:pPr>
      <w:r>
        <w:rPr>
          <w:rStyle w:val="BodyText21"/>
          <w:sz w:val="22"/>
        </w:rPr>
        <w:t xml:space="preserve">(b) </w:t>
      </w:r>
      <w:r w:rsidR="00524AAA" w:rsidRPr="00F852E7">
        <w:rPr>
          <w:rStyle w:val="BodyText21"/>
          <w:sz w:val="22"/>
        </w:rPr>
        <w:t>whose length is stated in, or is to be worked out in accordance with, the agreement.</w:t>
      </w:r>
    </w:p>
    <w:p w14:paraId="76D78F68" w14:textId="77777777" w:rsidR="005D1D9D" w:rsidRPr="00F852E7" w:rsidRDefault="000A4DAE" w:rsidP="000A4DAE">
      <w:pPr>
        <w:pStyle w:val="BodyText8"/>
        <w:spacing w:before="120" w:line="240" w:lineRule="auto"/>
        <w:ind w:left="990" w:hanging="356"/>
        <w:jc w:val="left"/>
        <w:rPr>
          <w:sz w:val="22"/>
        </w:rPr>
      </w:pPr>
      <w:r>
        <w:rPr>
          <w:rStyle w:val="BodyText21"/>
          <w:sz w:val="22"/>
        </w:rPr>
        <w:t xml:space="preserve">(2) </w:t>
      </w:r>
      <w:r w:rsidR="00524AAA" w:rsidRPr="00F852E7">
        <w:rPr>
          <w:rStyle w:val="BodyText21"/>
          <w:sz w:val="22"/>
        </w:rPr>
        <w:t>During the management period the Company is entitled to custody of the pre-transfer contracts and any associated documents but any person appointed by the Minister for the purpose is entitled to access to those contracts and associated documents while they are in the Company’s custody.</w:t>
      </w:r>
    </w:p>
    <w:p w14:paraId="46A57594" w14:textId="27E640ED" w:rsidR="005D1D9D" w:rsidRPr="00F852E7" w:rsidRDefault="005A7309" w:rsidP="00AC6ED1">
      <w:pPr>
        <w:pStyle w:val="BodyText8"/>
        <w:spacing w:before="120" w:line="240" w:lineRule="auto"/>
        <w:ind w:left="990" w:hanging="356"/>
        <w:jc w:val="left"/>
        <w:rPr>
          <w:sz w:val="22"/>
        </w:rPr>
      </w:pPr>
      <w:r>
        <w:rPr>
          <w:rStyle w:val="BodyText21"/>
          <w:sz w:val="22"/>
        </w:rPr>
        <w:t xml:space="preserve">(3) </w:t>
      </w:r>
      <w:r w:rsidR="00524AAA" w:rsidRPr="00F852E7">
        <w:rPr>
          <w:rStyle w:val="BodyText21"/>
          <w:sz w:val="22"/>
        </w:rPr>
        <w:t xml:space="preserve">The management agreement is to provide that, throughout the management period, the Company is to keep an account (the </w:t>
      </w:r>
      <w:r w:rsidR="00524AAA" w:rsidRPr="00F852E7">
        <w:rPr>
          <w:rStyle w:val="BodytextBold2"/>
          <w:sz w:val="22"/>
        </w:rPr>
        <w:t>Insurance Account</w:t>
      </w:r>
      <w:r w:rsidR="00524AAA" w:rsidRPr="00ED2AD4">
        <w:rPr>
          <w:rStyle w:val="BodytextItalic0"/>
          <w:i w:val="0"/>
          <w:sz w:val="22"/>
        </w:rPr>
        <w:t>)</w:t>
      </w:r>
      <w:r w:rsidR="00524AAA" w:rsidRPr="00F852E7">
        <w:rPr>
          <w:rStyle w:val="BodyText21"/>
          <w:sz w:val="22"/>
        </w:rPr>
        <w:t xml:space="preserve"> with a bank nominated for the purpose in the agreement.</w:t>
      </w:r>
    </w:p>
    <w:p w14:paraId="549C7EB7" w14:textId="4AB9E61E" w:rsidR="005D1D9D" w:rsidRPr="00F852E7" w:rsidRDefault="009524BE" w:rsidP="00D850D9">
      <w:pPr>
        <w:pStyle w:val="BodyText8"/>
        <w:spacing w:before="120" w:line="240" w:lineRule="auto"/>
        <w:ind w:left="990" w:hanging="356"/>
        <w:jc w:val="left"/>
        <w:rPr>
          <w:sz w:val="22"/>
        </w:rPr>
      </w:pPr>
      <w:r>
        <w:rPr>
          <w:rStyle w:val="BodyText21"/>
          <w:sz w:val="22"/>
        </w:rPr>
        <w:t xml:space="preserve">(4) </w:t>
      </w:r>
      <w:r w:rsidR="00524AAA" w:rsidRPr="00F852E7">
        <w:rPr>
          <w:rStyle w:val="BodyText21"/>
          <w:sz w:val="22"/>
        </w:rPr>
        <w:t xml:space="preserve">The Company is entitled to access to any of the Corporation’s records that are in the custody of the Australian Archives, including records that are exempt records under the </w:t>
      </w:r>
      <w:r w:rsidR="00524AAA" w:rsidRPr="00F852E7">
        <w:rPr>
          <w:rStyle w:val="BodytextItalic0"/>
          <w:sz w:val="22"/>
        </w:rPr>
        <w:t>Archives Act 1983</w:t>
      </w:r>
      <w:r w:rsidR="00524AAA" w:rsidRPr="00ED2AD4">
        <w:rPr>
          <w:rStyle w:val="BodytextItalic0"/>
          <w:i w:val="0"/>
          <w:sz w:val="22"/>
        </w:rPr>
        <w:t>,</w:t>
      </w:r>
      <w:r w:rsidR="00524AAA" w:rsidRPr="00F852E7">
        <w:rPr>
          <w:rStyle w:val="BodyText21"/>
          <w:sz w:val="22"/>
        </w:rPr>
        <w:t xml:space="preserve"> if access to the records is necessary to obtain information:</w:t>
      </w:r>
    </w:p>
    <w:p w14:paraId="12B6050E" w14:textId="77777777" w:rsidR="005D1D9D" w:rsidRPr="00F852E7" w:rsidRDefault="00741068" w:rsidP="00741068">
      <w:pPr>
        <w:pStyle w:val="BodyText8"/>
        <w:spacing w:before="120" w:line="240" w:lineRule="auto"/>
        <w:ind w:left="1080" w:firstLine="0"/>
        <w:jc w:val="left"/>
        <w:rPr>
          <w:sz w:val="22"/>
        </w:rPr>
      </w:pPr>
      <w:r>
        <w:rPr>
          <w:rStyle w:val="BodyText21"/>
          <w:sz w:val="22"/>
        </w:rPr>
        <w:t xml:space="preserve">(a) </w:t>
      </w:r>
      <w:r w:rsidR="00524AAA" w:rsidRPr="00F852E7">
        <w:rPr>
          <w:rStyle w:val="BodyText21"/>
          <w:sz w:val="22"/>
        </w:rPr>
        <w:t>that relates to the business carried on by the Corporation before the transfer day; and</w:t>
      </w:r>
    </w:p>
    <w:p w14:paraId="6BECA401" w14:textId="77777777" w:rsidR="005D1D9D" w:rsidRPr="00F852E7" w:rsidRDefault="00741068" w:rsidP="00741068">
      <w:pPr>
        <w:pStyle w:val="BodyText8"/>
        <w:spacing w:before="120" w:line="240" w:lineRule="auto"/>
        <w:ind w:left="1080" w:firstLine="0"/>
        <w:jc w:val="left"/>
        <w:rPr>
          <w:sz w:val="22"/>
        </w:rPr>
      </w:pPr>
      <w:r>
        <w:rPr>
          <w:rStyle w:val="BodyText21"/>
          <w:sz w:val="22"/>
        </w:rPr>
        <w:t xml:space="preserve">(b) </w:t>
      </w:r>
      <w:r w:rsidR="00524AAA" w:rsidRPr="00F852E7">
        <w:rPr>
          <w:rStyle w:val="BodyText21"/>
          <w:sz w:val="22"/>
        </w:rPr>
        <w:t>is for use in the management of pre-transfer contracts.</w:t>
      </w:r>
    </w:p>
    <w:p w14:paraId="705CA3DC" w14:textId="77777777" w:rsidR="005D1D9D" w:rsidRPr="00F852E7" w:rsidRDefault="004D1624" w:rsidP="00775F7E">
      <w:pPr>
        <w:pStyle w:val="Bodytext140"/>
        <w:spacing w:before="120" w:after="60" w:line="240" w:lineRule="auto"/>
        <w:ind w:firstLine="0"/>
        <w:jc w:val="left"/>
      </w:pPr>
      <w:bookmarkStart w:id="9" w:name="bookmark9"/>
      <w:r>
        <w:rPr>
          <w:rStyle w:val="Heading4Bold"/>
          <w:rFonts w:eastAsia="Courier New"/>
          <w:sz w:val="22"/>
        </w:rPr>
        <w:t xml:space="preserve">11 </w:t>
      </w:r>
      <w:r w:rsidR="00524AAA" w:rsidRPr="00775F7E">
        <w:rPr>
          <w:rStyle w:val="Bodytext14Bold2"/>
          <w:rFonts w:eastAsia="Courier New"/>
          <w:sz w:val="22"/>
        </w:rPr>
        <w:t>Guarantee</w:t>
      </w:r>
      <w:r w:rsidR="00524AAA" w:rsidRPr="00F852E7">
        <w:rPr>
          <w:rStyle w:val="Heading4Bold"/>
          <w:rFonts w:eastAsia="Courier New"/>
          <w:sz w:val="22"/>
        </w:rPr>
        <w:t xml:space="preserve"> by Commonwealth</w:t>
      </w:r>
      <w:bookmarkEnd w:id="9"/>
    </w:p>
    <w:p w14:paraId="2D072589" w14:textId="77777777" w:rsidR="005D1D9D" w:rsidRPr="00F852E7" w:rsidRDefault="00524AAA" w:rsidP="007D0577">
      <w:pPr>
        <w:pStyle w:val="BodyText8"/>
        <w:spacing w:before="120" w:line="240" w:lineRule="auto"/>
        <w:ind w:left="994" w:firstLine="0"/>
        <w:jc w:val="left"/>
        <w:rPr>
          <w:sz w:val="22"/>
        </w:rPr>
      </w:pPr>
      <w:r w:rsidRPr="00F852E7">
        <w:rPr>
          <w:rStyle w:val="BodyText21"/>
          <w:sz w:val="22"/>
        </w:rPr>
        <w:t>The Commonwealth guarantees the payment of all money payable under pre-transfer contracts to persons insured under them.</w:t>
      </w:r>
    </w:p>
    <w:p w14:paraId="0637C0EE" w14:textId="77777777" w:rsidR="005D1D9D" w:rsidRPr="00F852E7" w:rsidRDefault="007D07DD" w:rsidP="00775F7E">
      <w:pPr>
        <w:pStyle w:val="Bodytext140"/>
        <w:spacing w:before="120" w:after="60" w:line="240" w:lineRule="auto"/>
        <w:ind w:firstLine="0"/>
        <w:jc w:val="left"/>
      </w:pPr>
      <w:bookmarkStart w:id="10" w:name="bookmark10"/>
      <w:r>
        <w:rPr>
          <w:rStyle w:val="Heading4Bold"/>
          <w:rFonts w:eastAsia="Courier New"/>
          <w:sz w:val="22"/>
        </w:rPr>
        <w:t xml:space="preserve">12 </w:t>
      </w:r>
      <w:r w:rsidR="00524AAA" w:rsidRPr="00775F7E">
        <w:rPr>
          <w:rStyle w:val="Bodytext14Bold2"/>
          <w:rFonts w:eastAsia="Courier New"/>
          <w:sz w:val="22"/>
        </w:rPr>
        <w:t>Payments</w:t>
      </w:r>
      <w:r w:rsidR="00524AAA" w:rsidRPr="00F852E7">
        <w:rPr>
          <w:rStyle w:val="Heading4Bold"/>
          <w:rFonts w:eastAsia="Courier New"/>
          <w:sz w:val="22"/>
        </w:rPr>
        <w:t xml:space="preserve"> into Insurance Account</w:t>
      </w:r>
      <w:bookmarkEnd w:id="10"/>
    </w:p>
    <w:p w14:paraId="23F11ADE" w14:textId="77777777" w:rsidR="005D1D9D" w:rsidRPr="00F852E7" w:rsidRDefault="008E7FD1" w:rsidP="00D16CE5">
      <w:pPr>
        <w:pStyle w:val="BodyText8"/>
        <w:spacing w:before="120" w:line="240" w:lineRule="auto"/>
        <w:ind w:left="999" w:hanging="365"/>
        <w:jc w:val="left"/>
        <w:rPr>
          <w:sz w:val="22"/>
        </w:rPr>
      </w:pPr>
      <w:r>
        <w:rPr>
          <w:rStyle w:val="BodyText21"/>
          <w:sz w:val="22"/>
        </w:rPr>
        <w:t xml:space="preserve">(1) </w:t>
      </w:r>
      <w:r w:rsidR="00524AAA" w:rsidRPr="00F852E7">
        <w:rPr>
          <w:rStyle w:val="BodyText21"/>
          <w:sz w:val="22"/>
        </w:rPr>
        <w:t>There are payable into the Insurance Account from time to time any amounts that the Minister considers necessary to enable the making of payments that the Commonwealth is liable to make under pre-transfer contracts during the management period.</w:t>
      </w:r>
    </w:p>
    <w:p w14:paraId="73A07729" w14:textId="77777777" w:rsidR="00412419" w:rsidRDefault="00412419">
      <w:pPr>
        <w:rPr>
          <w:rStyle w:val="Bodytext173"/>
          <w:rFonts w:eastAsia="Courier New"/>
          <w:i w:val="0"/>
          <w:iCs w:val="0"/>
          <w:sz w:val="22"/>
        </w:rPr>
        <w:sectPr w:rsidR="00412419" w:rsidSect="00C41E6B">
          <w:headerReference w:type="default" r:id="rId30"/>
          <w:pgSz w:w="12240" w:h="15840" w:code="1"/>
          <w:pgMar w:top="1440" w:right="1440" w:bottom="1440" w:left="1440" w:header="540" w:footer="489" w:gutter="0"/>
          <w:cols w:space="720"/>
          <w:noEndnote/>
          <w:docGrid w:linePitch="360"/>
        </w:sectPr>
      </w:pPr>
    </w:p>
    <w:p w14:paraId="6E0848CB" w14:textId="77777777" w:rsidR="005D1D9D" w:rsidRPr="00F852E7" w:rsidRDefault="00E003D4" w:rsidP="004C20F4">
      <w:pPr>
        <w:pStyle w:val="BodyText8"/>
        <w:spacing w:before="120" w:line="240" w:lineRule="auto"/>
        <w:ind w:left="990" w:hanging="356"/>
        <w:jc w:val="left"/>
        <w:rPr>
          <w:sz w:val="22"/>
        </w:rPr>
      </w:pPr>
      <w:r>
        <w:rPr>
          <w:rStyle w:val="BodyText52"/>
          <w:sz w:val="22"/>
        </w:rPr>
        <w:lastRenderedPageBreak/>
        <w:t xml:space="preserve">(2) </w:t>
      </w:r>
      <w:r w:rsidR="00524AAA" w:rsidRPr="00F852E7">
        <w:rPr>
          <w:rStyle w:val="BodyText52"/>
          <w:sz w:val="22"/>
        </w:rPr>
        <w:t>Amounts payable into the Insurance Account under subsection (1) are payable out of the Consolidated Revenue Fund, which is appropriated accordingly.</w:t>
      </w:r>
    </w:p>
    <w:p w14:paraId="4EDD78F9" w14:textId="77777777" w:rsidR="005D1D9D" w:rsidRPr="00F852E7" w:rsidRDefault="00EA546E" w:rsidP="00775F7E">
      <w:pPr>
        <w:pStyle w:val="Bodytext140"/>
        <w:spacing w:before="120" w:after="60" w:line="240" w:lineRule="auto"/>
        <w:ind w:firstLine="0"/>
        <w:jc w:val="left"/>
      </w:pPr>
      <w:bookmarkStart w:id="11" w:name="bookmark11"/>
      <w:r>
        <w:rPr>
          <w:rStyle w:val="Heading32Bold"/>
          <w:rFonts w:eastAsia="Courier New"/>
          <w:sz w:val="22"/>
        </w:rPr>
        <w:t xml:space="preserve">13 </w:t>
      </w:r>
      <w:r w:rsidR="00524AAA" w:rsidRPr="00775F7E">
        <w:rPr>
          <w:rStyle w:val="Bodytext14Bold2"/>
          <w:rFonts w:eastAsia="Courier New"/>
          <w:sz w:val="22"/>
        </w:rPr>
        <w:t>Payments</w:t>
      </w:r>
      <w:r w:rsidR="00524AAA" w:rsidRPr="00F852E7">
        <w:rPr>
          <w:rStyle w:val="Heading32Bold"/>
          <w:rFonts w:eastAsia="Courier New"/>
          <w:sz w:val="22"/>
        </w:rPr>
        <w:t xml:space="preserve"> out of Insurance Account</w:t>
      </w:r>
      <w:bookmarkEnd w:id="11"/>
    </w:p>
    <w:p w14:paraId="2176D195" w14:textId="77777777" w:rsidR="005D1D9D" w:rsidRPr="00F852E7" w:rsidRDefault="004A1ED9" w:rsidP="004A1ED9">
      <w:pPr>
        <w:pStyle w:val="BodyText8"/>
        <w:spacing w:before="120" w:line="240" w:lineRule="auto"/>
        <w:ind w:left="990" w:hanging="356"/>
        <w:jc w:val="left"/>
        <w:rPr>
          <w:sz w:val="22"/>
        </w:rPr>
      </w:pPr>
      <w:r>
        <w:rPr>
          <w:rStyle w:val="BodyText52"/>
          <w:sz w:val="22"/>
        </w:rPr>
        <w:t xml:space="preserve">(1) </w:t>
      </w:r>
      <w:r w:rsidR="00524AAA" w:rsidRPr="00F852E7">
        <w:rPr>
          <w:rStyle w:val="BodyText52"/>
          <w:sz w:val="22"/>
        </w:rPr>
        <w:t>Money is not to be paid out of the Insurance Account except in accordance with this section.</w:t>
      </w:r>
    </w:p>
    <w:p w14:paraId="665314E6" w14:textId="77777777" w:rsidR="005D1D9D" w:rsidRPr="00F852E7" w:rsidRDefault="00E87D92" w:rsidP="004A1ED9">
      <w:pPr>
        <w:pStyle w:val="BodyText8"/>
        <w:spacing w:before="120" w:line="240" w:lineRule="auto"/>
        <w:ind w:left="990" w:hanging="356"/>
        <w:jc w:val="left"/>
        <w:rPr>
          <w:sz w:val="22"/>
        </w:rPr>
      </w:pPr>
      <w:r>
        <w:rPr>
          <w:rStyle w:val="BodyText52"/>
          <w:sz w:val="22"/>
        </w:rPr>
        <w:t xml:space="preserve">(2) </w:t>
      </w:r>
      <w:r w:rsidR="00524AAA" w:rsidRPr="00F852E7">
        <w:rPr>
          <w:rStyle w:val="BodyText52"/>
          <w:sz w:val="22"/>
        </w:rPr>
        <w:t>If the Commonwealth becomes liable to make a payment under a pre-transfer contract during the management period, the amount may be paid out of the Insurance Account.</w:t>
      </w:r>
    </w:p>
    <w:p w14:paraId="1C55983E" w14:textId="77777777" w:rsidR="005D1D9D" w:rsidRPr="00F852E7" w:rsidRDefault="0012621B" w:rsidP="00A27AD4">
      <w:pPr>
        <w:pStyle w:val="BodyText8"/>
        <w:spacing w:before="120" w:line="240" w:lineRule="auto"/>
        <w:ind w:left="990" w:hanging="356"/>
        <w:jc w:val="left"/>
        <w:rPr>
          <w:sz w:val="22"/>
        </w:rPr>
      </w:pPr>
      <w:r>
        <w:rPr>
          <w:rStyle w:val="BodyText52"/>
          <w:sz w:val="22"/>
        </w:rPr>
        <w:t xml:space="preserve">(3) </w:t>
      </w:r>
      <w:r w:rsidR="00524AAA" w:rsidRPr="00F852E7">
        <w:rPr>
          <w:rStyle w:val="BodyText52"/>
          <w:sz w:val="22"/>
        </w:rPr>
        <w:t>Interest from the investment of money standing to the credit of the Insurance Account is to be paid into the Insurance Account.</w:t>
      </w:r>
    </w:p>
    <w:p w14:paraId="1ABE5074" w14:textId="77777777" w:rsidR="005D1D9D" w:rsidRPr="00F852E7" w:rsidRDefault="000772A0" w:rsidP="00A27AD4">
      <w:pPr>
        <w:pStyle w:val="BodyText8"/>
        <w:spacing w:before="120" w:line="240" w:lineRule="auto"/>
        <w:ind w:left="990" w:hanging="356"/>
        <w:jc w:val="left"/>
        <w:rPr>
          <w:sz w:val="22"/>
        </w:rPr>
      </w:pPr>
      <w:r>
        <w:rPr>
          <w:rStyle w:val="BodyText52"/>
          <w:sz w:val="22"/>
        </w:rPr>
        <w:t xml:space="preserve">(4) </w:t>
      </w:r>
      <w:r w:rsidR="00524AAA" w:rsidRPr="00F852E7">
        <w:rPr>
          <w:rStyle w:val="BodyText52"/>
          <w:sz w:val="22"/>
        </w:rPr>
        <w:t>At the end of the management period, the Company must pay to the Commonwealth all money standing to the credit of the Insurance Account.</w:t>
      </w:r>
    </w:p>
    <w:p w14:paraId="12212206" w14:textId="77777777" w:rsidR="00412419" w:rsidRDefault="00412419">
      <w:pPr>
        <w:rPr>
          <w:rStyle w:val="Bodytext172"/>
          <w:rFonts w:eastAsia="Courier New"/>
          <w:i w:val="0"/>
          <w:iCs w:val="0"/>
          <w:sz w:val="22"/>
        </w:rPr>
        <w:sectPr w:rsidR="00412419" w:rsidSect="00C41E6B">
          <w:headerReference w:type="even" r:id="rId31"/>
          <w:pgSz w:w="12240" w:h="15840" w:code="1"/>
          <w:pgMar w:top="1440" w:right="1440" w:bottom="1440" w:left="1440" w:header="450" w:footer="487" w:gutter="0"/>
          <w:cols w:space="720"/>
          <w:noEndnote/>
          <w:docGrid w:linePitch="360"/>
        </w:sectPr>
      </w:pPr>
    </w:p>
    <w:p w14:paraId="1C22F648" w14:textId="26B34089" w:rsidR="005D1D9D" w:rsidRPr="00ED2AD4" w:rsidRDefault="00524AAA" w:rsidP="001D1849">
      <w:pPr>
        <w:spacing w:before="120"/>
        <w:rPr>
          <w:rFonts w:ascii="Times New Roman" w:hAnsi="Times New Roman" w:cs="Times New Roman"/>
          <w:b/>
          <w:sz w:val="26"/>
          <w:szCs w:val="26"/>
        </w:rPr>
      </w:pPr>
      <w:bookmarkStart w:id="12" w:name="bookmark12"/>
      <w:r w:rsidRPr="00ED2AD4">
        <w:rPr>
          <w:rFonts w:ascii="Times New Roman" w:hAnsi="Times New Roman" w:cs="Times New Roman"/>
          <w:b/>
          <w:sz w:val="26"/>
          <w:szCs w:val="26"/>
        </w:rPr>
        <w:lastRenderedPageBreak/>
        <w:t>Part 4—Transfer and rights of employees</w:t>
      </w:r>
      <w:bookmarkEnd w:id="12"/>
    </w:p>
    <w:p w14:paraId="044EE12E" w14:textId="77777777" w:rsidR="005D1D9D" w:rsidRPr="003D3A31" w:rsidRDefault="00524AAA" w:rsidP="001D1849">
      <w:pPr>
        <w:spacing w:before="120"/>
        <w:rPr>
          <w:rFonts w:ascii="Times New Roman" w:hAnsi="Times New Roman" w:cs="Times New Roman"/>
          <w:b/>
        </w:rPr>
      </w:pPr>
      <w:bookmarkStart w:id="13" w:name="bookmark13"/>
      <w:r w:rsidRPr="003D3A31">
        <w:rPr>
          <w:rFonts w:ascii="Times New Roman" w:hAnsi="Times New Roman" w:cs="Times New Roman"/>
          <w:b/>
        </w:rPr>
        <w:t>Division 1—Transfer of employees from Corporation to Company</w:t>
      </w:r>
      <w:bookmarkEnd w:id="13"/>
    </w:p>
    <w:p w14:paraId="61215DF4" w14:textId="77777777" w:rsidR="005D1D9D" w:rsidRPr="00F852E7" w:rsidRDefault="004577A1" w:rsidP="00775F7E">
      <w:pPr>
        <w:pStyle w:val="Bodytext140"/>
        <w:spacing w:before="120" w:after="60" w:line="240" w:lineRule="auto"/>
        <w:ind w:firstLine="0"/>
        <w:jc w:val="left"/>
      </w:pPr>
      <w:bookmarkStart w:id="14" w:name="bookmark14"/>
      <w:r>
        <w:rPr>
          <w:rStyle w:val="Heading4Bold"/>
          <w:rFonts w:eastAsia="Courier New"/>
          <w:sz w:val="22"/>
        </w:rPr>
        <w:t xml:space="preserve">14 </w:t>
      </w:r>
      <w:r w:rsidR="00524AAA" w:rsidRPr="00775F7E">
        <w:rPr>
          <w:rStyle w:val="Bodytext14Bold2"/>
          <w:rFonts w:eastAsia="Courier New"/>
          <w:sz w:val="22"/>
        </w:rPr>
        <w:t>Transfer</w:t>
      </w:r>
      <w:r w:rsidR="00524AAA" w:rsidRPr="00F852E7">
        <w:rPr>
          <w:rStyle w:val="Heading4Bold"/>
          <w:rFonts w:eastAsia="Courier New"/>
          <w:sz w:val="22"/>
        </w:rPr>
        <w:t xml:space="preserve"> to Company of employees of Corporation</w:t>
      </w:r>
      <w:bookmarkEnd w:id="14"/>
    </w:p>
    <w:p w14:paraId="581E34FA" w14:textId="77777777" w:rsidR="005D1D9D" w:rsidRPr="00F852E7" w:rsidRDefault="00E512BD" w:rsidP="001105AC">
      <w:pPr>
        <w:pStyle w:val="BodyText8"/>
        <w:spacing w:before="120" w:line="240" w:lineRule="auto"/>
        <w:ind w:left="936" w:hanging="302"/>
        <w:jc w:val="left"/>
        <w:rPr>
          <w:sz w:val="22"/>
        </w:rPr>
      </w:pPr>
      <w:r>
        <w:rPr>
          <w:rStyle w:val="BodyText21"/>
          <w:sz w:val="22"/>
        </w:rPr>
        <w:t xml:space="preserve">(1) </w:t>
      </w:r>
      <w:r w:rsidR="00524AAA" w:rsidRPr="00F852E7">
        <w:rPr>
          <w:rStyle w:val="BodyText21"/>
          <w:sz w:val="22"/>
        </w:rPr>
        <w:t>A person who was an employee of the Corporation immediately before the transfer day is taken:</w:t>
      </w:r>
    </w:p>
    <w:p w14:paraId="19E344C6" w14:textId="77777777" w:rsidR="005D1D9D" w:rsidRPr="00F852E7" w:rsidRDefault="00C727D1" w:rsidP="003644A2">
      <w:pPr>
        <w:pStyle w:val="BodyText8"/>
        <w:spacing w:before="120" w:line="240" w:lineRule="auto"/>
        <w:ind w:left="1278" w:hanging="284"/>
        <w:jc w:val="left"/>
        <w:rPr>
          <w:sz w:val="22"/>
        </w:rPr>
      </w:pPr>
      <w:r>
        <w:rPr>
          <w:rStyle w:val="BodyText21"/>
          <w:sz w:val="22"/>
        </w:rPr>
        <w:t xml:space="preserve">(a) </w:t>
      </w:r>
      <w:r w:rsidR="00524AAA" w:rsidRPr="00F852E7">
        <w:rPr>
          <w:rStyle w:val="BodyText21"/>
          <w:sz w:val="22"/>
        </w:rPr>
        <w:t>to cease to be an employee of the Corporation at the commencement of that day; and</w:t>
      </w:r>
    </w:p>
    <w:p w14:paraId="3ED20D43" w14:textId="77777777" w:rsidR="005D1D9D" w:rsidRPr="003644A2" w:rsidRDefault="003644A2" w:rsidP="003644A2">
      <w:pPr>
        <w:pStyle w:val="BodyText8"/>
        <w:spacing w:before="120" w:line="240" w:lineRule="auto"/>
        <w:ind w:left="1278" w:hanging="284"/>
        <w:jc w:val="left"/>
        <w:rPr>
          <w:rStyle w:val="BodyText21"/>
          <w:sz w:val="22"/>
        </w:rPr>
      </w:pPr>
      <w:r>
        <w:rPr>
          <w:rStyle w:val="BodyText21"/>
          <w:sz w:val="22"/>
        </w:rPr>
        <w:t xml:space="preserve">(b) </w:t>
      </w:r>
      <w:r w:rsidR="00524AAA" w:rsidRPr="00F852E7">
        <w:rPr>
          <w:rStyle w:val="BodyText21"/>
          <w:sz w:val="22"/>
        </w:rPr>
        <w:t>to have been engaged by the Company as an employee of the Company with effect on and from that day; and</w:t>
      </w:r>
    </w:p>
    <w:p w14:paraId="1B53990F" w14:textId="77777777" w:rsidR="005D1D9D" w:rsidRPr="003644A2" w:rsidRDefault="00CD727E" w:rsidP="003644A2">
      <w:pPr>
        <w:pStyle w:val="BodyText8"/>
        <w:spacing w:before="120" w:line="240" w:lineRule="auto"/>
        <w:ind w:left="1278" w:hanging="284"/>
        <w:jc w:val="left"/>
        <w:rPr>
          <w:rStyle w:val="BodyText21"/>
          <w:sz w:val="22"/>
        </w:rPr>
      </w:pPr>
      <w:r>
        <w:rPr>
          <w:rStyle w:val="BodyText21"/>
          <w:sz w:val="22"/>
        </w:rPr>
        <w:t xml:space="preserve">(c) </w:t>
      </w:r>
      <w:r w:rsidR="00524AAA" w:rsidRPr="00F852E7">
        <w:rPr>
          <w:rStyle w:val="BodyText21"/>
          <w:sz w:val="22"/>
        </w:rPr>
        <w:t>to have been so engaged on the same terms and conditions as those that applied to the person, immediately before that day, as an employee of the Corporation; and</w:t>
      </w:r>
    </w:p>
    <w:p w14:paraId="7123A67E" w14:textId="77777777" w:rsidR="005D1D9D" w:rsidRPr="00F852E7" w:rsidRDefault="00CD727E" w:rsidP="003644A2">
      <w:pPr>
        <w:pStyle w:val="BodyText8"/>
        <w:spacing w:before="120" w:line="240" w:lineRule="auto"/>
        <w:ind w:left="1278" w:hanging="284"/>
        <w:jc w:val="left"/>
        <w:rPr>
          <w:sz w:val="22"/>
        </w:rPr>
      </w:pPr>
      <w:r>
        <w:rPr>
          <w:rStyle w:val="BodyText21"/>
          <w:sz w:val="22"/>
        </w:rPr>
        <w:t xml:space="preserve">(d) </w:t>
      </w:r>
      <w:r w:rsidR="00524AAA" w:rsidRPr="00F852E7">
        <w:rPr>
          <w:rStyle w:val="BodyText21"/>
          <w:sz w:val="22"/>
        </w:rPr>
        <w:t>to have accrued an entitlement to benefits, in connection with that engagement by the Company, that is equivalent to the entitlement that the person had accrued, as an employee of the Corporation, immediately before that day.</w:t>
      </w:r>
    </w:p>
    <w:p w14:paraId="7FB72C00" w14:textId="77777777" w:rsidR="005D1D9D" w:rsidRPr="00F852E7" w:rsidRDefault="00981EEE" w:rsidP="00A62EA4">
      <w:pPr>
        <w:pStyle w:val="BodyText8"/>
        <w:spacing w:before="120" w:line="240" w:lineRule="auto"/>
        <w:ind w:left="936" w:hanging="302"/>
        <w:jc w:val="left"/>
        <w:rPr>
          <w:sz w:val="22"/>
        </w:rPr>
      </w:pPr>
      <w:r>
        <w:rPr>
          <w:rStyle w:val="BodyText21"/>
          <w:sz w:val="22"/>
        </w:rPr>
        <w:t xml:space="preserve">(2) </w:t>
      </w:r>
      <w:r w:rsidR="00524AAA" w:rsidRPr="00F852E7">
        <w:rPr>
          <w:rStyle w:val="BodyText21"/>
          <w:sz w:val="22"/>
        </w:rPr>
        <w:t>The service of a transferred employee as an employee of the Company is taken for all purposes to have been continuous with the service of the employee, immediately before the transfer day, as an employee of the Corporation.</w:t>
      </w:r>
    </w:p>
    <w:p w14:paraId="3120027F" w14:textId="77777777" w:rsidR="005D1D9D" w:rsidRPr="00B10B23" w:rsidRDefault="00B10B23" w:rsidP="00B10B23">
      <w:pPr>
        <w:pStyle w:val="BodyText8"/>
        <w:spacing w:before="120" w:line="240" w:lineRule="auto"/>
        <w:ind w:left="936" w:hanging="302"/>
        <w:jc w:val="left"/>
        <w:rPr>
          <w:rStyle w:val="BodyText21"/>
          <w:sz w:val="22"/>
        </w:rPr>
      </w:pPr>
      <w:r>
        <w:rPr>
          <w:rStyle w:val="BodyText21"/>
          <w:sz w:val="22"/>
        </w:rPr>
        <w:t xml:space="preserve">(3) </w:t>
      </w:r>
      <w:r w:rsidR="00524AAA" w:rsidRPr="00F852E7">
        <w:rPr>
          <w:rStyle w:val="BodyText21"/>
          <w:sz w:val="22"/>
        </w:rPr>
        <w:t>A transferred employee is not entitled to receive any payment or other benefit merely because he or she ceased to be an employee of the Corporation as a result of this section.</w:t>
      </w:r>
    </w:p>
    <w:p w14:paraId="340C9DC6" w14:textId="77777777" w:rsidR="005D1D9D" w:rsidRPr="00F852E7" w:rsidRDefault="00B10B23" w:rsidP="00B10B23">
      <w:pPr>
        <w:pStyle w:val="BodyText8"/>
        <w:spacing w:before="120" w:line="240" w:lineRule="auto"/>
        <w:ind w:left="936" w:hanging="302"/>
        <w:jc w:val="left"/>
        <w:rPr>
          <w:sz w:val="22"/>
        </w:rPr>
      </w:pPr>
      <w:r>
        <w:rPr>
          <w:rStyle w:val="BodyText21"/>
          <w:sz w:val="22"/>
        </w:rPr>
        <w:t xml:space="preserve">(4) </w:t>
      </w:r>
      <w:r w:rsidR="00524AAA" w:rsidRPr="00F852E7">
        <w:rPr>
          <w:rStyle w:val="BodyText21"/>
          <w:sz w:val="22"/>
        </w:rPr>
        <w:t>An auditor of the Corporation does not, because of the operation of this Act, become an auditor of the Company.</w:t>
      </w:r>
    </w:p>
    <w:p w14:paraId="630D9463" w14:textId="77777777" w:rsidR="005D1D9D" w:rsidRPr="00F852E7" w:rsidRDefault="002F4815" w:rsidP="00775F7E">
      <w:pPr>
        <w:pStyle w:val="Bodytext140"/>
        <w:spacing w:before="120" w:after="60" w:line="240" w:lineRule="auto"/>
        <w:ind w:firstLine="0"/>
        <w:jc w:val="left"/>
      </w:pPr>
      <w:bookmarkStart w:id="15" w:name="bookmark15"/>
      <w:r>
        <w:rPr>
          <w:rStyle w:val="Heading4Bold"/>
          <w:rFonts w:eastAsia="Courier New"/>
          <w:sz w:val="22"/>
        </w:rPr>
        <w:t xml:space="preserve">15 </w:t>
      </w:r>
      <w:r w:rsidR="00524AAA" w:rsidRPr="00775F7E">
        <w:rPr>
          <w:rStyle w:val="Bodytext14Bold2"/>
          <w:rFonts w:eastAsia="Courier New"/>
          <w:sz w:val="22"/>
        </w:rPr>
        <w:t>Variations</w:t>
      </w:r>
      <w:r w:rsidR="00524AAA" w:rsidRPr="00F852E7">
        <w:rPr>
          <w:rStyle w:val="Heading4Bold"/>
          <w:rFonts w:eastAsia="Courier New"/>
          <w:sz w:val="22"/>
        </w:rPr>
        <w:t xml:space="preserve"> of terms and conditions of employment</w:t>
      </w:r>
      <w:bookmarkEnd w:id="15"/>
    </w:p>
    <w:p w14:paraId="1B02838B" w14:textId="77777777" w:rsidR="005D1D9D" w:rsidRPr="00F852E7" w:rsidRDefault="00731E27" w:rsidP="00731E27">
      <w:pPr>
        <w:pStyle w:val="BodyText8"/>
        <w:spacing w:before="120" w:line="240" w:lineRule="auto"/>
        <w:ind w:left="936" w:hanging="302"/>
        <w:jc w:val="left"/>
        <w:rPr>
          <w:sz w:val="22"/>
        </w:rPr>
      </w:pPr>
      <w:r>
        <w:rPr>
          <w:rStyle w:val="BodyText21"/>
          <w:sz w:val="22"/>
        </w:rPr>
        <w:t xml:space="preserve">(1) </w:t>
      </w:r>
      <w:r w:rsidR="00524AAA" w:rsidRPr="00F852E7">
        <w:rPr>
          <w:rStyle w:val="BodyText21"/>
          <w:sz w:val="22"/>
        </w:rPr>
        <w:t>Section 14 does not prevent the terms and conditions of a transferred employee’s employment on or after the transfer day from being varied:</w:t>
      </w:r>
    </w:p>
    <w:p w14:paraId="4A7D1C59" w14:textId="77777777" w:rsidR="005D1D9D" w:rsidRPr="00F852E7" w:rsidRDefault="009C2BDB" w:rsidP="009C2BDB">
      <w:pPr>
        <w:pStyle w:val="BodyText8"/>
        <w:spacing w:before="120" w:line="240" w:lineRule="auto"/>
        <w:ind w:left="1080" w:firstLine="0"/>
        <w:jc w:val="left"/>
        <w:rPr>
          <w:sz w:val="22"/>
        </w:rPr>
      </w:pPr>
      <w:r>
        <w:rPr>
          <w:rStyle w:val="BodyText21"/>
          <w:sz w:val="22"/>
        </w:rPr>
        <w:t xml:space="preserve">(a) </w:t>
      </w:r>
      <w:r w:rsidR="00524AAA" w:rsidRPr="00F852E7">
        <w:rPr>
          <w:rStyle w:val="BodyText21"/>
          <w:sz w:val="22"/>
        </w:rPr>
        <w:t>in accordance with those terms and conditions; or</w:t>
      </w:r>
    </w:p>
    <w:p w14:paraId="3CB56CA8" w14:textId="77777777" w:rsidR="005D1D9D" w:rsidRPr="00F852E7" w:rsidRDefault="00D54504" w:rsidP="00D54504">
      <w:pPr>
        <w:pStyle w:val="BodyText8"/>
        <w:spacing w:before="120" w:line="240" w:lineRule="auto"/>
        <w:ind w:left="1080" w:firstLine="0"/>
        <w:jc w:val="left"/>
        <w:rPr>
          <w:sz w:val="22"/>
        </w:rPr>
      </w:pPr>
      <w:r>
        <w:rPr>
          <w:rStyle w:val="BodyText21"/>
          <w:sz w:val="22"/>
        </w:rPr>
        <w:t xml:space="preserve">(b) </w:t>
      </w:r>
      <w:r w:rsidR="00524AAA" w:rsidRPr="00F852E7">
        <w:rPr>
          <w:rStyle w:val="BodyText21"/>
          <w:sz w:val="22"/>
        </w:rPr>
        <w:t>by or under a law, award, determination or agreement.</w:t>
      </w:r>
    </w:p>
    <w:p w14:paraId="17163935" w14:textId="77777777" w:rsidR="00412419" w:rsidRDefault="00412419">
      <w:pPr>
        <w:rPr>
          <w:rStyle w:val="Bodytext173"/>
          <w:rFonts w:eastAsia="Courier New"/>
          <w:i w:val="0"/>
          <w:iCs w:val="0"/>
          <w:sz w:val="22"/>
        </w:rPr>
        <w:sectPr w:rsidR="00412419" w:rsidSect="00C41E6B">
          <w:headerReference w:type="default" r:id="rId32"/>
          <w:pgSz w:w="12240" w:h="15840" w:code="1"/>
          <w:pgMar w:top="1440" w:right="1440" w:bottom="1440" w:left="1440" w:header="360" w:footer="487" w:gutter="0"/>
          <w:cols w:space="720"/>
          <w:noEndnote/>
          <w:docGrid w:linePitch="360"/>
        </w:sectPr>
      </w:pPr>
    </w:p>
    <w:p w14:paraId="4A9D675E" w14:textId="77777777" w:rsidR="005D1D9D" w:rsidRPr="00F852E7" w:rsidRDefault="001B3196" w:rsidP="006D2179">
      <w:pPr>
        <w:pStyle w:val="BodyText8"/>
        <w:spacing w:before="120" w:line="240" w:lineRule="auto"/>
        <w:ind w:left="936" w:hanging="302"/>
        <w:jc w:val="left"/>
        <w:rPr>
          <w:sz w:val="22"/>
        </w:rPr>
      </w:pPr>
      <w:r>
        <w:rPr>
          <w:rStyle w:val="BodyText63"/>
          <w:sz w:val="22"/>
        </w:rPr>
        <w:lastRenderedPageBreak/>
        <w:t xml:space="preserve">(2) </w:t>
      </w:r>
      <w:r w:rsidR="00524AAA" w:rsidRPr="00F852E7">
        <w:rPr>
          <w:rStyle w:val="BodyText63"/>
          <w:sz w:val="22"/>
        </w:rPr>
        <w:t>In this section:</w:t>
      </w:r>
    </w:p>
    <w:p w14:paraId="13935512" w14:textId="7D8117F1" w:rsidR="005D1D9D" w:rsidRPr="00F852E7" w:rsidRDefault="00524AAA" w:rsidP="006F507D">
      <w:pPr>
        <w:pStyle w:val="BodyText8"/>
        <w:spacing w:before="120" w:line="240" w:lineRule="auto"/>
        <w:ind w:left="945" w:firstLine="0"/>
        <w:jc w:val="left"/>
        <w:rPr>
          <w:sz w:val="22"/>
        </w:rPr>
      </w:pPr>
      <w:r w:rsidRPr="00F852E7">
        <w:rPr>
          <w:rStyle w:val="BodytextBold5"/>
          <w:sz w:val="22"/>
        </w:rPr>
        <w:t>vary</w:t>
      </w:r>
      <w:r w:rsidRPr="00ED2AD4">
        <w:rPr>
          <w:rStyle w:val="BodytextBold5"/>
          <w:b w:val="0"/>
          <w:i w:val="0"/>
          <w:sz w:val="22"/>
        </w:rPr>
        <w:t>,</w:t>
      </w:r>
      <w:r w:rsidRPr="00F852E7">
        <w:rPr>
          <w:rStyle w:val="BodyText63"/>
          <w:sz w:val="22"/>
        </w:rPr>
        <w:t xml:space="preserve"> in relation to terms and conditions, includes:</w:t>
      </w:r>
    </w:p>
    <w:p w14:paraId="163357CD" w14:textId="77777777" w:rsidR="005D1D9D" w:rsidRPr="00F852E7" w:rsidRDefault="00C84164" w:rsidP="00C223F1">
      <w:pPr>
        <w:pStyle w:val="BodyText8"/>
        <w:spacing w:before="120" w:line="240" w:lineRule="auto"/>
        <w:ind w:left="1062" w:firstLine="0"/>
        <w:jc w:val="left"/>
        <w:rPr>
          <w:sz w:val="22"/>
        </w:rPr>
      </w:pPr>
      <w:r>
        <w:rPr>
          <w:rStyle w:val="BodyText63"/>
          <w:sz w:val="22"/>
        </w:rPr>
        <w:t xml:space="preserve">(a) </w:t>
      </w:r>
      <w:r w:rsidR="00524AAA" w:rsidRPr="00F852E7">
        <w:rPr>
          <w:rStyle w:val="BodyText63"/>
          <w:sz w:val="22"/>
        </w:rPr>
        <w:t>omitting any of those terms and conditions; or</w:t>
      </w:r>
    </w:p>
    <w:p w14:paraId="4ABC1928" w14:textId="77777777" w:rsidR="005D1D9D" w:rsidRPr="007F0F07" w:rsidRDefault="007F0F07" w:rsidP="007F0F07">
      <w:pPr>
        <w:pStyle w:val="BodyText8"/>
        <w:spacing w:before="120" w:line="240" w:lineRule="auto"/>
        <w:ind w:left="1062" w:firstLine="0"/>
        <w:jc w:val="left"/>
        <w:rPr>
          <w:rStyle w:val="BodyText63"/>
          <w:sz w:val="22"/>
        </w:rPr>
      </w:pPr>
      <w:r>
        <w:rPr>
          <w:rStyle w:val="BodyText63"/>
          <w:sz w:val="22"/>
        </w:rPr>
        <w:t xml:space="preserve">(b) </w:t>
      </w:r>
      <w:r w:rsidR="00524AAA" w:rsidRPr="00F852E7">
        <w:rPr>
          <w:rStyle w:val="BodyText63"/>
          <w:sz w:val="22"/>
        </w:rPr>
        <w:t>adding to those terms and conditions; or</w:t>
      </w:r>
    </w:p>
    <w:p w14:paraId="2D1DEA86" w14:textId="77777777" w:rsidR="005D1D9D" w:rsidRPr="00F852E7" w:rsidRDefault="007F0F07" w:rsidP="007F0F07">
      <w:pPr>
        <w:pStyle w:val="BodyText8"/>
        <w:spacing w:before="120" w:line="240" w:lineRule="auto"/>
        <w:ind w:left="1062" w:firstLine="0"/>
        <w:jc w:val="left"/>
        <w:rPr>
          <w:sz w:val="22"/>
        </w:rPr>
      </w:pPr>
      <w:r>
        <w:rPr>
          <w:rStyle w:val="BodyText63"/>
          <w:sz w:val="22"/>
        </w:rPr>
        <w:t xml:space="preserve">(c) </w:t>
      </w:r>
      <w:r w:rsidR="00524AAA" w:rsidRPr="00F852E7">
        <w:rPr>
          <w:rStyle w:val="BodyText63"/>
          <w:sz w:val="22"/>
        </w:rPr>
        <w:t>substituting new terms or conditions for any of those terms and conditions.</w:t>
      </w:r>
    </w:p>
    <w:p w14:paraId="6FBAEC18" w14:textId="77777777" w:rsidR="00412419" w:rsidRDefault="00412419">
      <w:pPr>
        <w:rPr>
          <w:sz w:val="22"/>
        </w:rPr>
        <w:sectPr w:rsidR="00412419" w:rsidSect="00962089">
          <w:headerReference w:type="even" r:id="rId33"/>
          <w:pgSz w:w="12240" w:h="15840" w:code="1"/>
          <w:pgMar w:top="1440" w:right="1440" w:bottom="1440" w:left="1440" w:header="360" w:footer="577" w:gutter="0"/>
          <w:cols w:space="720"/>
          <w:noEndnote/>
          <w:docGrid w:linePitch="360"/>
        </w:sectPr>
      </w:pPr>
    </w:p>
    <w:p w14:paraId="7100579E" w14:textId="77777777" w:rsidR="005D1D9D" w:rsidRPr="00CB4D34" w:rsidRDefault="00524AAA" w:rsidP="001D1849">
      <w:pPr>
        <w:spacing w:before="120"/>
        <w:rPr>
          <w:rFonts w:ascii="Times New Roman" w:hAnsi="Times New Roman" w:cs="Times New Roman"/>
          <w:b/>
        </w:rPr>
      </w:pPr>
      <w:bookmarkStart w:id="16" w:name="bookmark16"/>
      <w:r w:rsidRPr="00CB4D34">
        <w:rPr>
          <w:rFonts w:ascii="Times New Roman" w:hAnsi="Times New Roman" w:cs="Times New Roman"/>
          <w:b/>
        </w:rPr>
        <w:lastRenderedPageBreak/>
        <w:t>Division 2—Transitional and saving provisions in relation to long service leave</w:t>
      </w:r>
      <w:bookmarkEnd w:id="16"/>
    </w:p>
    <w:p w14:paraId="352E2ED4" w14:textId="77777777" w:rsidR="005D1D9D" w:rsidRPr="00F852E7" w:rsidRDefault="009E72DB" w:rsidP="00775F7E">
      <w:pPr>
        <w:pStyle w:val="Bodytext140"/>
        <w:spacing w:before="120" w:after="60" w:line="240" w:lineRule="auto"/>
        <w:ind w:firstLine="0"/>
        <w:jc w:val="left"/>
        <w:rPr>
          <w:sz w:val="22"/>
        </w:rPr>
      </w:pPr>
      <w:r>
        <w:rPr>
          <w:rStyle w:val="Bodytext14Bold1"/>
          <w:sz w:val="22"/>
        </w:rPr>
        <w:t xml:space="preserve">16 </w:t>
      </w:r>
      <w:r w:rsidR="00524AAA" w:rsidRPr="00775F7E">
        <w:rPr>
          <w:rStyle w:val="Bodytext14Bold2"/>
          <w:sz w:val="22"/>
        </w:rPr>
        <w:t>Interpretation</w:t>
      </w:r>
    </w:p>
    <w:p w14:paraId="47C73A2E" w14:textId="77777777" w:rsidR="005D1D9D" w:rsidRPr="00F852E7" w:rsidRDefault="005A1F8C" w:rsidP="00654A8B">
      <w:pPr>
        <w:pStyle w:val="BodyText8"/>
        <w:spacing w:before="120" w:line="240" w:lineRule="auto"/>
        <w:ind w:left="990" w:hanging="356"/>
        <w:jc w:val="left"/>
        <w:rPr>
          <w:sz w:val="22"/>
        </w:rPr>
      </w:pPr>
      <w:r>
        <w:rPr>
          <w:rStyle w:val="BodyText21"/>
          <w:sz w:val="22"/>
        </w:rPr>
        <w:t xml:space="preserve">(1) </w:t>
      </w:r>
      <w:r w:rsidR="00524AAA" w:rsidRPr="00F852E7">
        <w:rPr>
          <w:rStyle w:val="BodyText21"/>
          <w:sz w:val="22"/>
        </w:rPr>
        <w:t>Unless the contrary intention appears, expressions used in this Division that are also used in the Long Service Leave Act have the same meanings as in that Act.</w:t>
      </w:r>
    </w:p>
    <w:p w14:paraId="410FD545" w14:textId="77777777" w:rsidR="005D1D9D" w:rsidRPr="00F852E7" w:rsidRDefault="0014795A" w:rsidP="0014795A">
      <w:pPr>
        <w:pStyle w:val="BodyText8"/>
        <w:spacing w:before="120" w:line="240" w:lineRule="auto"/>
        <w:ind w:left="990" w:hanging="356"/>
        <w:jc w:val="left"/>
        <w:rPr>
          <w:sz w:val="22"/>
        </w:rPr>
      </w:pPr>
      <w:r>
        <w:rPr>
          <w:rStyle w:val="BodyText21"/>
          <w:sz w:val="22"/>
        </w:rPr>
        <w:t xml:space="preserve">(2) </w:t>
      </w:r>
      <w:r w:rsidR="00524AAA" w:rsidRPr="00F852E7">
        <w:rPr>
          <w:rStyle w:val="BodyText21"/>
          <w:sz w:val="22"/>
        </w:rPr>
        <w:t>In this Division:</w:t>
      </w:r>
    </w:p>
    <w:p w14:paraId="17759AC0" w14:textId="3EF5E6EB" w:rsidR="005D1D9D" w:rsidRPr="00F852E7" w:rsidRDefault="00524AAA" w:rsidP="00C43480">
      <w:pPr>
        <w:pStyle w:val="BodyText8"/>
        <w:spacing w:before="120" w:line="240" w:lineRule="auto"/>
        <w:ind w:left="994" w:firstLine="0"/>
        <w:jc w:val="left"/>
        <w:rPr>
          <w:sz w:val="22"/>
        </w:rPr>
      </w:pPr>
      <w:r w:rsidRPr="00F852E7">
        <w:rPr>
          <w:rStyle w:val="BodytextBold2"/>
          <w:sz w:val="22"/>
        </w:rPr>
        <w:t>combined service period</w:t>
      </w:r>
      <w:r w:rsidRPr="00ED2AD4">
        <w:rPr>
          <w:rStyle w:val="BodytextBold3"/>
          <w:b w:val="0"/>
          <w:sz w:val="22"/>
        </w:rPr>
        <w:t>,</w:t>
      </w:r>
      <w:r w:rsidRPr="00F852E7">
        <w:rPr>
          <w:rStyle w:val="BodyText21"/>
          <w:sz w:val="22"/>
        </w:rPr>
        <w:t xml:space="preserve"> in relation to an employee, means the total of:</w:t>
      </w:r>
    </w:p>
    <w:p w14:paraId="15BE73B2" w14:textId="77777777" w:rsidR="005D1D9D" w:rsidRPr="00F852E7" w:rsidRDefault="000F2A94" w:rsidP="00B267B2">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the period that was, immediately before the transfer day, the employee’s period of service for the purposes of the Long Service Leave Act; and</w:t>
      </w:r>
    </w:p>
    <w:p w14:paraId="46693321" w14:textId="77777777" w:rsidR="005D1D9D" w:rsidRPr="00F852E7" w:rsidRDefault="00503A5C" w:rsidP="00503A5C">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the period starting on the transfer day during which the employee continues to be an employee of the Company.</w:t>
      </w:r>
    </w:p>
    <w:p w14:paraId="4CDB4D0F" w14:textId="77777777" w:rsidR="005D1D9D" w:rsidRPr="00F852E7" w:rsidRDefault="00524AAA" w:rsidP="004A0FA4">
      <w:pPr>
        <w:pStyle w:val="BodyText8"/>
        <w:spacing w:before="120" w:line="240" w:lineRule="auto"/>
        <w:ind w:left="994" w:firstLine="0"/>
        <w:jc w:val="left"/>
        <w:rPr>
          <w:sz w:val="22"/>
        </w:rPr>
      </w:pPr>
      <w:r w:rsidRPr="00F852E7">
        <w:rPr>
          <w:rStyle w:val="BodytextBold2"/>
          <w:sz w:val="22"/>
        </w:rPr>
        <w:t>employee</w:t>
      </w:r>
      <w:r w:rsidRPr="00F852E7">
        <w:rPr>
          <w:rStyle w:val="BodyText21"/>
          <w:sz w:val="22"/>
        </w:rPr>
        <w:t xml:space="preserve"> includes a person employed in a full-time or a part-time capacity.</w:t>
      </w:r>
    </w:p>
    <w:p w14:paraId="14280AA6" w14:textId="1659174A" w:rsidR="00836A23" w:rsidRDefault="00524AAA" w:rsidP="00417EB1">
      <w:pPr>
        <w:pStyle w:val="BodyText8"/>
        <w:spacing w:before="120" w:line="240" w:lineRule="auto"/>
        <w:ind w:left="994" w:firstLine="0"/>
        <w:jc w:val="left"/>
        <w:rPr>
          <w:rStyle w:val="BodyText21"/>
          <w:sz w:val="22"/>
        </w:rPr>
      </w:pPr>
      <w:r w:rsidRPr="00F852E7">
        <w:rPr>
          <w:rStyle w:val="BodytextBold2"/>
          <w:sz w:val="22"/>
        </w:rPr>
        <w:t>future long service leave rights</w:t>
      </w:r>
      <w:r w:rsidRPr="00ED2AD4">
        <w:rPr>
          <w:rStyle w:val="BodytextBold2"/>
          <w:b w:val="0"/>
          <w:i w:val="0"/>
          <w:sz w:val="22"/>
        </w:rPr>
        <w:t>,</w:t>
      </w:r>
      <w:r w:rsidRPr="00F852E7">
        <w:rPr>
          <w:rStyle w:val="BodyText21"/>
          <w:sz w:val="22"/>
        </w:rPr>
        <w:t xml:space="preserve"> in relation to an employee, means any long service leave rights an employee acquires under an award, determination, industrial agreement or law (other than this Act) on or after the transfer day in relation to service on or after that day.</w:t>
      </w:r>
    </w:p>
    <w:p w14:paraId="5F2D3FBF" w14:textId="77777777" w:rsidR="005D1D9D" w:rsidRPr="00F852E7" w:rsidRDefault="00524AAA" w:rsidP="005C0550">
      <w:pPr>
        <w:pStyle w:val="BodyText8"/>
        <w:spacing w:before="120" w:line="240" w:lineRule="auto"/>
        <w:ind w:left="994" w:firstLine="0"/>
        <w:jc w:val="left"/>
        <w:rPr>
          <w:sz w:val="22"/>
        </w:rPr>
      </w:pPr>
      <w:r w:rsidRPr="00F852E7">
        <w:rPr>
          <w:rStyle w:val="BodytextBold2"/>
          <w:sz w:val="22"/>
        </w:rPr>
        <w:t>law</w:t>
      </w:r>
      <w:r w:rsidRPr="00F852E7">
        <w:rPr>
          <w:rStyle w:val="BodyText21"/>
          <w:sz w:val="22"/>
        </w:rPr>
        <w:t xml:space="preserve"> means:</w:t>
      </w:r>
    </w:p>
    <w:p w14:paraId="65F35A20" w14:textId="77777777" w:rsidR="005D1D9D" w:rsidRPr="00F852E7" w:rsidRDefault="00281372" w:rsidP="00281372">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a law of the Commonwealth, of a State or of a Territory; or</w:t>
      </w:r>
    </w:p>
    <w:p w14:paraId="43D5725D" w14:textId="77777777" w:rsidR="005D1D9D" w:rsidRPr="00F852E7" w:rsidRDefault="00DB5213" w:rsidP="00281372">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regulations or any other instrument (other than an award, determination or industrial agreement) made under such a law.</w:t>
      </w:r>
    </w:p>
    <w:p w14:paraId="6E913379" w14:textId="77777777" w:rsidR="005D1D9D" w:rsidRPr="00F852E7" w:rsidRDefault="005730D2" w:rsidP="00775F7E">
      <w:pPr>
        <w:pStyle w:val="Bodytext140"/>
        <w:spacing w:before="120" w:after="60" w:line="240" w:lineRule="auto"/>
        <w:ind w:firstLine="0"/>
        <w:jc w:val="left"/>
        <w:rPr>
          <w:sz w:val="22"/>
        </w:rPr>
      </w:pPr>
      <w:r>
        <w:rPr>
          <w:rStyle w:val="Bodytext14Bold1"/>
          <w:sz w:val="22"/>
        </w:rPr>
        <w:t xml:space="preserve">17 </w:t>
      </w:r>
      <w:r w:rsidR="00524AAA" w:rsidRPr="00775F7E">
        <w:rPr>
          <w:rStyle w:val="Bodytext14Bold2"/>
          <w:sz w:val="22"/>
        </w:rPr>
        <w:t>Long</w:t>
      </w:r>
      <w:r w:rsidR="00524AAA" w:rsidRPr="00F852E7">
        <w:rPr>
          <w:rStyle w:val="Bodytext14Bold1"/>
          <w:sz w:val="22"/>
        </w:rPr>
        <w:t xml:space="preserve"> service leave for employees with less than 10 years service</w:t>
      </w:r>
    </w:p>
    <w:p w14:paraId="5370930E" w14:textId="77777777" w:rsidR="005D1D9D" w:rsidRPr="00C54E97" w:rsidRDefault="00524AAA" w:rsidP="00F9411C">
      <w:pPr>
        <w:pStyle w:val="Bodytext150"/>
        <w:tabs>
          <w:tab w:val="left" w:pos="1728"/>
        </w:tabs>
        <w:spacing w:before="120" w:line="240" w:lineRule="auto"/>
        <w:ind w:left="1710" w:hanging="716"/>
        <w:jc w:val="left"/>
        <w:rPr>
          <w:sz w:val="20"/>
          <w:szCs w:val="20"/>
        </w:rPr>
      </w:pPr>
      <w:r w:rsidRPr="00C54E97">
        <w:rPr>
          <w:sz w:val="20"/>
          <w:szCs w:val="20"/>
        </w:rPr>
        <w:t>Note:</w:t>
      </w:r>
      <w:r w:rsidR="00C54E97">
        <w:rPr>
          <w:sz w:val="20"/>
          <w:szCs w:val="20"/>
        </w:rPr>
        <w:tab/>
      </w:r>
      <w:r w:rsidRPr="00C54E97">
        <w:rPr>
          <w:sz w:val="20"/>
          <w:szCs w:val="20"/>
        </w:rPr>
        <w:t>This section provides that, in certain circumstances, the Company may</w:t>
      </w:r>
      <w:r w:rsidR="005C0550" w:rsidRPr="00C54E97">
        <w:rPr>
          <w:sz w:val="20"/>
          <w:szCs w:val="20"/>
        </w:rPr>
        <w:t xml:space="preserve"> </w:t>
      </w:r>
      <w:r w:rsidRPr="00C54E97">
        <w:rPr>
          <w:sz w:val="20"/>
          <w:szCs w:val="20"/>
        </w:rPr>
        <w:t>grant long service leave to an employee whose period of service for the purposes of the Long Service Leave Act was less than 10 years.</w:t>
      </w:r>
    </w:p>
    <w:p w14:paraId="20C661B8" w14:textId="77777777" w:rsidR="005D1D9D" w:rsidRPr="00F852E7" w:rsidRDefault="001E4F31" w:rsidP="001E4F31">
      <w:pPr>
        <w:pStyle w:val="BodyText8"/>
        <w:spacing w:before="120" w:line="240" w:lineRule="auto"/>
        <w:ind w:left="990" w:hanging="356"/>
        <w:jc w:val="left"/>
        <w:rPr>
          <w:sz w:val="22"/>
        </w:rPr>
      </w:pPr>
      <w:r>
        <w:rPr>
          <w:rStyle w:val="BodyText21"/>
          <w:sz w:val="22"/>
        </w:rPr>
        <w:t xml:space="preserve">(1) </w:t>
      </w:r>
      <w:r w:rsidR="00524AAA" w:rsidRPr="00F852E7">
        <w:rPr>
          <w:rStyle w:val="BodyText21"/>
          <w:sz w:val="22"/>
        </w:rPr>
        <w:t>This section applies in relation to a person who was an employee of the Corporation immediately before the transfer day if, at that time, the employee’s period of service for the purposes of the Long Service Leave Act was less than 10 years.</w:t>
      </w:r>
    </w:p>
    <w:p w14:paraId="759F9D51" w14:textId="77777777" w:rsidR="00412419" w:rsidRDefault="00412419">
      <w:pPr>
        <w:rPr>
          <w:rStyle w:val="Bodytext173"/>
          <w:rFonts w:eastAsia="Courier New"/>
          <w:i w:val="0"/>
          <w:iCs w:val="0"/>
          <w:sz w:val="22"/>
        </w:rPr>
        <w:sectPr w:rsidR="00412419" w:rsidSect="00962089">
          <w:headerReference w:type="default" r:id="rId34"/>
          <w:pgSz w:w="12240" w:h="15840" w:code="1"/>
          <w:pgMar w:top="1440" w:right="1440" w:bottom="1440" w:left="1440" w:header="360" w:footer="577" w:gutter="0"/>
          <w:cols w:space="720"/>
          <w:noEndnote/>
          <w:docGrid w:linePitch="360"/>
        </w:sectPr>
      </w:pPr>
    </w:p>
    <w:p w14:paraId="07632597" w14:textId="77777777" w:rsidR="005D1D9D" w:rsidRPr="00F852E7" w:rsidRDefault="003912EB" w:rsidP="003912EB">
      <w:pPr>
        <w:pStyle w:val="BodyText8"/>
        <w:spacing w:before="120" w:line="240" w:lineRule="auto"/>
        <w:ind w:left="990" w:hanging="356"/>
        <w:jc w:val="left"/>
        <w:rPr>
          <w:sz w:val="22"/>
        </w:rPr>
      </w:pPr>
      <w:r>
        <w:rPr>
          <w:rStyle w:val="BodyText21"/>
          <w:sz w:val="22"/>
        </w:rPr>
        <w:lastRenderedPageBreak/>
        <w:t xml:space="preserve">(2) </w:t>
      </w:r>
      <w:r w:rsidR="00524AAA" w:rsidRPr="00F852E7">
        <w:rPr>
          <w:rStyle w:val="BodyText21"/>
          <w:sz w:val="22"/>
        </w:rPr>
        <w:t>This section does not apply in relation to an employee who dies while in the employment of the Company. Section 19 covers such employees.</w:t>
      </w:r>
    </w:p>
    <w:p w14:paraId="01A5BA65" w14:textId="77777777" w:rsidR="005D1D9D" w:rsidRPr="00F852E7" w:rsidRDefault="00774A36" w:rsidP="00774A36">
      <w:pPr>
        <w:pStyle w:val="BodyText8"/>
        <w:spacing w:before="120" w:line="240" w:lineRule="auto"/>
        <w:ind w:left="990" w:hanging="356"/>
        <w:jc w:val="left"/>
        <w:rPr>
          <w:sz w:val="22"/>
        </w:rPr>
      </w:pPr>
      <w:r>
        <w:rPr>
          <w:rStyle w:val="BodyText21"/>
          <w:sz w:val="22"/>
        </w:rPr>
        <w:t xml:space="preserve">(3) </w:t>
      </w:r>
      <w:r w:rsidR="00524AAA" w:rsidRPr="00F852E7">
        <w:rPr>
          <w:rStyle w:val="BodyText21"/>
          <w:sz w:val="22"/>
        </w:rPr>
        <w:t>If the employee continues to be employed by the Company on and after the transfer day until his or her combined service period is at least 10 years, the Company may grant the employee long service leave on full salary for a period up to the employee’s long service leave credit under subsection 20(1).</w:t>
      </w:r>
    </w:p>
    <w:p w14:paraId="4DEC726F" w14:textId="77777777" w:rsidR="005D1D9D" w:rsidRPr="00F852E7" w:rsidRDefault="00F754A1" w:rsidP="00F754A1">
      <w:pPr>
        <w:pStyle w:val="BodyText8"/>
        <w:spacing w:before="120" w:line="240" w:lineRule="auto"/>
        <w:ind w:left="990" w:hanging="356"/>
        <w:jc w:val="left"/>
        <w:rPr>
          <w:sz w:val="22"/>
        </w:rPr>
      </w:pPr>
      <w:r>
        <w:rPr>
          <w:rStyle w:val="BodyText21"/>
          <w:sz w:val="22"/>
        </w:rPr>
        <w:t xml:space="preserve">(4) </w:t>
      </w:r>
      <w:r w:rsidR="00524AAA" w:rsidRPr="00F852E7">
        <w:rPr>
          <w:rStyle w:val="BodyText21"/>
          <w:sz w:val="22"/>
        </w:rPr>
        <w:t>If:</w:t>
      </w:r>
    </w:p>
    <w:p w14:paraId="02EED995" w14:textId="77777777" w:rsidR="005D1D9D" w:rsidRPr="00F852E7" w:rsidRDefault="00B267B2" w:rsidP="00C64AB3">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the employee stops being an employee of the Company, on or after reaching the minimum retirement age, or because of retrenchment; and</w:t>
      </w:r>
    </w:p>
    <w:p w14:paraId="201DCC1F" w14:textId="77777777" w:rsidR="005D1D9D" w:rsidRPr="00F852E7" w:rsidRDefault="00331B3B" w:rsidP="00331B3B">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the employee’s combined service period at the time when he or she stops being an employee of the Company is at least one year;</w:t>
      </w:r>
    </w:p>
    <w:p w14:paraId="322C9470" w14:textId="77777777" w:rsidR="005D1D9D" w:rsidRPr="00F852E7" w:rsidRDefault="00524AAA" w:rsidP="00357D0D">
      <w:pPr>
        <w:pStyle w:val="BodyText8"/>
        <w:spacing w:before="120" w:line="240" w:lineRule="auto"/>
        <w:ind w:left="994" w:firstLine="0"/>
        <w:jc w:val="left"/>
        <w:rPr>
          <w:sz w:val="22"/>
        </w:rPr>
      </w:pPr>
      <w:r w:rsidRPr="00F852E7">
        <w:rPr>
          <w:rStyle w:val="BodyText21"/>
          <w:sz w:val="22"/>
        </w:rPr>
        <w:t>the Company may grant the employee long service leave on full salary for a period of up to the employee’s long service leave credit under subsection 20(1).</w:t>
      </w:r>
    </w:p>
    <w:p w14:paraId="734748A1" w14:textId="77777777" w:rsidR="005D1D9D" w:rsidRPr="00F852E7" w:rsidRDefault="00044E10" w:rsidP="009005A8">
      <w:pPr>
        <w:pStyle w:val="BodyText8"/>
        <w:spacing w:before="120" w:line="240" w:lineRule="auto"/>
        <w:ind w:left="972" w:hanging="338"/>
        <w:jc w:val="left"/>
        <w:rPr>
          <w:sz w:val="22"/>
        </w:rPr>
      </w:pPr>
      <w:r>
        <w:rPr>
          <w:rStyle w:val="BodyText21"/>
          <w:sz w:val="22"/>
        </w:rPr>
        <w:t xml:space="preserve">(5) </w:t>
      </w:r>
      <w:r w:rsidR="00524AAA" w:rsidRPr="00F852E7">
        <w:rPr>
          <w:rStyle w:val="BodyText21"/>
          <w:sz w:val="22"/>
        </w:rPr>
        <w:t>If a period of long service leave may be granted to an employee under subsection (3) or (4), the Company may, if the employee asks in writing, grant the employee long service leave on half salary for a period that is not more than twice the first-mentioned period.</w:t>
      </w:r>
    </w:p>
    <w:p w14:paraId="10BA2E52" w14:textId="77777777" w:rsidR="005D1D9D" w:rsidRPr="00F852E7" w:rsidRDefault="00CE6B48" w:rsidP="009005A8">
      <w:pPr>
        <w:pStyle w:val="BodyText8"/>
        <w:spacing w:before="120" w:line="240" w:lineRule="auto"/>
        <w:ind w:left="972" w:hanging="338"/>
        <w:jc w:val="left"/>
        <w:rPr>
          <w:sz w:val="22"/>
        </w:rPr>
      </w:pPr>
      <w:r>
        <w:rPr>
          <w:rStyle w:val="BodyText21"/>
          <w:sz w:val="22"/>
        </w:rPr>
        <w:t>(</w:t>
      </w:r>
      <w:r w:rsidR="00985325">
        <w:rPr>
          <w:rStyle w:val="BodyText21"/>
          <w:sz w:val="22"/>
        </w:rPr>
        <w:t>6</w:t>
      </w:r>
      <w:r>
        <w:rPr>
          <w:rStyle w:val="BodyText21"/>
          <w:sz w:val="22"/>
        </w:rPr>
        <w:t>)</w:t>
      </w:r>
      <w:r w:rsidR="00985325">
        <w:rPr>
          <w:rStyle w:val="BodyText21"/>
          <w:sz w:val="22"/>
        </w:rPr>
        <w:t xml:space="preserve"> </w:t>
      </w:r>
      <w:r w:rsidR="00524AAA" w:rsidRPr="00F852E7">
        <w:rPr>
          <w:rStyle w:val="BodyText21"/>
          <w:sz w:val="22"/>
        </w:rPr>
        <w:t>Long service leave granted in the circumstances set out in subsection (4) is to be taken so as to end immediately before the employee stops being an employee.</w:t>
      </w:r>
    </w:p>
    <w:p w14:paraId="518FAD92" w14:textId="77777777" w:rsidR="005D1D9D" w:rsidRPr="00F852E7" w:rsidRDefault="00E529D3" w:rsidP="00BA71EF">
      <w:pPr>
        <w:pStyle w:val="BodyText8"/>
        <w:spacing w:before="120" w:line="240" w:lineRule="auto"/>
        <w:ind w:left="965" w:hanging="331"/>
        <w:jc w:val="left"/>
        <w:rPr>
          <w:sz w:val="22"/>
        </w:rPr>
      </w:pPr>
      <w:r>
        <w:rPr>
          <w:rStyle w:val="BodyText21"/>
          <w:sz w:val="22"/>
        </w:rPr>
        <w:t xml:space="preserve">(7) </w:t>
      </w:r>
      <w:r w:rsidR="00524AAA" w:rsidRPr="00F852E7">
        <w:rPr>
          <w:rStyle w:val="BodyText21"/>
          <w:sz w:val="22"/>
        </w:rPr>
        <w:t>For the purposes of this section, the rate of salary to be used in working out the full salary of an employee is the rate that would be applicable to the employee under section 20 of the Long Service Leave Act if:</w:t>
      </w:r>
    </w:p>
    <w:p w14:paraId="10029335" w14:textId="77777777" w:rsidR="005D1D9D" w:rsidRPr="00F852E7" w:rsidRDefault="001A19E2" w:rsidP="00FF5E08">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that section applied to the employee; and</w:t>
      </w:r>
    </w:p>
    <w:p w14:paraId="4DD61193" w14:textId="4FA9753C" w:rsidR="005D1D9D" w:rsidRPr="00F852E7" w:rsidRDefault="00932043" w:rsidP="00FF5E08">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 xml:space="preserve">for the expression “section 16 or 17” in that section there were substituted the expression “section 17 of the </w:t>
      </w:r>
      <w:r w:rsidR="00524AAA" w:rsidRPr="00F852E7">
        <w:rPr>
          <w:rStyle w:val="BodytextItalic1"/>
          <w:sz w:val="22"/>
        </w:rPr>
        <w:t>Housing Loans Insurance Corporation (Transfer of Assets and Abolition) Act 1996</w:t>
      </w:r>
      <w:r w:rsidR="00524AAA" w:rsidRPr="00ED2AD4">
        <w:rPr>
          <w:rStyle w:val="BodytextItalic1"/>
          <w:i w:val="0"/>
          <w:sz w:val="22"/>
        </w:rPr>
        <w:t>"</w:t>
      </w:r>
      <w:r w:rsidR="00524AAA" w:rsidRPr="00F852E7">
        <w:rPr>
          <w:rStyle w:val="BodytextItalic1"/>
          <w:sz w:val="22"/>
        </w:rPr>
        <w:t>.</w:t>
      </w:r>
    </w:p>
    <w:p w14:paraId="286D0C85" w14:textId="77777777" w:rsidR="005D1D9D" w:rsidRPr="00F852E7" w:rsidRDefault="000810C2" w:rsidP="00775F7E">
      <w:pPr>
        <w:pStyle w:val="Bodytext140"/>
        <w:spacing w:before="120" w:after="60" w:line="240" w:lineRule="auto"/>
        <w:ind w:firstLine="0"/>
        <w:jc w:val="left"/>
        <w:rPr>
          <w:sz w:val="22"/>
        </w:rPr>
      </w:pPr>
      <w:r>
        <w:rPr>
          <w:rStyle w:val="Bodytext14Bold1"/>
          <w:sz w:val="22"/>
        </w:rPr>
        <w:t xml:space="preserve">18 </w:t>
      </w:r>
      <w:r w:rsidR="00524AAA" w:rsidRPr="00F852E7">
        <w:rPr>
          <w:rStyle w:val="Bodytext14Bold1"/>
          <w:sz w:val="22"/>
        </w:rPr>
        <w:t>Payments in lieu of long service leave for employees with less than 10 years service</w:t>
      </w:r>
    </w:p>
    <w:p w14:paraId="7A86152B" w14:textId="77777777" w:rsidR="005D1D9D" w:rsidRPr="006F532A" w:rsidRDefault="00524AAA" w:rsidP="0027782D">
      <w:pPr>
        <w:pStyle w:val="Bodytext150"/>
        <w:tabs>
          <w:tab w:val="left" w:pos="1773"/>
        </w:tabs>
        <w:spacing w:before="120" w:line="240" w:lineRule="auto"/>
        <w:ind w:left="1773" w:hanging="779"/>
        <w:jc w:val="left"/>
        <w:rPr>
          <w:sz w:val="20"/>
          <w:szCs w:val="20"/>
        </w:rPr>
      </w:pPr>
      <w:r w:rsidRPr="006F532A">
        <w:rPr>
          <w:sz w:val="20"/>
          <w:szCs w:val="20"/>
        </w:rPr>
        <w:t>Note:</w:t>
      </w:r>
      <w:r w:rsidR="006F532A" w:rsidRPr="006F532A">
        <w:rPr>
          <w:sz w:val="20"/>
          <w:szCs w:val="20"/>
        </w:rPr>
        <w:tab/>
      </w:r>
      <w:r w:rsidRPr="006F532A">
        <w:rPr>
          <w:sz w:val="20"/>
          <w:szCs w:val="20"/>
        </w:rPr>
        <w:t>This</w:t>
      </w:r>
      <w:r w:rsidR="00260CB0" w:rsidRPr="006F532A">
        <w:rPr>
          <w:sz w:val="20"/>
          <w:szCs w:val="20"/>
        </w:rPr>
        <w:t xml:space="preserve"> </w:t>
      </w:r>
      <w:r w:rsidRPr="006F532A">
        <w:rPr>
          <w:sz w:val="20"/>
          <w:szCs w:val="20"/>
        </w:rPr>
        <w:t>section</w:t>
      </w:r>
      <w:r w:rsidR="00260CB0" w:rsidRPr="006F532A">
        <w:rPr>
          <w:sz w:val="20"/>
          <w:szCs w:val="20"/>
        </w:rPr>
        <w:t xml:space="preserve"> </w:t>
      </w:r>
      <w:r w:rsidRPr="006F532A">
        <w:rPr>
          <w:sz w:val="20"/>
          <w:szCs w:val="20"/>
        </w:rPr>
        <w:t>provides</w:t>
      </w:r>
      <w:r w:rsidR="00260CB0" w:rsidRPr="006F532A">
        <w:rPr>
          <w:sz w:val="20"/>
          <w:szCs w:val="20"/>
        </w:rPr>
        <w:t xml:space="preserve"> </w:t>
      </w:r>
      <w:r w:rsidRPr="006F532A">
        <w:rPr>
          <w:sz w:val="20"/>
          <w:szCs w:val="20"/>
        </w:rPr>
        <w:t>that, in certain circumstances, the Company</w:t>
      </w:r>
      <w:r w:rsidR="009C541D">
        <w:rPr>
          <w:sz w:val="20"/>
          <w:szCs w:val="20"/>
        </w:rPr>
        <w:t xml:space="preserve"> </w:t>
      </w:r>
      <w:r w:rsidRPr="006F532A">
        <w:rPr>
          <w:sz w:val="20"/>
          <w:szCs w:val="20"/>
        </w:rPr>
        <w:t>must pay an amount in respect of long service leave to an employee</w:t>
      </w:r>
    </w:p>
    <w:p w14:paraId="04E6FE12" w14:textId="77777777" w:rsidR="00412419" w:rsidRDefault="00412419">
      <w:pPr>
        <w:rPr>
          <w:sz w:val="22"/>
        </w:rPr>
        <w:sectPr w:rsidR="00412419" w:rsidSect="00962089">
          <w:headerReference w:type="even" r:id="rId35"/>
          <w:pgSz w:w="12240" w:h="15840" w:code="1"/>
          <w:pgMar w:top="1787" w:right="1440" w:bottom="1440" w:left="1440" w:header="540" w:footer="487" w:gutter="0"/>
          <w:cols w:space="720"/>
          <w:noEndnote/>
          <w:docGrid w:linePitch="360"/>
        </w:sectPr>
      </w:pPr>
    </w:p>
    <w:p w14:paraId="2CADBE4C" w14:textId="77777777" w:rsidR="005D1D9D" w:rsidRPr="00F94A48" w:rsidRDefault="00524AAA" w:rsidP="001A52E0">
      <w:pPr>
        <w:pStyle w:val="Bodytext150"/>
        <w:spacing w:before="120" w:line="240" w:lineRule="auto"/>
        <w:ind w:left="1771" w:firstLine="0"/>
        <w:jc w:val="left"/>
        <w:rPr>
          <w:sz w:val="20"/>
          <w:szCs w:val="20"/>
        </w:rPr>
      </w:pPr>
      <w:r w:rsidRPr="00F94A48">
        <w:rPr>
          <w:sz w:val="20"/>
          <w:szCs w:val="20"/>
        </w:rPr>
        <w:lastRenderedPageBreak/>
        <w:t>who has not used all of his or her long service leave credit by taking long service leave under section 17.</w:t>
      </w:r>
    </w:p>
    <w:p w14:paraId="206A4792" w14:textId="77777777" w:rsidR="005D1D9D" w:rsidRPr="00F852E7" w:rsidRDefault="007148BE" w:rsidP="00A51A5A">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This section applies in relation to a person who was an employee of the Corporation immediately before the transfer day, if, at that time, the employee’s period of service for the purposes of the Long Service Leave Act was less than 10 years.</w:t>
      </w:r>
    </w:p>
    <w:p w14:paraId="28487D57" w14:textId="77777777" w:rsidR="005D1D9D" w:rsidRPr="00F852E7" w:rsidRDefault="00D55734" w:rsidP="008D2003">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This section does not apply in relation to an employee who dies while in the employment of the Company. Section 19 covers such employees.</w:t>
      </w:r>
    </w:p>
    <w:p w14:paraId="7FFD2926" w14:textId="77777777" w:rsidR="005D1D9D" w:rsidRPr="001E4528" w:rsidRDefault="00D55734" w:rsidP="001E4528">
      <w:pPr>
        <w:pStyle w:val="BodyText8"/>
        <w:spacing w:before="120" w:line="240" w:lineRule="auto"/>
        <w:ind w:left="965" w:hanging="331"/>
        <w:jc w:val="left"/>
        <w:rPr>
          <w:rStyle w:val="BodyText21"/>
          <w:sz w:val="22"/>
        </w:rPr>
      </w:pPr>
      <w:r>
        <w:rPr>
          <w:rStyle w:val="BodyText21"/>
          <w:sz w:val="22"/>
        </w:rPr>
        <w:t xml:space="preserve">(3) </w:t>
      </w:r>
      <w:r w:rsidR="00524AAA" w:rsidRPr="00F852E7">
        <w:rPr>
          <w:rStyle w:val="BodyText21"/>
          <w:sz w:val="22"/>
        </w:rPr>
        <w:t>Subject to subsection (6), if the employee stops being an employee of the Company on or after the day on which his or her combined service period reaches 10 years, the Company must pay him or her an amount equal to full salary in respect of his or her long service leave credit under subsection 20(2).</w:t>
      </w:r>
    </w:p>
    <w:p w14:paraId="2E20A000" w14:textId="77777777" w:rsidR="005D1D9D" w:rsidRPr="001E4528" w:rsidRDefault="00D55734" w:rsidP="001E4528">
      <w:pPr>
        <w:pStyle w:val="BodyText8"/>
        <w:spacing w:before="120" w:line="240" w:lineRule="auto"/>
        <w:ind w:left="965" w:hanging="331"/>
        <w:jc w:val="left"/>
        <w:rPr>
          <w:rStyle w:val="BodyText21"/>
          <w:sz w:val="22"/>
        </w:rPr>
      </w:pPr>
      <w:r>
        <w:rPr>
          <w:rStyle w:val="BodyText21"/>
          <w:sz w:val="22"/>
        </w:rPr>
        <w:t xml:space="preserve">(4) </w:t>
      </w:r>
      <w:r w:rsidR="00524AAA" w:rsidRPr="00F852E7">
        <w:rPr>
          <w:rStyle w:val="BodyText21"/>
          <w:sz w:val="22"/>
        </w:rPr>
        <w:t>Subject to subsection (6), if:</w:t>
      </w:r>
    </w:p>
    <w:p w14:paraId="34A6E9F5" w14:textId="77777777" w:rsidR="005D1D9D" w:rsidRPr="00F852E7" w:rsidRDefault="00FE0A43" w:rsidP="008D2003">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the employee stops being an employee of the Company, on or after reaching the minimum retiring age, or because of retrenchment; and</w:t>
      </w:r>
    </w:p>
    <w:p w14:paraId="026A1A33" w14:textId="77777777" w:rsidR="005D1D9D" w:rsidRPr="00F852E7" w:rsidRDefault="00FE0A43" w:rsidP="008D2003">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at that time the employee’s combined service period is at least one year;</w:t>
      </w:r>
    </w:p>
    <w:p w14:paraId="3B7BC0DD" w14:textId="77777777" w:rsidR="005D1D9D" w:rsidRPr="00F852E7" w:rsidRDefault="00524AAA" w:rsidP="0074171A">
      <w:pPr>
        <w:pStyle w:val="BodyText8"/>
        <w:spacing w:before="120" w:line="240" w:lineRule="auto"/>
        <w:ind w:left="994" w:firstLine="0"/>
        <w:jc w:val="left"/>
        <w:rPr>
          <w:sz w:val="22"/>
        </w:rPr>
      </w:pPr>
      <w:r w:rsidRPr="00F852E7">
        <w:rPr>
          <w:rStyle w:val="BodyText21"/>
          <w:sz w:val="22"/>
        </w:rPr>
        <w:t xml:space="preserve">the Company must pay him or her an amount equal to full salary in respect of his or her long service leave credit under subsection </w:t>
      </w:r>
      <w:r w:rsidRPr="00F852E7">
        <w:rPr>
          <w:rStyle w:val="Bodytext11pt"/>
          <w:spacing w:val="0"/>
        </w:rPr>
        <w:t>20(2)</w:t>
      </w:r>
      <w:r w:rsidRPr="00F852E7">
        <w:rPr>
          <w:rStyle w:val="BodytextImpact"/>
          <w:rFonts w:ascii="Times New Roman" w:hAnsi="Times New Roman" w:cs="Times New Roman"/>
          <w:spacing w:val="0"/>
          <w:sz w:val="22"/>
        </w:rPr>
        <w:t>.</w:t>
      </w:r>
    </w:p>
    <w:p w14:paraId="15A2A9D1" w14:textId="77777777" w:rsidR="005D1D9D" w:rsidRPr="00F852E7" w:rsidRDefault="00FE0A43" w:rsidP="00CF154A">
      <w:pPr>
        <w:pStyle w:val="BodyText8"/>
        <w:spacing w:before="120" w:line="240" w:lineRule="auto"/>
        <w:ind w:left="965" w:hanging="331"/>
        <w:jc w:val="left"/>
        <w:rPr>
          <w:sz w:val="22"/>
        </w:rPr>
      </w:pPr>
      <w:r>
        <w:rPr>
          <w:rStyle w:val="BodyText21"/>
          <w:sz w:val="22"/>
        </w:rPr>
        <w:t xml:space="preserve">(5) </w:t>
      </w:r>
      <w:r w:rsidR="00524AAA" w:rsidRPr="00F852E7">
        <w:rPr>
          <w:rStyle w:val="BodyText21"/>
          <w:sz w:val="22"/>
        </w:rPr>
        <w:t>Subject to subsection (6), if:</w:t>
      </w:r>
    </w:p>
    <w:p w14:paraId="1C598501" w14:textId="77777777" w:rsidR="005D1D9D" w:rsidRPr="00CF154A" w:rsidRDefault="00D90B0C" w:rsidP="00CF154A">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the employee stops being an employee of the Company; and</w:t>
      </w:r>
    </w:p>
    <w:p w14:paraId="3150352E" w14:textId="77777777" w:rsidR="005D1D9D" w:rsidRPr="00CF154A" w:rsidRDefault="00D90B0C" w:rsidP="00CF154A">
      <w:pPr>
        <w:pStyle w:val="BodyText8"/>
        <w:spacing w:before="120" w:line="240" w:lineRule="auto"/>
        <w:ind w:left="1440" w:hanging="288"/>
        <w:jc w:val="left"/>
        <w:rPr>
          <w:rStyle w:val="BodyText21"/>
          <w:sz w:val="22"/>
        </w:rPr>
      </w:pPr>
      <w:r>
        <w:rPr>
          <w:rStyle w:val="BodyText21"/>
          <w:sz w:val="22"/>
        </w:rPr>
        <w:t xml:space="preserve">(b) </w:t>
      </w:r>
      <w:r w:rsidR="00524AAA" w:rsidRPr="00F852E7">
        <w:rPr>
          <w:rStyle w:val="BodyText21"/>
          <w:sz w:val="22"/>
        </w:rPr>
        <w:t>the Company is satisfied that the employee left the Company because of ill-health that justified his or her so leaving; and</w:t>
      </w:r>
    </w:p>
    <w:p w14:paraId="6D14F9EE" w14:textId="77777777" w:rsidR="005D1D9D" w:rsidRPr="00F852E7" w:rsidRDefault="00D90B0C" w:rsidP="00CF154A">
      <w:pPr>
        <w:pStyle w:val="BodyText8"/>
        <w:spacing w:before="120" w:line="240" w:lineRule="auto"/>
        <w:ind w:left="1440" w:hanging="288"/>
        <w:jc w:val="left"/>
        <w:rPr>
          <w:sz w:val="22"/>
        </w:rPr>
      </w:pPr>
      <w:r>
        <w:rPr>
          <w:rStyle w:val="BodyText21"/>
          <w:sz w:val="22"/>
        </w:rPr>
        <w:t xml:space="preserve">(c) </w:t>
      </w:r>
      <w:r w:rsidR="00524AAA" w:rsidRPr="00F852E7">
        <w:rPr>
          <w:rStyle w:val="BodyText21"/>
          <w:sz w:val="22"/>
        </w:rPr>
        <w:t>when the employee left, his or her combined service period was at least one year;</w:t>
      </w:r>
    </w:p>
    <w:p w14:paraId="58C4FF98" w14:textId="77777777" w:rsidR="005D1D9D" w:rsidRPr="00F852E7" w:rsidRDefault="00524AAA" w:rsidP="00B2224D">
      <w:pPr>
        <w:pStyle w:val="BodyText8"/>
        <w:spacing w:before="120" w:line="240" w:lineRule="auto"/>
        <w:ind w:left="994" w:firstLine="0"/>
        <w:jc w:val="left"/>
        <w:rPr>
          <w:sz w:val="22"/>
        </w:rPr>
      </w:pPr>
      <w:r w:rsidRPr="00F852E7">
        <w:rPr>
          <w:rStyle w:val="BodyText21"/>
          <w:sz w:val="22"/>
        </w:rPr>
        <w:t xml:space="preserve">the Company must pay him or her an amount equal to full salary in respect of his or her long service leave credit under subsection </w:t>
      </w:r>
      <w:r w:rsidRPr="00F852E7">
        <w:rPr>
          <w:rStyle w:val="Bodytext105pt"/>
          <w:spacing w:val="0"/>
          <w:sz w:val="22"/>
        </w:rPr>
        <w:t>20</w:t>
      </w:r>
      <w:r w:rsidRPr="00F852E7">
        <w:rPr>
          <w:rStyle w:val="Bodytext9pt"/>
          <w:sz w:val="22"/>
        </w:rPr>
        <w:t>(</w:t>
      </w:r>
      <w:r w:rsidRPr="00F852E7">
        <w:rPr>
          <w:rStyle w:val="Bodytext105pt"/>
          <w:spacing w:val="0"/>
          <w:sz w:val="22"/>
        </w:rPr>
        <w:t>2</w:t>
      </w:r>
      <w:r w:rsidRPr="00F852E7">
        <w:rPr>
          <w:rStyle w:val="Bodytext9pt"/>
          <w:sz w:val="22"/>
        </w:rPr>
        <w:t>).</w:t>
      </w:r>
    </w:p>
    <w:p w14:paraId="188E45DC" w14:textId="77777777" w:rsidR="005D1D9D" w:rsidRPr="00F852E7" w:rsidRDefault="000C53C4" w:rsidP="00F735EA">
      <w:pPr>
        <w:pStyle w:val="BodyText8"/>
        <w:spacing w:before="120" w:line="240" w:lineRule="auto"/>
        <w:ind w:left="965" w:hanging="331"/>
        <w:jc w:val="left"/>
        <w:rPr>
          <w:sz w:val="22"/>
        </w:rPr>
      </w:pPr>
      <w:r>
        <w:rPr>
          <w:rStyle w:val="BodyText21"/>
          <w:sz w:val="22"/>
        </w:rPr>
        <w:t xml:space="preserve">(6) </w:t>
      </w:r>
      <w:r w:rsidR="00524AAA" w:rsidRPr="00F852E7">
        <w:rPr>
          <w:rStyle w:val="BodyText21"/>
          <w:sz w:val="22"/>
        </w:rPr>
        <w:t>An employee may, by written notice given to the Company before the employee stops being an employee of the Company:</w:t>
      </w:r>
    </w:p>
    <w:p w14:paraId="251AC205" w14:textId="77777777" w:rsidR="005D1D9D" w:rsidRPr="00F852E7" w:rsidRDefault="002B6374" w:rsidP="005A7BC3">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request the Company not to make a payment to the employee under this section; or</w:t>
      </w:r>
    </w:p>
    <w:p w14:paraId="0E91FD08" w14:textId="77777777" w:rsidR="005D1D9D" w:rsidRPr="00F852E7" w:rsidRDefault="002B6374" w:rsidP="00B6474C">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request the Company to make a payment under subsection</w:t>
      </w:r>
      <w:r w:rsidR="00B6474C">
        <w:rPr>
          <w:rStyle w:val="BodyText21"/>
          <w:sz w:val="22"/>
        </w:rPr>
        <w:t xml:space="preserve"> </w:t>
      </w:r>
      <w:r w:rsidR="00E5514A">
        <w:rPr>
          <w:rStyle w:val="BodyText21"/>
          <w:sz w:val="22"/>
        </w:rPr>
        <w:t>(3)</w:t>
      </w:r>
      <w:r w:rsidR="00524AAA" w:rsidRPr="00F852E7">
        <w:rPr>
          <w:rStyle w:val="BodyText21"/>
          <w:sz w:val="22"/>
        </w:rPr>
        <w:t>, (4) or (5) of a stated amount that is less than the amount that would otherwise be payable under that subsection.</w:t>
      </w:r>
    </w:p>
    <w:p w14:paraId="11A4CCC3" w14:textId="77777777" w:rsidR="00412419" w:rsidRDefault="00412419">
      <w:pPr>
        <w:rPr>
          <w:rStyle w:val="Bodytext173"/>
          <w:rFonts w:eastAsia="Courier New"/>
          <w:i w:val="0"/>
          <w:iCs w:val="0"/>
          <w:sz w:val="22"/>
        </w:rPr>
        <w:sectPr w:rsidR="00412419" w:rsidSect="00962089">
          <w:headerReference w:type="default" r:id="rId36"/>
          <w:pgSz w:w="12240" w:h="15840" w:code="1"/>
          <w:pgMar w:top="1795" w:right="1440" w:bottom="1440" w:left="1440" w:header="540" w:footer="397" w:gutter="0"/>
          <w:cols w:space="720"/>
          <w:noEndnote/>
          <w:docGrid w:linePitch="360"/>
        </w:sectPr>
      </w:pPr>
    </w:p>
    <w:p w14:paraId="7A5018CC" w14:textId="77777777" w:rsidR="005D1D9D" w:rsidRPr="00F852E7" w:rsidRDefault="00A84AE9" w:rsidP="001E77CC">
      <w:pPr>
        <w:pStyle w:val="BodyText8"/>
        <w:spacing w:before="120" w:line="240" w:lineRule="auto"/>
        <w:ind w:left="965" w:hanging="331"/>
        <w:jc w:val="left"/>
        <w:rPr>
          <w:sz w:val="22"/>
        </w:rPr>
      </w:pPr>
      <w:r>
        <w:rPr>
          <w:rStyle w:val="BodyText21"/>
          <w:sz w:val="22"/>
        </w:rPr>
        <w:lastRenderedPageBreak/>
        <w:t xml:space="preserve">(7) </w:t>
      </w:r>
      <w:r w:rsidR="00524AAA" w:rsidRPr="00F852E7">
        <w:rPr>
          <w:rStyle w:val="BodyText21"/>
          <w:sz w:val="22"/>
        </w:rPr>
        <w:t xml:space="preserve">The Company must comply with a request made under subsection </w:t>
      </w:r>
      <w:r w:rsidR="00524AAA" w:rsidRPr="00F852E7">
        <w:rPr>
          <w:rStyle w:val="Bodytext9pt0"/>
          <w:sz w:val="22"/>
        </w:rPr>
        <w:t>(</w:t>
      </w:r>
      <w:r w:rsidR="00524AAA" w:rsidRPr="00F852E7">
        <w:rPr>
          <w:rStyle w:val="Bodytext105pt0"/>
          <w:sz w:val="22"/>
        </w:rPr>
        <w:t>6</w:t>
      </w:r>
      <w:r w:rsidR="00524AAA" w:rsidRPr="00F852E7">
        <w:rPr>
          <w:rStyle w:val="Bodytext9pt0"/>
          <w:sz w:val="22"/>
        </w:rPr>
        <w:t>).</w:t>
      </w:r>
    </w:p>
    <w:p w14:paraId="6DD440A5" w14:textId="77777777" w:rsidR="005D1D9D" w:rsidRPr="00F852E7" w:rsidRDefault="00242C80" w:rsidP="00F1691A">
      <w:pPr>
        <w:pStyle w:val="BodyText8"/>
        <w:spacing w:before="120" w:line="240" w:lineRule="auto"/>
        <w:ind w:left="965" w:hanging="331"/>
        <w:jc w:val="left"/>
        <w:rPr>
          <w:sz w:val="22"/>
        </w:rPr>
      </w:pPr>
      <w:r>
        <w:rPr>
          <w:rStyle w:val="BodyText21"/>
          <w:sz w:val="22"/>
        </w:rPr>
        <w:t xml:space="preserve">(8) </w:t>
      </w:r>
      <w:r w:rsidR="00524AAA" w:rsidRPr="00F852E7">
        <w:rPr>
          <w:rStyle w:val="BodyText21"/>
          <w:sz w:val="22"/>
        </w:rPr>
        <w:t>For the purposes of this section, the rate of salary to be used in working out the full salary of an employee is the rate that would be applicable to the employee under section 21 of the Long Service Leave Act if:</w:t>
      </w:r>
    </w:p>
    <w:p w14:paraId="02C0E192" w14:textId="77777777" w:rsidR="005D1D9D" w:rsidRPr="00F852E7" w:rsidRDefault="009466C1" w:rsidP="009466C1">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that section applied to the employee; and</w:t>
      </w:r>
    </w:p>
    <w:p w14:paraId="3C9A599C" w14:textId="4CCECA33" w:rsidR="005D1D9D" w:rsidRPr="00F852E7" w:rsidRDefault="009466C1" w:rsidP="009466C1">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 xml:space="preserve">for the expression “sections 16 and 17” in that section there were substituted the expression “section 18 of the </w:t>
      </w:r>
      <w:r w:rsidR="00524AAA" w:rsidRPr="00F852E7">
        <w:rPr>
          <w:rStyle w:val="BodytextItalic1"/>
          <w:sz w:val="22"/>
        </w:rPr>
        <w:t>Housing Loans Insurance Corporation (Transfer of Assets and Abolition) Act 1996</w:t>
      </w:r>
      <w:r w:rsidR="00524AAA" w:rsidRPr="00ED2AD4">
        <w:rPr>
          <w:rStyle w:val="BodytextItalic1"/>
          <w:i w:val="0"/>
          <w:sz w:val="22"/>
        </w:rPr>
        <w:t>"</w:t>
      </w:r>
      <w:r w:rsidR="00524AAA" w:rsidRPr="00F852E7">
        <w:rPr>
          <w:rStyle w:val="BodytextItalic1"/>
          <w:sz w:val="22"/>
        </w:rPr>
        <w:t>.</w:t>
      </w:r>
    </w:p>
    <w:p w14:paraId="086C78AA" w14:textId="77777777" w:rsidR="005D1D9D" w:rsidRPr="00F852E7" w:rsidRDefault="006327AE" w:rsidP="007E1357">
      <w:pPr>
        <w:spacing w:before="120" w:after="60"/>
        <w:rPr>
          <w:rFonts w:ascii="Times New Roman" w:hAnsi="Times New Roman" w:cs="Times New Roman"/>
        </w:rPr>
      </w:pPr>
      <w:bookmarkStart w:id="17" w:name="bookmark17"/>
      <w:r>
        <w:rPr>
          <w:rStyle w:val="Heading4Bold"/>
          <w:rFonts w:eastAsia="Courier New"/>
          <w:sz w:val="22"/>
        </w:rPr>
        <w:t xml:space="preserve">19 </w:t>
      </w:r>
      <w:r w:rsidR="00524AAA" w:rsidRPr="00F852E7">
        <w:rPr>
          <w:rStyle w:val="Heading4Bold"/>
          <w:rFonts w:eastAsia="Courier New"/>
          <w:sz w:val="22"/>
        </w:rPr>
        <w:t>Payments on the death of an employee</w:t>
      </w:r>
      <w:bookmarkEnd w:id="17"/>
    </w:p>
    <w:p w14:paraId="445DC4B6" w14:textId="77777777" w:rsidR="005D1D9D" w:rsidRPr="00992F35" w:rsidRDefault="006F532A" w:rsidP="00992F35">
      <w:pPr>
        <w:pStyle w:val="Bodytext150"/>
        <w:tabs>
          <w:tab w:val="left" w:pos="1773"/>
        </w:tabs>
        <w:spacing w:before="120" w:line="240" w:lineRule="auto"/>
        <w:ind w:left="1773" w:hanging="779"/>
        <w:jc w:val="left"/>
        <w:rPr>
          <w:sz w:val="20"/>
          <w:szCs w:val="20"/>
        </w:rPr>
      </w:pPr>
      <w:r w:rsidRPr="00992F35">
        <w:rPr>
          <w:sz w:val="20"/>
          <w:szCs w:val="20"/>
        </w:rPr>
        <w:t>Note:</w:t>
      </w:r>
      <w:r w:rsidRPr="00992F35">
        <w:rPr>
          <w:sz w:val="20"/>
          <w:szCs w:val="20"/>
        </w:rPr>
        <w:tab/>
      </w:r>
      <w:r w:rsidR="00524AAA" w:rsidRPr="00992F35">
        <w:rPr>
          <w:sz w:val="20"/>
          <w:szCs w:val="20"/>
        </w:rPr>
        <w:t>This section applies in relation to a person who was an employee of</w:t>
      </w:r>
      <w:r w:rsidR="00992F35">
        <w:rPr>
          <w:sz w:val="20"/>
          <w:szCs w:val="20"/>
        </w:rPr>
        <w:t xml:space="preserve"> </w:t>
      </w:r>
      <w:r w:rsidR="00524AAA" w:rsidRPr="00992F35">
        <w:rPr>
          <w:sz w:val="20"/>
          <w:szCs w:val="20"/>
        </w:rPr>
        <w:t>the Corporation immediately before the transfer day if, at that time, the employee’s period of service for the purposes of the Long Service Leave Act was less than 10 years.</w:t>
      </w:r>
    </w:p>
    <w:p w14:paraId="5C50415F" w14:textId="77777777" w:rsidR="005D1D9D" w:rsidRPr="00F852E7" w:rsidRDefault="00E6333C" w:rsidP="00E71300">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If, on or after the transfer day, the employee dies and immediately before his or her death:</w:t>
      </w:r>
    </w:p>
    <w:p w14:paraId="0DE8CFC0" w14:textId="77777777" w:rsidR="005D1D9D" w:rsidRPr="00552830" w:rsidRDefault="00E97C71" w:rsidP="00552830">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the employee was an employee of the Company; and</w:t>
      </w:r>
    </w:p>
    <w:p w14:paraId="3776C45A" w14:textId="77777777" w:rsidR="005D1D9D" w:rsidRPr="00552830" w:rsidRDefault="00E97C71" w:rsidP="00552830">
      <w:pPr>
        <w:pStyle w:val="BodyText8"/>
        <w:spacing w:before="120" w:line="240" w:lineRule="auto"/>
        <w:ind w:left="1440" w:hanging="288"/>
        <w:jc w:val="left"/>
        <w:rPr>
          <w:rStyle w:val="BodyText21"/>
          <w:sz w:val="22"/>
        </w:rPr>
      </w:pPr>
      <w:r>
        <w:rPr>
          <w:rStyle w:val="BodyText21"/>
          <w:sz w:val="22"/>
        </w:rPr>
        <w:t xml:space="preserve">(b) </w:t>
      </w:r>
      <w:r w:rsidR="00524AAA" w:rsidRPr="00F852E7">
        <w:rPr>
          <w:rStyle w:val="BodyText21"/>
          <w:sz w:val="22"/>
        </w:rPr>
        <w:t>the employee’s combined service period was at least one year; and</w:t>
      </w:r>
    </w:p>
    <w:p w14:paraId="62579519" w14:textId="77777777" w:rsidR="005D1D9D" w:rsidRPr="00F852E7" w:rsidRDefault="00E97C71" w:rsidP="00552830">
      <w:pPr>
        <w:pStyle w:val="BodyText8"/>
        <w:spacing w:before="120" w:line="240" w:lineRule="auto"/>
        <w:ind w:left="1440" w:hanging="288"/>
        <w:jc w:val="left"/>
        <w:rPr>
          <w:sz w:val="22"/>
        </w:rPr>
      </w:pPr>
      <w:r>
        <w:rPr>
          <w:rStyle w:val="BodyText21"/>
          <w:sz w:val="22"/>
        </w:rPr>
        <w:t xml:space="preserve">(c) </w:t>
      </w:r>
      <w:r w:rsidR="00524AAA" w:rsidRPr="00F852E7">
        <w:rPr>
          <w:rStyle w:val="BodyText21"/>
          <w:sz w:val="22"/>
        </w:rPr>
        <w:t>the employee had one or more dependants;</w:t>
      </w:r>
    </w:p>
    <w:p w14:paraId="54FFC935" w14:textId="77777777" w:rsidR="005D1D9D" w:rsidRPr="00F852E7" w:rsidRDefault="00524AAA" w:rsidP="00CC6101">
      <w:pPr>
        <w:pStyle w:val="BodyText8"/>
        <w:spacing w:before="120" w:line="240" w:lineRule="auto"/>
        <w:ind w:left="994" w:firstLine="0"/>
        <w:jc w:val="left"/>
        <w:rPr>
          <w:sz w:val="22"/>
        </w:rPr>
      </w:pPr>
      <w:r w:rsidRPr="00F852E7">
        <w:rPr>
          <w:rStyle w:val="BodyText21"/>
          <w:sz w:val="22"/>
        </w:rPr>
        <w:t>the Company must make a payment to a dependant or to 2 or more dependants of the employee.</w:t>
      </w:r>
    </w:p>
    <w:p w14:paraId="73D6CA05" w14:textId="77777777" w:rsidR="005D1D9D" w:rsidRPr="00F852E7" w:rsidRDefault="00E428E7" w:rsidP="00E428E7">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The total amount of the payment or payments is the amount that would have been payable to the employee under section 18 if, on the day of his or her death, the employee had stopped being an employee of the Company on or after reaching the minimum retiring age.</w:t>
      </w:r>
    </w:p>
    <w:p w14:paraId="121124DE" w14:textId="77777777" w:rsidR="005D1D9D" w:rsidRPr="00F852E7" w:rsidRDefault="00844615" w:rsidP="00844615">
      <w:pPr>
        <w:pStyle w:val="BodyText8"/>
        <w:spacing w:before="120" w:line="240" w:lineRule="auto"/>
        <w:ind w:left="965" w:hanging="331"/>
        <w:jc w:val="left"/>
        <w:rPr>
          <w:sz w:val="22"/>
        </w:rPr>
      </w:pPr>
      <w:r>
        <w:rPr>
          <w:rStyle w:val="BodyText21"/>
          <w:sz w:val="22"/>
        </w:rPr>
        <w:t xml:space="preserve">(3) </w:t>
      </w:r>
      <w:r w:rsidR="00524AAA" w:rsidRPr="00F852E7">
        <w:rPr>
          <w:rStyle w:val="BodyText21"/>
          <w:sz w:val="22"/>
        </w:rPr>
        <w:t>If subsection (1) applies, section 23 of the Long Service Leave Act has effect as if:</w:t>
      </w:r>
    </w:p>
    <w:p w14:paraId="36C026A6" w14:textId="77777777" w:rsidR="005D1D9D" w:rsidRPr="00FF3C6F" w:rsidRDefault="00BD5023" w:rsidP="00FF3C6F">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that section applied to an employee of the Company; and</w:t>
      </w:r>
    </w:p>
    <w:p w14:paraId="04978B85" w14:textId="77777777" w:rsidR="005D1D9D" w:rsidRPr="00FF3C6F" w:rsidRDefault="00BD5023" w:rsidP="00FF3C6F">
      <w:pPr>
        <w:pStyle w:val="BodyText8"/>
        <w:spacing w:before="120" w:line="240" w:lineRule="auto"/>
        <w:ind w:left="1440" w:hanging="288"/>
        <w:jc w:val="left"/>
        <w:rPr>
          <w:rStyle w:val="BodyText21"/>
          <w:sz w:val="22"/>
        </w:rPr>
      </w:pPr>
      <w:r>
        <w:rPr>
          <w:rStyle w:val="BodyText21"/>
          <w:sz w:val="22"/>
        </w:rPr>
        <w:t xml:space="preserve">(b) </w:t>
      </w:r>
      <w:r w:rsidR="00524AAA" w:rsidRPr="00F852E7">
        <w:rPr>
          <w:rStyle w:val="BodyText21"/>
          <w:sz w:val="22"/>
        </w:rPr>
        <w:t>a reference in that section to the approving authority were a reference to the Company; and</w:t>
      </w:r>
    </w:p>
    <w:p w14:paraId="44D01F4B" w14:textId="7BF06015" w:rsidR="005D1D9D" w:rsidRPr="00F852E7" w:rsidRDefault="00BD5023" w:rsidP="00FF3C6F">
      <w:pPr>
        <w:pStyle w:val="BodyText8"/>
        <w:spacing w:before="120" w:line="240" w:lineRule="auto"/>
        <w:ind w:left="1440" w:hanging="288"/>
        <w:jc w:val="left"/>
        <w:rPr>
          <w:sz w:val="22"/>
        </w:rPr>
      </w:pPr>
      <w:r>
        <w:rPr>
          <w:rStyle w:val="BodyText21"/>
          <w:sz w:val="22"/>
        </w:rPr>
        <w:t xml:space="preserve">(c) </w:t>
      </w:r>
      <w:r w:rsidR="00524AAA" w:rsidRPr="00F852E7">
        <w:rPr>
          <w:rStyle w:val="BodyText21"/>
          <w:sz w:val="22"/>
        </w:rPr>
        <w:t xml:space="preserve">for the expression “this Act” in that section there were substituted the expression “section 19 of the </w:t>
      </w:r>
      <w:r w:rsidR="00524AAA" w:rsidRPr="00F852E7">
        <w:rPr>
          <w:rStyle w:val="BodytextItalic1"/>
          <w:sz w:val="22"/>
        </w:rPr>
        <w:t>Housing Loans Insurance Corporation (Transfer of Assets and Abolition) Act 1996</w:t>
      </w:r>
      <w:r w:rsidR="00524AAA" w:rsidRPr="00ED2AD4">
        <w:rPr>
          <w:rStyle w:val="BodytextItalic1"/>
          <w:i w:val="0"/>
          <w:sz w:val="22"/>
        </w:rPr>
        <w:t>";</w:t>
      </w:r>
      <w:r w:rsidR="00524AAA" w:rsidRPr="00ED2AD4">
        <w:rPr>
          <w:rStyle w:val="Bodytext4pt"/>
          <w:i/>
          <w:sz w:val="22"/>
        </w:rPr>
        <w:t xml:space="preserve"> </w:t>
      </w:r>
      <w:r w:rsidR="00524AAA" w:rsidRPr="00F852E7">
        <w:rPr>
          <w:rStyle w:val="BodyText21"/>
          <w:sz w:val="22"/>
        </w:rPr>
        <w:t>and</w:t>
      </w:r>
    </w:p>
    <w:p w14:paraId="7F4D6000" w14:textId="77777777" w:rsidR="00412419" w:rsidRDefault="00412419">
      <w:pPr>
        <w:rPr>
          <w:rStyle w:val="Bodytext173"/>
          <w:rFonts w:eastAsia="Courier New"/>
          <w:i w:val="0"/>
          <w:iCs w:val="0"/>
          <w:sz w:val="22"/>
        </w:rPr>
        <w:sectPr w:rsidR="00412419" w:rsidSect="004D7C92">
          <w:headerReference w:type="even" r:id="rId37"/>
          <w:pgSz w:w="12240" w:h="15840" w:code="1"/>
          <w:pgMar w:top="1888" w:right="1440" w:bottom="1440" w:left="1440" w:header="540" w:footer="482" w:gutter="0"/>
          <w:cols w:space="720"/>
          <w:noEndnote/>
          <w:docGrid w:linePitch="360"/>
        </w:sectPr>
      </w:pPr>
    </w:p>
    <w:p w14:paraId="5668E572" w14:textId="3ED7750D" w:rsidR="005D1D9D" w:rsidRPr="00F852E7" w:rsidRDefault="00BF56CD" w:rsidP="00BF56CD">
      <w:pPr>
        <w:pStyle w:val="BodyText8"/>
        <w:spacing w:before="120" w:line="240" w:lineRule="auto"/>
        <w:ind w:left="1440" w:hanging="288"/>
        <w:jc w:val="left"/>
        <w:rPr>
          <w:sz w:val="22"/>
        </w:rPr>
      </w:pPr>
      <w:r>
        <w:rPr>
          <w:rStyle w:val="BodyText21"/>
          <w:sz w:val="22"/>
        </w:rPr>
        <w:lastRenderedPageBreak/>
        <w:t xml:space="preserve">(d) </w:t>
      </w:r>
      <w:r w:rsidR="00524AAA" w:rsidRPr="00F852E7">
        <w:rPr>
          <w:rStyle w:val="BodyText21"/>
          <w:sz w:val="22"/>
        </w:rPr>
        <w:t xml:space="preserve">for the expression “subsection 16(7) or 17(5)” in that section there were substituted the expression “section 19 of the </w:t>
      </w:r>
      <w:r w:rsidR="00524AAA" w:rsidRPr="00F852E7">
        <w:rPr>
          <w:rStyle w:val="BodytextItalic1"/>
          <w:sz w:val="22"/>
        </w:rPr>
        <w:t>Housing Loans Insurance Corporation (Transfer of Assets and Abolition) Act 1996</w:t>
      </w:r>
      <w:r w:rsidR="00524AAA" w:rsidRPr="00ED2AD4">
        <w:rPr>
          <w:rStyle w:val="BodytextItalic1"/>
          <w:i w:val="0"/>
          <w:sz w:val="22"/>
        </w:rPr>
        <w:t>"</w:t>
      </w:r>
      <w:r w:rsidR="00524AAA" w:rsidRPr="00F852E7">
        <w:rPr>
          <w:rStyle w:val="BodytextItalic1"/>
          <w:sz w:val="22"/>
        </w:rPr>
        <w:t>.</w:t>
      </w:r>
    </w:p>
    <w:p w14:paraId="11373396" w14:textId="77777777" w:rsidR="005D1D9D" w:rsidRPr="00F852E7" w:rsidRDefault="00751D30" w:rsidP="007E1357">
      <w:pPr>
        <w:pStyle w:val="Bodytext140"/>
        <w:spacing w:before="120" w:after="60" w:line="240" w:lineRule="auto"/>
        <w:ind w:firstLine="0"/>
        <w:jc w:val="left"/>
        <w:rPr>
          <w:sz w:val="22"/>
        </w:rPr>
      </w:pPr>
      <w:r>
        <w:rPr>
          <w:rStyle w:val="Bodytext14Bold1"/>
          <w:sz w:val="22"/>
        </w:rPr>
        <w:t xml:space="preserve">20 </w:t>
      </w:r>
      <w:r w:rsidR="00524AAA" w:rsidRPr="00F852E7">
        <w:rPr>
          <w:rStyle w:val="Bodytext14Bold1"/>
          <w:sz w:val="22"/>
        </w:rPr>
        <w:t>Employee’s long service leave credit for the purposes of sections</w:t>
      </w:r>
      <w:r w:rsidR="004050AF">
        <w:rPr>
          <w:rStyle w:val="Bodytext14Bold1"/>
          <w:sz w:val="22"/>
        </w:rPr>
        <w:t xml:space="preserve"> </w:t>
      </w:r>
      <w:r w:rsidR="00564697">
        <w:rPr>
          <w:rStyle w:val="Bodytext14Bold1"/>
          <w:sz w:val="22"/>
        </w:rPr>
        <w:t xml:space="preserve">17 </w:t>
      </w:r>
      <w:r w:rsidR="00524AAA" w:rsidRPr="00F852E7">
        <w:rPr>
          <w:rStyle w:val="Bodytext14Bold1"/>
          <w:sz w:val="22"/>
        </w:rPr>
        <w:t>and 18</w:t>
      </w:r>
    </w:p>
    <w:p w14:paraId="0DC2CDEC" w14:textId="77777777" w:rsidR="005D1D9D" w:rsidRPr="00F852E7" w:rsidRDefault="00377BC5" w:rsidP="00AE79CA">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For the purposes of section 17, an employee’s long service leave credit is equal to the long service leave credit that the employee would have under the Long Service Leave Act for the period:</w:t>
      </w:r>
    </w:p>
    <w:p w14:paraId="056294B4" w14:textId="77777777" w:rsidR="005D1D9D" w:rsidRPr="00472637" w:rsidRDefault="00472637" w:rsidP="00472637">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starting when the employee started his or her period of service; and</w:t>
      </w:r>
    </w:p>
    <w:p w14:paraId="31EF792F" w14:textId="77777777" w:rsidR="005D1D9D" w:rsidRPr="00F852E7" w:rsidRDefault="00472637" w:rsidP="00472637">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ending on the transfer day;</w:t>
      </w:r>
    </w:p>
    <w:p w14:paraId="4B08D7F7" w14:textId="77777777" w:rsidR="005D1D9D" w:rsidRPr="00F852E7" w:rsidRDefault="00524AAA" w:rsidP="00A3660D">
      <w:pPr>
        <w:pStyle w:val="BodyText8"/>
        <w:spacing w:before="120" w:line="240" w:lineRule="auto"/>
        <w:ind w:left="994" w:firstLine="0"/>
        <w:jc w:val="left"/>
        <w:rPr>
          <w:sz w:val="22"/>
        </w:rPr>
      </w:pPr>
      <w:r w:rsidRPr="00F852E7">
        <w:rPr>
          <w:rStyle w:val="BodyText21"/>
          <w:sz w:val="22"/>
        </w:rPr>
        <w:t>if the employee had been retrenched on the transfer day.</w:t>
      </w:r>
    </w:p>
    <w:p w14:paraId="2D51FB0B" w14:textId="77777777" w:rsidR="005D1D9D" w:rsidRPr="00F852E7" w:rsidRDefault="008C494B" w:rsidP="008C494B">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For the purposes of section 18, an employee’s long service leave credit is the employee’s long service leave credit worked out under subsection (1) of this section reduced by any long service leave credit used under section 17.</w:t>
      </w:r>
    </w:p>
    <w:p w14:paraId="3D18A672" w14:textId="77777777" w:rsidR="005D1D9D" w:rsidRPr="00F852E7" w:rsidRDefault="00A67A89" w:rsidP="007E1357">
      <w:pPr>
        <w:pStyle w:val="Bodytext140"/>
        <w:spacing w:before="120" w:after="60" w:line="240" w:lineRule="auto"/>
        <w:ind w:firstLine="0"/>
        <w:jc w:val="left"/>
        <w:rPr>
          <w:sz w:val="22"/>
        </w:rPr>
      </w:pPr>
      <w:r>
        <w:rPr>
          <w:rStyle w:val="Bodytext14Bold1"/>
          <w:sz w:val="22"/>
        </w:rPr>
        <w:t xml:space="preserve">21 </w:t>
      </w:r>
      <w:r w:rsidR="00524AAA" w:rsidRPr="00F852E7">
        <w:rPr>
          <w:rStyle w:val="Bodytext14Bold1"/>
          <w:sz w:val="22"/>
        </w:rPr>
        <w:t>Division not to affect an employee’s future long service leave</w:t>
      </w:r>
      <w:r w:rsidR="00D85107">
        <w:rPr>
          <w:rStyle w:val="Bodytext14Bold1"/>
          <w:sz w:val="22"/>
        </w:rPr>
        <w:t xml:space="preserve"> </w:t>
      </w:r>
      <w:r w:rsidR="00524AAA" w:rsidRPr="00F852E7">
        <w:rPr>
          <w:rStyle w:val="Bodytext14Bold1"/>
          <w:sz w:val="22"/>
        </w:rPr>
        <w:t>rights</w:t>
      </w:r>
    </w:p>
    <w:p w14:paraId="75B627E5" w14:textId="77777777" w:rsidR="005D1D9D" w:rsidRPr="00F852E7" w:rsidRDefault="00524AAA" w:rsidP="00B30F61">
      <w:pPr>
        <w:pStyle w:val="BodyText8"/>
        <w:spacing w:before="120" w:line="240" w:lineRule="auto"/>
        <w:ind w:left="994" w:firstLine="0"/>
        <w:jc w:val="left"/>
        <w:rPr>
          <w:sz w:val="22"/>
        </w:rPr>
      </w:pPr>
      <w:r w:rsidRPr="00F852E7">
        <w:rPr>
          <w:rStyle w:val="BodyText21"/>
          <w:sz w:val="22"/>
        </w:rPr>
        <w:t>To avoid doubt it is declared that this Division does not affect an employee’s future long service leave rights.</w:t>
      </w:r>
    </w:p>
    <w:p w14:paraId="68257D24" w14:textId="77777777" w:rsidR="005D1D9D" w:rsidRPr="00F852E7" w:rsidRDefault="00BF03C0" w:rsidP="007E1357">
      <w:pPr>
        <w:pStyle w:val="Bodytext140"/>
        <w:spacing w:before="120" w:after="60" w:line="240" w:lineRule="auto"/>
        <w:ind w:firstLine="0"/>
        <w:jc w:val="left"/>
        <w:rPr>
          <w:sz w:val="22"/>
        </w:rPr>
      </w:pPr>
      <w:r>
        <w:rPr>
          <w:rStyle w:val="Bodytext14Bold1"/>
          <w:sz w:val="22"/>
        </w:rPr>
        <w:t xml:space="preserve">22 </w:t>
      </w:r>
      <w:r w:rsidR="00524AAA" w:rsidRPr="00F852E7">
        <w:rPr>
          <w:rStyle w:val="Bodytext14Bold1"/>
          <w:sz w:val="22"/>
        </w:rPr>
        <w:t>Saving—Long Service Leave Act</w:t>
      </w:r>
    </w:p>
    <w:p w14:paraId="013EBF26" w14:textId="77777777" w:rsidR="005D1D9D" w:rsidRPr="007F00A3" w:rsidRDefault="00A51590" w:rsidP="007F00A3">
      <w:pPr>
        <w:pStyle w:val="BodyText8"/>
        <w:spacing w:before="120" w:line="240" w:lineRule="auto"/>
        <w:ind w:left="965" w:hanging="331"/>
        <w:jc w:val="left"/>
        <w:rPr>
          <w:rStyle w:val="BodyText21"/>
          <w:sz w:val="22"/>
        </w:rPr>
      </w:pPr>
      <w:r>
        <w:rPr>
          <w:rStyle w:val="BodyText21"/>
          <w:sz w:val="22"/>
        </w:rPr>
        <w:t xml:space="preserve">(1) </w:t>
      </w:r>
      <w:r w:rsidR="00524AAA" w:rsidRPr="00F852E7">
        <w:rPr>
          <w:rStyle w:val="BodyText21"/>
          <w:sz w:val="22"/>
        </w:rPr>
        <w:t>This section applies to a person who, immediately before the transfer day, was an employee of the Corporation whose period of service under the Long Service Leave Act was at least 10 years.</w:t>
      </w:r>
    </w:p>
    <w:p w14:paraId="5F37CBF3" w14:textId="77777777" w:rsidR="005D1D9D" w:rsidRPr="007F00A3" w:rsidRDefault="00A51590" w:rsidP="007F00A3">
      <w:pPr>
        <w:pStyle w:val="BodyText8"/>
        <w:spacing w:before="120" w:line="240" w:lineRule="auto"/>
        <w:ind w:left="965" w:hanging="331"/>
        <w:jc w:val="left"/>
        <w:rPr>
          <w:rStyle w:val="BodyText21"/>
          <w:sz w:val="22"/>
        </w:rPr>
      </w:pPr>
      <w:r>
        <w:rPr>
          <w:rStyle w:val="BodyText21"/>
          <w:sz w:val="22"/>
        </w:rPr>
        <w:t xml:space="preserve">(2) </w:t>
      </w:r>
      <w:r w:rsidR="00524AAA" w:rsidRPr="00F852E7">
        <w:rPr>
          <w:rStyle w:val="BodyText21"/>
          <w:sz w:val="22"/>
        </w:rPr>
        <w:t>Even though the employee ceases to be employed in Government Service for the purposes of the Long Service Leave Act, the employee’s accrued rights under that Act continue if the employee becomes an employee of the Company on the transfer day. However, the employee is not entitled to receive any payment because he or she ceases to be in Government Service.</w:t>
      </w:r>
    </w:p>
    <w:p w14:paraId="7A981D7D" w14:textId="77777777" w:rsidR="00DB0C78" w:rsidRDefault="00A51590" w:rsidP="007F00A3">
      <w:pPr>
        <w:pStyle w:val="BodyText8"/>
        <w:spacing w:before="120" w:line="240" w:lineRule="auto"/>
        <w:ind w:left="965" w:hanging="331"/>
        <w:jc w:val="left"/>
        <w:rPr>
          <w:rStyle w:val="BodyText21"/>
          <w:sz w:val="22"/>
        </w:rPr>
      </w:pPr>
      <w:r>
        <w:rPr>
          <w:rStyle w:val="BodyText21"/>
          <w:sz w:val="22"/>
        </w:rPr>
        <w:t xml:space="preserve">(3) </w:t>
      </w:r>
      <w:r w:rsidR="00524AAA" w:rsidRPr="00F852E7">
        <w:rPr>
          <w:rStyle w:val="BodyText21"/>
          <w:sz w:val="22"/>
        </w:rPr>
        <w:t>The Long Service Leave Act has effect on and after the transfer day in relation to the employee as if the Company were an approving authority for the purposes of that Act.</w:t>
      </w:r>
    </w:p>
    <w:p w14:paraId="38B04583" w14:textId="77777777" w:rsidR="00412419" w:rsidRDefault="00412419">
      <w:pPr>
        <w:rPr>
          <w:rStyle w:val="BodyText21"/>
          <w:rFonts w:eastAsia="Courier New"/>
          <w:sz w:val="22"/>
        </w:rPr>
        <w:sectPr w:rsidR="00412419" w:rsidSect="004D7C92">
          <w:headerReference w:type="default" r:id="rId38"/>
          <w:pgSz w:w="12240" w:h="15840" w:code="1"/>
          <w:pgMar w:top="1708" w:right="1440" w:bottom="1440" w:left="1440" w:header="540" w:footer="397" w:gutter="0"/>
          <w:cols w:space="720"/>
          <w:noEndnote/>
          <w:docGrid w:linePitch="360"/>
        </w:sectPr>
      </w:pPr>
    </w:p>
    <w:p w14:paraId="5D678B3B" w14:textId="7C994621" w:rsidR="005D1D9D" w:rsidRPr="00777552" w:rsidRDefault="00524AAA" w:rsidP="00B36D45">
      <w:pPr>
        <w:spacing w:before="120"/>
        <w:ind w:left="990" w:hanging="990"/>
        <w:rPr>
          <w:rFonts w:ascii="Times New Roman" w:hAnsi="Times New Roman" w:cs="Times New Roman"/>
          <w:b/>
        </w:rPr>
      </w:pPr>
      <w:bookmarkStart w:id="18" w:name="bookmark18"/>
      <w:r w:rsidRPr="00777552">
        <w:rPr>
          <w:rFonts w:ascii="Times New Roman" w:hAnsi="Times New Roman" w:cs="Times New Roman"/>
          <w:b/>
        </w:rPr>
        <w:lastRenderedPageBreak/>
        <w:t xml:space="preserve">Division 3—Transitional and saving provisions relating to the Safety, Rehabilitation and Compensation Act </w:t>
      </w:r>
      <w:r w:rsidRPr="00ED2AD4">
        <w:rPr>
          <w:rFonts w:ascii="Times New Roman" w:hAnsi="Times New Roman" w:cs="Times New Roman"/>
          <w:b/>
        </w:rPr>
        <w:t>1988</w:t>
      </w:r>
      <w:bookmarkEnd w:id="18"/>
    </w:p>
    <w:p w14:paraId="68552BB3" w14:textId="77777777" w:rsidR="005D1D9D" w:rsidRPr="00F852E7" w:rsidRDefault="00526F8B" w:rsidP="007E1357">
      <w:pPr>
        <w:pStyle w:val="Bodytext140"/>
        <w:spacing w:before="120" w:after="60" w:line="240" w:lineRule="auto"/>
        <w:ind w:firstLine="0"/>
        <w:jc w:val="left"/>
        <w:rPr>
          <w:sz w:val="22"/>
        </w:rPr>
      </w:pPr>
      <w:r>
        <w:rPr>
          <w:rStyle w:val="Bodytext14Bold1"/>
          <w:sz w:val="22"/>
        </w:rPr>
        <w:t xml:space="preserve">23 </w:t>
      </w:r>
      <w:r w:rsidR="00524AAA" w:rsidRPr="00F852E7">
        <w:rPr>
          <w:rStyle w:val="Bodytext14Bold1"/>
          <w:sz w:val="22"/>
        </w:rPr>
        <w:t>Interpretation</w:t>
      </w:r>
    </w:p>
    <w:p w14:paraId="267A66FE" w14:textId="77777777" w:rsidR="005D1D9D" w:rsidRPr="00F852E7" w:rsidRDefault="00524AAA" w:rsidP="00AD4B8C">
      <w:pPr>
        <w:pStyle w:val="BodyText8"/>
        <w:spacing w:before="120" w:line="240" w:lineRule="auto"/>
        <w:ind w:left="994" w:firstLine="0"/>
        <w:jc w:val="left"/>
        <w:rPr>
          <w:sz w:val="22"/>
        </w:rPr>
      </w:pPr>
      <w:r w:rsidRPr="00F852E7">
        <w:rPr>
          <w:rStyle w:val="BodyText21"/>
          <w:sz w:val="22"/>
        </w:rPr>
        <w:t>Unless the contrary intention appears, expressions used in this Division that are also used in the SRC Act have the same meanings as in that Act.</w:t>
      </w:r>
    </w:p>
    <w:p w14:paraId="40CDE681" w14:textId="77777777" w:rsidR="005D1D9D" w:rsidRPr="00F852E7" w:rsidRDefault="00CD2B97" w:rsidP="007E1357">
      <w:pPr>
        <w:spacing w:before="120" w:after="60"/>
        <w:rPr>
          <w:sz w:val="22"/>
        </w:rPr>
      </w:pPr>
      <w:r>
        <w:rPr>
          <w:rStyle w:val="Bodytext14Bold1"/>
          <w:rFonts w:eastAsia="Courier New"/>
          <w:sz w:val="22"/>
        </w:rPr>
        <w:t xml:space="preserve">24 </w:t>
      </w:r>
      <w:r w:rsidR="00524AAA" w:rsidRPr="00EC29BC">
        <w:rPr>
          <w:rFonts w:ascii="Times New Roman" w:hAnsi="Times New Roman" w:cs="Times New Roman"/>
          <w:b/>
          <w:bCs/>
          <w:sz w:val="22"/>
          <w:szCs w:val="22"/>
        </w:rPr>
        <w:t>Transitional</w:t>
      </w:r>
      <w:r w:rsidR="00524AAA" w:rsidRPr="00F852E7">
        <w:rPr>
          <w:rStyle w:val="Bodytext14Bold1"/>
          <w:rFonts w:eastAsia="Courier New"/>
          <w:sz w:val="22"/>
        </w:rPr>
        <w:t xml:space="preserve"> provisions relating to the SRC Act in respect of</w:t>
      </w:r>
      <w:r w:rsidR="006D489B">
        <w:rPr>
          <w:rStyle w:val="Bodytext14Bold1"/>
          <w:rFonts w:eastAsia="Courier New"/>
          <w:sz w:val="22"/>
        </w:rPr>
        <w:t xml:space="preserve"> </w:t>
      </w:r>
      <w:r w:rsidR="00524AAA" w:rsidRPr="00F852E7">
        <w:rPr>
          <w:rStyle w:val="Bodytext14Bold1"/>
          <w:rFonts w:eastAsia="Courier New"/>
          <w:sz w:val="22"/>
        </w:rPr>
        <w:t>certain employees of the Company</w:t>
      </w:r>
    </w:p>
    <w:p w14:paraId="3610C099" w14:textId="77777777" w:rsidR="005D1D9D" w:rsidRPr="00F852E7" w:rsidRDefault="003E3D44" w:rsidP="00A07955">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This section applies to an employee of the Company who was an employee of the Corporation immediately before the transfer day.</w:t>
      </w:r>
    </w:p>
    <w:p w14:paraId="3BB99057" w14:textId="77777777" w:rsidR="005D1D9D" w:rsidRPr="00F852E7" w:rsidRDefault="00013164" w:rsidP="00832D42">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The SRC Act continues to apply, on and after the transfer day, in relation to:</w:t>
      </w:r>
    </w:p>
    <w:p w14:paraId="58E31C84" w14:textId="77777777" w:rsidR="005D1D9D" w:rsidRPr="00F852E7" w:rsidRDefault="00082D5E" w:rsidP="00082D5E">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injuries suffered by the employee before the transfer day; and</w:t>
      </w:r>
    </w:p>
    <w:p w14:paraId="1BC9D5AA" w14:textId="77777777" w:rsidR="005D1D9D" w:rsidRPr="00F852E7" w:rsidRDefault="00082D5E" w:rsidP="00082D5E">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loss of, or damage to, property incurred by the employee before the transfer day.</w:t>
      </w:r>
    </w:p>
    <w:p w14:paraId="291688D7" w14:textId="77777777" w:rsidR="005D1D9D" w:rsidRPr="00684145" w:rsidRDefault="00494B36" w:rsidP="007E1357">
      <w:pPr>
        <w:spacing w:before="120" w:after="60"/>
        <w:ind w:left="990" w:hanging="990"/>
        <w:rPr>
          <w:rFonts w:ascii="Times New Roman" w:hAnsi="Times New Roman" w:cs="Times New Roman"/>
          <w:sz w:val="22"/>
          <w:szCs w:val="22"/>
        </w:rPr>
      </w:pPr>
      <w:r w:rsidRPr="00684145">
        <w:rPr>
          <w:rFonts w:ascii="Times New Roman" w:hAnsi="Times New Roman" w:cs="Times New Roman"/>
          <w:b/>
          <w:sz w:val="22"/>
          <w:szCs w:val="22"/>
        </w:rPr>
        <w:t>25</w:t>
      </w:r>
      <w:r w:rsidR="00932CB0">
        <w:rPr>
          <w:rStyle w:val="Bodytext14Bold1"/>
          <w:rFonts w:eastAsia="Courier New"/>
          <w:sz w:val="22"/>
          <w:szCs w:val="22"/>
        </w:rPr>
        <w:t xml:space="preserve"> </w:t>
      </w:r>
      <w:r w:rsidR="00524AAA" w:rsidRPr="00684145">
        <w:rPr>
          <w:rStyle w:val="Bodytext14Bold1"/>
          <w:rFonts w:eastAsia="Courier New"/>
          <w:sz w:val="22"/>
          <w:szCs w:val="22"/>
        </w:rPr>
        <w:t>Company liable to meet certain SRC Act liabilities and to be</w:t>
      </w:r>
      <w:r w:rsidR="001D3F9E" w:rsidRPr="00684145">
        <w:rPr>
          <w:rStyle w:val="Bodytext14Bold1"/>
          <w:rFonts w:eastAsia="Courier New"/>
          <w:sz w:val="22"/>
          <w:szCs w:val="22"/>
        </w:rPr>
        <w:t xml:space="preserve"> </w:t>
      </w:r>
      <w:r w:rsidR="00524AAA" w:rsidRPr="00684145">
        <w:rPr>
          <w:rStyle w:val="Bodytext14Bold1"/>
          <w:rFonts w:eastAsia="Courier New"/>
          <w:sz w:val="22"/>
          <w:szCs w:val="22"/>
        </w:rPr>
        <w:t>taken to be the employer in certain circumstances under the SRC Act</w:t>
      </w:r>
    </w:p>
    <w:p w14:paraId="608C6EC7" w14:textId="77777777" w:rsidR="005D1D9D" w:rsidRPr="00F852E7" w:rsidRDefault="00524AAA" w:rsidP="004B6FC8">
      <w:pPr>
        <w:pStyle w:val="BodyText8"/>
        <w:spacing w:before="120" w:line="240" w:lineRule="auto"/>
        <w:ind w:left="994" w:firstLine="0"/>
        <w:jc w:val="left"/>
        <w:rPr>
          <w:sz w:val="22"/>
        </w:rPr>
      </w:pPr>
      <w:r w:rsidRPr="00F852E7">
        <w:rPr>
          <w:rStyle w:val="BodyText21"/>
          <w:sz w:val="22"/>
        </w:rPr>
        <w:t>On and after the transfer day, the Company:</w:t>
      </w:r>
    </w:p>
    <w:p w14:paraId="0682BDDC" w14:textId="77777777" w:rsidR="005D1D9D" w:rsidRPr="00F852E7" w:rsidRDefault="00265B6E" w:rsidP="00265B6E">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is liable to pay the liabilities of the Corporation that existed immediately before that day under section 128A of the SRC Act as if it were a prescribed Commonwealth authority for the purposes of that section; and</w:t>
      </w:r>
    </w:p>
    <w:p w14:paraId="60BA542C" w14:textId="77777777" w:rsidR="0066645B" w:rsidRDefault="00265B6E" w:rsidP="00265B6E">
      <w:pPr>
        <w:pStyle w:val="BodyText8"/>
        <w:spacing w:before="120" w:line="240" w:lineRule="auto"/>
        <w:ind w:left="1440" w:hanging="288"/>
        <w:jc w:val="left"/>
        <w:rPr>
          <w:rStyle w:val="BodyText21"/>
          <w:sz w:val="22"/>
        </w:rPr>
      </w:pPr>
      <w:r>
        <w:rPr>
          <w:rStyle w:val="BodyText21"/>
          <w:sz w:val="22"/>
        </w:rPr>
        <w:t xml:space="preserve">(b) </w:t>
      </w:r>
      <w:r w:rsidR="00524AAA" w:rsidRPr="00F852E7">
        <w:rPr>
          <w:rStyle w:val="BodyText21"/>
          <w:sz w:val="22"/>
        </w:rPr>
        <w:t>is taken to have been the employer of the employees of the Corporation before the transfer day for the purposes of the SRC Act.</w:t>
      </w:r>
    </w:p>
    <w:p w14:paraId="673BFF1D" w14:textId="77777777" w:rsidR="00412419" w:rsidRDefault="00412419">
      <w:pPr>
        <w:rPr>
          <w:rStyle w:val="BodyText21"/>
          <w:rFonts w:eastAsia="Courier New"/>
          <w:sz w:val="22"/>
        </w:rPr>
        <w:sectPr w:rsidR="00412419" w:rsidSect="004D7C92">
          <w:headerReference w:type="even" r:id="rId39"/>
          <w:pgSz w:w="12240" w:h="15840" w:code="1"/>
          <w:pgMar w:top="1696" w:right="1440" w:bottom="1440" w:left="1440" w:header="270" w:footer="577" w:gutter="0"/>
          <w:cols w:space="720"/>
          <w:noEndnote/>
          <w:docGrid w:linePitch="360"/>
        </w:sectPr>
      </w:pPr>
    </w:p>
    <w:p w14:paraId="03B6E14B" w14:textId="77777777" w:rsidR="005D1D9D" w:rsidRPr="0066645B" w:rsidRDefault="00524AAA" w:rsidP="001D1849">
      <w:pPr>
        <w:spacing w:before="120"/>
        <w:rPr>
          <w:rFonts w:ascii="Times New Roman" w:hAnsi="Times New Roman" w:cs="Times New Roman"/>
          <w:b/>
        </w:rPr>
      </w:pPr>
      <w:bookmarkStart w:id="19" w:name="bookmark19"/>
      <w:r w:rsidRPr="0066645B">
        <w:rPr>
          <w:rFonts w:ascii="Times New Roman" w:hAnsi="Times New Roman" w:cs="Times New Roman"/>
          <w:b/>
        </w:rPr>
        <w:lastRenderedPageBreak/>
        <w:t>Division 4—Transitional and saving provisions in relation to maternity leave</w:t>
      </w:r>
      <w:bookmarkEnd w:id="19"/>
    </w:p>
    <w:p w14:paraId="19EDA0FD" w14:textId="77777777" w:rsidR="005D1D9D" w:rsidRPr="00F852E7" w:rsidRDefault="00AF5007" w:rsidP="007E1357">
      <w:pPr>
        <w:spacing w:before="120" w:after="60"/>
        <w:ind w:left="990" w:hanging="990"/>
        <w:rPr>
          <w:rFonts w:ascii="Times New Roman" w:hAnsi="Times New Roman" w:cs="Times New Roman"/>
        </w:rPr>
      </w:pPr>
      <w:bookmarkStart w:id="20" w:name="bookmark20"/>
      <w:r>
        <w:rPr>
          <w:rStyle w:val="Heading4Bold"/>
          <w:rFonts w:eastAsia="Courier New"/>
          <w:sz w:val="22"/>
        </w:rPr>
        <w:t xml:space="preserve">26 </w:t>
      </w:r>
      <w:r w:rsidR="00524AAA" w:rsidRPr="00F852E7">
        <w:rPr>
          <w:rStyle w:val="Heading4Bold"/>
          <w:rFonts w:eastAsia="Courier New"/>
          <w:sz w:val="22"/>
        </w:rPr>
        <w:t>Interpretation</w:t>
      </w:r>
      <w:bookmarkEnd w:id="20"/>
    </w:p>
    <w:p w14:paraId="4C45B9DD" w14:textId="77777777" w:rsidR="005D1D9D" w:rsidRPr="00F852E7" w:rsidRDefault="00524AAA" w:rsidP="004B6FC8">
      <w:pPr>
        <w:pStyle w:val="BodyText8"/>
        <w:spacing w:before="120" w:line="240" w:lineRule="auto"/>
        <w:ind w:left="994" w:firstLine="0"/>
        <w:jc w:val="left"/>
        <w:rPr>
          <w:sz w:val="22"/>
        </w:rPr>
      </w:pPr>
      <w:r w:rsidRPr="00F852E7">
        <w:rPr>
          <w:rStyle w:val="BodyText21"/>
          <w:sz w:val="22"/>
        </w:rPr>
        <w:t>Unless the contrary intention appears, expressions used in this Division that are also used in the Maternity Leave Act have the same meanings as in that Act.</w:t>
      </w:r>
    </w:p>
    <w:p w14:paraId="29F836B7" w14:textId="77777777" w:rsidR="005D1D9D" w:rsidRPr="00F852E7" w:rsidRDefault="00F37828" w:rsidP="007E1357">
      <w:pPr>
        <w:spacing w:before="120" w:after="60"/>
        <w:ind w:left="990" w:hanging="990"/>
        <w:rPr>
          <w:rFonts w:ascii="Times New Roman" w:hAnsi="Times New Roman" w:cs="Times New Roman"/>
        </w:rPr>
      </w:pPr>
      <w:bookmarkStart w:id="21" w:name="bookmark21"/>
      <w:r>
        <w:rPr>
          <w:rStyle w:val="Heading4Bold"/>
          <w:rFonts w:eastAsia="Courier New"/>
          <w:sz w:val="22"/>
        </w:rPr>
        <w:t xml:space="preserve">27 </w:t>
      </w:r>
      <w:r w:rsidR="00524AAA" w:rsidRPr="00F77885">
        <w:rPr>
          <w:rStyle w:val="Bodytext14Bold2"/>
          <w:rFonts w:eastAsia="Courier New"/>
          <w:sz w:val="22"/>
          <w:szCs w:val="22"/>
        </w:rPr>
        <w:t>Transitional</w:t>
      </w:r>
      <w:r w:rsidR="00524AAA" w:rsidRPr="00F852E7">
        <w:rPr>
          <w:rStyle w:val="Heading4Bold"/>
          <w:rFonts w:eastAsia="Courier New"/>
          <w:sz w:val="22"/>
        </w:rPr>
        <w:t xml:space="preserve"> maternity leave provisions for maternity leave</w:t>
      </w:r>
      <w:bookmarkStart w:id="22" w:name="bookmark22"/>
      <w:bookmarkEnd w:id="21"/>
      <w:r w:rsidR="00B0470B">
        <w:rPr>
          <w:rStyle w:val="Heading4Bold"/>
          <w:rFonts w:eastAsia="Courier New"/>
          <w:sz w:val="22"/>
        </w:rPr>
        <w:t xml:space="preserve"> </w:t>
      </w:r>
      <w:r w:rsidR="00524AAA" w:rsidRPr="00F852E7">
        <w:rPr>
          <w:rStyle w:val="Heading4Bold"/>
          <w:rFonts w:eastAsia="Courier New"/>
          <w:sz w:val="22"/>
        </w:rPr>
        <w:t>beginning on or after transfer day</w:t>
      </w:r>
      <w:bookmarkEnd w:id="22"/>
    </w:p>
    <w:p w14:paraId="3257E5BF" w14:textId="77777777" w:rsidR="005D1D9D" w:rsidRPr="00F852E7" w:rsidRDefault="004D50DF" w:rsidP="00F329BB">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This section applies if:</w:t>
      </w:r>
    </w:p>
    <w:p w14:paraId="71158D00" w14:textId="77777777" w:rsidR="005D1D9D" w:rsidRPr="00F852E7" w:rsidRDefault="009E7E8E" w:rsidP="009E7E8E">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a woman who was an employee of the Corporation immediately before the transfer day becomes an employee of the Company under section 14; and</w:t>
      </w:r>
    </w:p>
    <w:p w14:paraId="62CF372D" w14:textId="77777777" w:rsidR="005D1D9D" w:rsidRPr="00F852E7" w:rsidRDefault="009E7E8E" w:rsidP="009E7E8E">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within 12 months after the transfer day, the woman would have been entitled to begin leave granted under the Maternity Leave Act if this Act had not been enacted and the woman had continued to be employed by the Corporation.</w:t>
      </w:r>
    </w:p>
    <w:p w14:paraId="4284B50E" w14:textId="77777777" w:rsidR="005D1D9D" w:rsidRPr="00F852E7" w:rsidRDefault="00EC3C72" w:rsidP="00EC3C72">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On and after the transfer day, the Maternity Leave Act continues to apply to the woman in relation to the confinement in respect of which she would have been entitled to leave as if the Company were a prescribed authority for the purposes of that Act.</w:t>
      </w:r>
    </w:p>
    <w:p w14:paraId="7822AFA7" w14:textId="77777777" w:rsidR="005D1D9D" w:rsidRPr="00F852E7" w:rsidRDefault="00C446D7" w:rsidP="007E1357">
      <w:pPr>
        <w:spacing w:before="120" w:after="60"/>
        <w:ind w:left="990" w:hanging="990"/>
        <w:rPr>
          <w:rFonts w:ascii="Times New Roman" w:hAnsi="Times New Roman" w:cs="Times New Roman"/>
        </w:rPr>
      </w:pPr>
      <w:bookmarkStart w:id="23" w:name="bookmark23"/>
      <w:r>
        <w:rPr>
          <w:rStyle w:val="Heading4Bold"/>
          <w:rFonts w:eastAsia="Courier New"/>
          <w:sz w:val="22"/>
        </w:rPr>
        <w:t xml:space="preserve">28 </w:t>
      </w:r>
      <w:r w:rsidR="00524AAA" w:rsidRPr="00F852E7">
        <w:rPr>
          <w:rStyle w:val="Heading4Bold"/>
          <w:rFonts w:eastAsia="Courier New"/>
          <w:sz w:val="22"/>
        </w:rPr>
        <w:t>Transitional maternity leave provisions relating to employees of</w:t>
      </w:r>
      <w:bookmarkStart w:id="24" w:name="bookmark24"/>
      <w:bookmarkEnd w:id="23"/>
      <w:r w:rsidR="007F164B">
        <w:rPr>
          <w:rStyle w:val="Heading4Bold"/>
          <w:rFonts w:eastAsia="Courier New"/>
          <w:sz w:val="22"/>
        </w:rPr>
        <w:t xml:space="preserve"> </w:t>
      </w:r>
      <w:r w:rsidR="00524AAA" w:rsidRPr="00F852E7">
        <w:rPr>
          <w:rStyle w:val="Heading4Bold"/>
          <w:rFonts w:eastAsia="Courier New"/>
          <w:sz w:val="22"/>
        </w:rPr>
        <w:t>the Corporation who were on maternity leave immediately before the transfer day</w:t>
      </w:r>
      <w:bookmarkEnd w:id="24"/>
    </w:p>
    <w:p w14:paraId="65B98424" w14:textId="77777777" w:rsidR="005D1D9D" w:rsidRPr="00F852E7" w:rsidRDefault="00865EDB" w:rsidP="00865EDB">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This section applies if:</w:t>
      </w:r>
    </w:p>
    <w:p w14:paraId="190F3744" w14:textId="77777777" w:rsidR="005D1D9D" w:rsidRPr="00F852E7" w:rsidRDefault="006F102E" w:rsidP="006F102E">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immediately before the transfer day, a woman was an employee of the Corporation and was on leave granted under the Maternity Leave Act; and</w:t>
      </w:r>
    </w:p>
    <w:p w14:paraId="77C7EB8A" w14:textId="77777777" w:rsidR="005D1D9D" w:rsidRPr="00737243" w:rsidRDefault="00737243" w:rsidP="00737243">
      <w:pPr>
        <w:pStyle w:val="BodyText8"/>
        <w:spacing w:before="120" w:line="240" w:lineRule="auto"/>
        <w:ind w:left="1440" w:hanging="288"/>
        <w:jc w:val="left"/>
        <w:rPr>
          <w:rStyle w:val="BodyText21"/>
          <w:sz w:val="22"/>
        </w:rPr>
      </w:pPr>
      <w:r>
        <w:rPr>
          <w:rStyle w:val="BodyText21"/>
          <w:sz w:val="22"/>
        </w:rPr>
        <w:t xml:space="preserve">(b) </w:t>
      </w:r>
      <w:r w:rsidR="00524AAA" w:rsidRPr="00F852E7">
        <w:rPr>
          <w:rStyle w:val="BodyText21"/>
          <w:sz w:val="22"/>
        </w:rPr>
        <w:t>the woman becomes an employee of the Company under section 14; and</w:t>
      </w:r>
    </w:p>
    <w:p w14:paraId="4BA4040B" w14:textId="77777777" w:rsidR="0025650A" w:rsidRDefault="00737243" w:rsidP="00737243">
      <w:pPr>
        <w:pStyle w:val="BodyText8"/>
        <w:spacing w:before="120" w:line="240" w:lineRule="auto"/>
        <w:ind w:left="1440" w:hanging="288"/>
        <w:jc w:val="left"/>
        <w:rPr>
          <w:rStyle w:val="BodyText21"/>
          <w:sz w:val="22"/>
        </w:rPr>
      </w:pPr>
      <w:r>
        <w:rPr>
          <w:rStyle w:val="BodyText21"/>
          <w:sz w:val="22"/>
        </w:rPr>
        <w:t xml:space="preserve">(c) </w:t>
      </w:r>
      <w:r w:rsidR="00524AAA" w:rsidRPr="00F852E7">
        <w:rPr>
          <w:rStyle w:val="BodyText21"/>
          <w:sz w:val="22"/>
        </w:rPr>
        <w:t>the woman would have been entitled to remain on that leave, on and after the transfer day, if this Act had not been enacted and the woman had continued to be employed by the Corporation.</w:t>
      </w:r>
    </w:p>
    <w:p w14:paraId="6E3BFE06" w14:textId="77777777" w:rsidR="00412419" w:rsidRDefault="00412419">
      <w:pPr>
        <w:rPr>
          <w:rStyle w:val="BodyText21"/>
          <w:rFonts w:eastAsia="Courier New"/>
          <w:sz w:val="22"/>
        </w:rPr>
        <w:sectPr w:rsidR="00412419" w:rsidSect="004D7C92">
          <w:headerReference w:type="default" r:id="rId40"/>
          <w:pgSz w:w="12240" w:h="15840" w:code="1"/>
          <w:pgMar w:top="1708" w:right="1440" w:bottom="1440" w:left="1440" w:header="540" w:footer="720" w:gutter="0"/>
          <w:cols w:space="720"/>
          <w:noEndnote/>
          <w:docGrid w:linePitch="360"/>
        </w:sectPr>
      </w:pPr>
    </w:p>
    <w:p w14:paraId="0E8D18D4" w14:textId="77777777" w:rsidR="00434BDE" w:rsidRDefault="00495D79" w:rsidP="00495D79">
      <w:pPr>
        <w:pStyle w:val="BodyText8"/>
        <w:spacing w:before="120" w:line="240" w:lineRule="auto"/>
        <w:ind w:left="965" w:hanging="331"/>
        <w:jc w:val="left"/>
        <w:rPr>
          <w:rStyle w:val="BodyText7"/>
          <w:sz w:val="22"/>
        </w:rPr>
      </w:pPr>
      <w:r>
        <w:rPr>
          <w:rStyle w:val="BodyText7"/>
          <w:sz w:val="22"/>
        </w:rPr>
        <w:lastRenderedPageBreak/>
        <w:t xml:space="preserve">(2) </w:t>
      </w:r>
      <w:r w:rsidR="00524AAA" w:rsidRPr="00F852E7">
        <w:rPr>
          <w:rStyle w:val="BodyText7"/>
          <w:sz w:val="22"/>
        </w:rPr>
        <w:t>On and after the transfer day, the Maternity Leave Act continues to apply to the woman in relation to the confinement in respect of which the leave was granted as if the Company were a prescribed authority for the purposes of that Act.</w:t>
      </w:r>
    </w:p>
    <w:p w14:paraId="55FE3F2D" w14:textId="77777777" w:rsidR="00412419" w:rsidRDefault="00412419">
      <w:pPr>
        <w:rPr>
          <w:rStyle w:val="BodyText7"/>
          <w:rFonts w:eastAsia="Courier New"/>
          <w:sz w:val="22"/>
        </w:rPr>
        <w:sectPr w:rsidR="00412419" w:rsidSect="004D7C92">
          <w:headerReference w:type="even" r:id="rId41"/>
          <w:pgSz w:w="12240" w:h="15840" w:code="1"/>
          <w:pgMar w:top="1696" w:right="1440" w:bottom="1440" w:left="1440" w:header="450" w:footer="487" w:gutter="0"/>
          <w:cols w:space="720"/>
          <w:noEndnote/>
          <w:docGrid w:linePitch="360"/>
        </w:sectPr>
      </w:pPr>
    </w:p>
    <w:p w14:paraId="15CA8A1A" w14:textId="77777777" w:rsidR="005D1D9D" w:rsidRPr="00831601" w:rsidRDefault="00524AAA" w:rsidP="001D1849">
      <w:pPr>
        <w:spacing w:before="120"/>
        <w:rPr>
          <w:rFonts w:ascii="Times New Roman" w:hAnsi="Times New Roman" w:cs="Times New Roman"/>
          <w:b/>
        </w:rPr>
      </w:pPr>
      <w:bookmarkStart w:id="25" w:name="bookmark25"/>
      <w:r w:rsidRPr="00831601">
        <w:rPr>
          <w:rFonts w:ascii="Times New Roman" w:hAnsi="Times New Roman" w:cs="Times New Roman"/>
          <w:b/>
        </w:rPr>
        <w:lastRenderedPageBreak/>
        <w:t>Division 5—Other transitional and saving provisions</w:t>
      </w:r>
      <w:bookmarkEnd w:id="25"/>
    </w:p>
    <w:p w14:paraId="1620B860" w14:textId="77777777" w:rsidR="005D1D9D" w:rsidRPr="00F852E7" w:rsidRDefault="003D6CA9" w:rsidP="007E1357">
      <w:pPr>
        <w:pStyle w:val="Bodytext140"/>
        <w:spacing w:before="120" w:after="60" w:line="240" w:lineRule="auto"/>
        <w:ind w:firstLine="0"/>
        <w:jc w:val="left"/>
        <w:rPr>
          <w:sz w:val="22"/>
        </w:rPr>
      </w:pPr>
      <w:r>
        <w:rPr>
          <w:rStyle w:val="Bodytext14Bold1"/>
          <w:sz w:val="22"/>
        </w:rPr>
        <w:t xml:space="preserve">29 </w:t>
      </w:r>
      <w:r w:rsidR="00524AAA" w:rsidRPr="00F852E7">
        <w:rPr>
          <w:rStyle w:val="Bodytext14Bold1"/>
          <w:sz w:val="22"/>
        </w:rPr>
        <w:t>Transitional provisions relating to the CSB Act</w:t>
      </w:r>
    </w:p>
    <w:p w14:paraId="004E05CF" w14:textId="77777777" w:rsidR="005D1D9D" w:rsidRPr="00F852E7" w:rsidRDefault="004B6CEA" w:rsidP="00780D90">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Subject to this section, if:</w:t>
      </w:r>
    </w:p>
    <w:p w14:paraId="4C417BE3" w14:textId="77777777" w:rsidR="005D1D9D" w:rsidRPr="00F852E7" w:rsidRDefault="00B35C50" w:rsidP="004B6CEA">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a person who was an employee of the Corporation before the transfer day committed a corruption offence while such an employee; and</w:t>
      </w:r>
    </w:p>
    <w:p w14:paraId="073A9B52" w14:textId="77777777" w:rsidR="005D1D9D" w:rsidRPr="00F852E7" w:rsidRDefault="004115F7" w:rsidP="006C5B13">
      <w:pPr>
        <w:pStyle w:val="BodyText8"/>
        <w:spacing w:before="120" w:line="240" w:lineRule="auto"/>
        <w:ind w:firstLine="1152"/>
        <w:jc w:val="left"/>
        <w:rPr>
          <w:sz w:val="22"/>
        </w:rPr>
      </w:pPr>
      <w:r>
        <w:rPr>
          <w:rStyle w:val="BodyText21"/>
          <w:sz w:val="22"/>
        </w:rPr>
        <w:t xml:space="preserve">(b) </w:t>
      </w:r>
      <w:r w:rsidR="00524AAA" w:rsidRPr="00F852E7">
        <w:rPr>
          <w:rStyle w:val="BodyText21"/>
          <w:sz w:val="22"/>
        </w:rPr>
        <w:t>the person becomes an employee of the Company on that day under section 14;</w:t>
      </w:r>
    </w:p>
    <w:p w14:paraId="6E655135" w14:textId="77777777" w:rsidR="005D1D9D" w:rsidRPr="00F852E7" w:rsidRDefault="00524AAA" w:rsidP="00941E42">
      <w:pPr>
        <w:pStyle w:val="BodyText8"/>
        <w:spacing w:before="120" w:line="240" w:lineRule="auto"/>
        <w:ind w:left="994" w:firstLine="0"/>
        <w:jc w:val="left"/>
        <w:rPr>
          <w:sz w:val="22"/>
        </w:rPr>
      </w:pPr>
      <w:r w:rsidRPr="00F852E7">
        <w:rPr>
          <w:rStyle w:val="BodyText21"/>
          <w:sz w:val="22"/>
        </w:rPr>
        <w:t>then, on and after that day, the CSB Act continues to apply in relation to the person in respect of the offence as if the Company were a Commonwealth authority.</w:t>
      </w:r>
    </w:p>
    <w:p w14:paraId="3FE955D7" w14:textId="77777777" w:rsidR="005D1D9D" w:rsidRPr="00F852E7" w:rsidRDefault="00B17640" w:rsidP="00B17640">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A superannuation order may not be made under the CSB Act in relation to employer contributions or benefits paid or payable to a superannuation scheme by the Company on or after the transfer day.</w:t>
      </w:r>
    </w:p>
    <w:p w14:paraId="758EEF0C" w14:textId="77777777" w:rsidR="005D1D9D" w:rsidRPr="00A3425C" w:rsidRDefault="00B339C6" w:rsidP="00A3425C">
      <w:pPr>
        <w:pStyle w:val="BodyText8"/>
        <w:spacing w:before="120" w:line="240" w:lineRule="auto"/>
        <w:ind w:left="965" w:hanging="331"/>
        <w:jc w:val="left"/>
        <w:rPr>
          <w:rStyle w:val="BodyText21"/>
          <w:sz w:val="22"/>
        </w:rPr>
      </w:pPr>
      <w:r>
        <w:rPr>
          <w:rStyle w:val="BodyText21"/>
          <w:sz w:val="22"/>
        </w:rPr>
        <w:t xml:space="preserve">(3) </w:t>
      </w:r>
      <w:r w:rsidR="00524AAA" w:rsidRPr="00F852E7">
        <w:rPr>
          <w:rStyle w:val="BodyText21"/>
          <w:sz w:val="22"/>
        </w:rPr>
        <w:t>In spite of paragraph 19(3)(d) of the CSB Act, the only order that may be made under that paragraph is an order that an amount be paid to the Commonwealth.</w:t>
      </w:r>
    </w:p>
    <w:p w14:paraId="07758651" w14:textId="77777777" w:rsidR="005D1D9D" w:rsidRPr="00F852E7" w:rsidRDefault="009B4238" w:rsidP="00A3425C">
      <w:pPr>
        <w:pStyle w:val="BodyText8"/>
        <w:spacing w:before="120" w:line="240" w:lineRule="auto"/>
        <w:ind w:left="965" w:hanging="331"/>
        <w:jc w:val="left"/>
        <w:rPr>
          <w:sz w:val="22"/>
        </w:rPr>
      </w:pPr>
      <w:r>
        <w:rPr>
          <w:rStyle w:val="BodyText21"/>
          <w:sz w:val="22"/>
        </w:rPr>
        <w:t xml:space="preserve">(4) </w:t>
      </w:r>
      <w:r w:rsidR="00524AAA" w:rsidRPr="00F852E7">
        <w:rPr>
          <w:rStyle w:val="BodyText21"/>
          <w:sz w:val="22"/>
        </w:rPr>
        <w:t>If:</w:t>
      </w:r>
    </w:p>
    <w:p w14:paraId="42AE74B8" w14:textId="77777777" w:rsidR="005D1D9D" w:rsidRPr="00936624" w:rsidRDefault="00CD2093" w:rsidP="00936624">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a person who was an employee of the Corporation immediately before the transfer day committed a corruption offence while such an employee; and</w:t>
      </w:r>
    </w:p>
    <w:p w14:paraId="39C07F86" w14:textId="77777777" w:rsidR="005D1D9D" w:rsidRPr="00936624" w:rsidRDefault="0036638A" w:rsidP="00936624">
      <w:pPr>
        <w:pStyle w:val="BodyText8"/>
        <w:spacing w:before="120" w:line="240" w:lineRule="auto"/>
        <w:ind w:left="1440" w:hanging="288"/>
        <w:jc w:val="left"/>
        <w:rPr>
          <w:rStyle w:val="BodyText21"/>
          <w:sz w:val="22"/>
        </w:rPr>
      </w:pPr>
      <w:r>
        <w:rPr>
          <w:rStyle w:val="BodyText21"/>
          <w:sz w:val="22"/>
        </w:rPr>
        <w:t xml:space="preserve">(b) </w:t>
      </w:r>
      <w:r w:rsidR="00524AAA" w:rsidRPr="00F852E7">
        <w:rPr>
          <w:rStyle w:val="BodyText21"/>
          <w:sz w:val="22"/>
        </w:rPr>
        <w:t>the person was paid benefits before, on or after that day under any superannuation scheme;</w:t>
      </w:r>
    </w:p>
    <w:p w14:paraId="28E918DD" w14:textId="77777777" w:rsidR="005D1D9D" w:rsidRPr="00F852E7" w:rsidRDefault="00524AAA" w:rsidP="00D609A4">
      <w:pPr>
        <w:pStyle w:val="BodyText8"/>
        <w:spacing w:before="120" w:line="240" w:lineRule="auto"/>
        <w:ind w:left="994" w:firstLine="0"/>
        <w:jc w:val="left"/>
        <w:rPr>
          <w:sz w:val="22"/>
        </w:rPr>
      </w:pPr>
      <w:r w:rsidRPr="00F852E7">
        <w:rPr>
          <w:rStyle w:val="BodyText21"/>
          <w:sz w:val="22"/>
        </w:rPr>
        <w:t>then, in spite of paragraph 19(4)(b) of the CSB Act, the only order that may be made under that paragraph is an order that an amount be paid to the Commonwealth.</w:t>
      </w:r>
    </w:p>
    <w:p w14:paraId="116BA051" w14:textId="77777777" w:rsidR="005D1D9D" w:rsidRPr="00F852E7" w:rsidRDefault="00C47DC4" w:rsidP="00C47DC4">
      <w:pPr>
        <w:pStyle w:val="BodyText8"/>
        <w:spacing w:before="120" w:line="240" w:lineRule="auto"/>
        <w:ind w:left="965" w:hanging="331"/>
        <w:jc w:val="left"/>
        <w:rPr>
          <w:sz w:val="22"/>
        </w:rPr>
      </w:pPr>
      <w:r>
        <w:rPr>
          <w:rStyle w:val="BodyText21"/>
          <w:sz w:val="22"/>
        </w:rPr>
        <w:t xml:space="preserve">(5) </w:t>
      </w:r>
      <w:r w:rsidR="00524AAA" w:rsidRPr="00F852E7">
        <w:rPr>
          <w:rStyle w:val="BodyText21"/>
          <w:sz w:val="22"/>
        </w:rPr>
        <w:t>A superannuation scheme in relation to which employer contributions or benefits are paid or payable by the Company is not a superannuation scheme for the purposes of the CSB Act in respect of a corruption offence committed by. a person on or after the transfer day.</w:t>
      </w:r>
    </w:p>
    <w:p w14:paraId="68F20895" w14:textId="77777777" w:rsidR="005D1D9D" w:rsidRPr="00F852E7" w:rsidRDefault="00B96EA1" w:rsidP="00B96EA1">
      <w:pPr>
        <w:pStyle w:val="BodyText8"/>
        <w:spacing w:before="120" w:line="240" w:lineRule="auto"/>
        <w:ind w:left="965" w:hanging="331"/>
        <w:jc w:val="left"/>
        <w:rPr>
          <w:sz w:val="22"/>
        </w:rPr>
      </w:pPr>
      <w:r>
        <w:rPr>
          <w:rStyle w:val="BodyText21"/>
          <w:sz w:val="22"/>
        </w:rPr>
        <w:t xml:space="preserve">(6) </w:t>
      </w:r>
      <w:r w:rsidR="00524AAA" w:rsidRPr="00F852E7">
        <w:rPr>
          <w:rStyle w:val="BodyText21"/>
          <w:sz w:val="22"/>
        </w:rPr>
        <w:t>Unless the contrary intention appears, expressions used in this section that are also used in the CSB Act have the same meanings as in that Act.</w:t>
      </w:r>
    </w:p>
    <w:p w14:paraId="28402F12" w14:textId="77777777" w:rsidR="00412419" w:rsidRDefault="00412419">
      <w:pPr>
        <w:rPr>
          <w:rStyle w:val="Bodytext173"/>
          <w:rFonts w:eastAsia="Courier New"/>
          <w:i w:val="0"/>
          <w:iCs w:val="0"/>
          <w:sz w:val="22"/>
        </w:rPr>
        <w:sectPr w:rsidR="00412419" w:rsidSect="004D7C92">
          <w:headerReference w:type="default" r:id="rId42"/>
          <w:pgSz w:w="12240" w:h="15840" w:code="1"/>
          <w:pgMar w:top="1786" w:right="1440" w:bottom="1440" w:left="1440" w:header="450" w:footer="487" w:gutter="0"/>
          <w:cols w:space="720"/>
          <w:noEndnote/>
          <w:docGrid w:linePitch="360"/>
        </w:sectPr>
      </w:pPr>
    </w:p>
    <w:p w14:paraId="415A9171" w14:textId="77777777" w:rsidR="005D1D9D" w:rsidRPr="00F852E7" w:rsidRDefault="009F690B" w:rsidP="007E1357">
      <w:pPr>
        <w:spacing w:before="120" w:after="60"/>
        <w:rPr>
          <w:rFonts w:ascii="Times New Roman" w:hAnsi="Times New Roman" w:cs="Times New Roman"/>
        </w:rPr>
      </w:pPr>
      <w:bookmarkStart w:id="26" w:name="bookmark26"/>
      <w:r>
        <w:rPr>
          <w:rStyle w:val="Heading32Bold0"/>
          <w:rFonts w:eastAsia="Courier New"/>
          <w:sz w:val="22"/>
        </w:rPr>
        <w:lastRenderedPageBreak/>
        <w:t xml:space="preserve">30 </w:t>
      </w:r>
      <w:r w:rsidR="00524AAA" w:rsidRPr="00F852E7">
        <w:rPr>
          <w:rStyle w:val="Heading32Bold0"/>
          <w:rFonts w:eastAsia="Courier New"/>
          <w:sz w:val="22"/>
        </w:rPr>
        <w:t>Saving—DPP Act</w:t>
      </w:r>
      <w:bookmarkEnd w:id="26"/>
    </w:p>
    <w:p w14:paraId="4A8A75F7" w14:textId="77777777" w:rsidR="005D1D9D" w:rsidRPr="00F852E7" w:rsidRDefault="00524AAA" w:rsidP="00116687">
      <w:pPr>
        <w:pStyle w:val="BodyText8"/>
        <w:spacing w:before="120" w:line="240" w:lineRule="auto"/>
        <w:ind w:left="994" w:firstLine="0"/>
        <w:jc w:val="left"/>
        <w:rPr>
          <w:sz w:val="22"/>
        </w:rPr>
      </w:pPr>
      <w:r w:rsidRPr="00F852E7">
        <w:rPr>
          <w:rStyle w:val="BodyText21"/>
          <w:sz w:val="22"/>
        </w:rPr>
        <w:t>The DPP Act continues to apply on and after the transfer day to and in relation to:</w:t>
      </w:r>
    </w:p>
    <w:p w14:paraId="3CDC5D5F" w14:textId="77777777" w:rsidR="005D1D9D" w:rsidRPr="00F852E7" w:rsidRDefault="005F0621" w:rsidP="005F0621">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acts or omissions in connection with the Corporation that occurred before that day; and</w:t>
      </w:r>
    </w:p>
    <w:p w14:paraId="6CF6DAC7" w14:textId="77777777" w:rsidR="005D1D9D" w:rsidRPr="00F852E7" w:rsidRDefault="005F0621" w:rsidP="005F0621">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the taking of civil remedies connected with or arising out of a prosecution that relates to acts or omissions referred to in paragraph (a).</w:t>
      </w:r>
    </w:p>
    <w:p w14:paraId="5533F941" w14:textId="77777777" w:rsidR="005D1D9D" w:rsidRPr="00F852E7" w:rsidRDefault="005B22DF" w:rsidP="007E1357">
      <w:pPr>
        <w:spacing w:before="120" w:after="60"/>
        <w:rPr>
          <w:rFonts w:ascii="Times New Roman" w:hAnsi="Times New Roman" w:cs="Times New Roman"/>
        </w:rPr>
      </w:pPr>
      <w:bookmarkStart w:id="27" w:name="bookmark27"/>
      <w:r>
        <w:rPr>
          <w:rStyle w:val="Heading32Bold0"/>
          <w:rFonts w:eastAsia="Courier New"/>
          <w:sz w:val="22"/>
        </w:rPr>
        <w:t xml:space="preserve">31 </w:t>
      </w:r>
      <w:r w:rsidR="00524AAA" w:rsidRPr="00F852E7">
        <w:rPr>
          <w:rStyle w:val="Heading32Bold0"/>
          <w:rFonts w:eastAsia="Courier New"/>
          <w:sz w:val="22"/>
        </w:rPr>
        <w:t>Cessation of mobility rights</w:t>
      </w:r>
      <w:bookmarkEnd w:id="27"/>
    </w:p>
    <w:p w14:paraId="45EE2148" w14:textId="77777777" w:rsidR="005D1D9D" w:rsidRPr="00F852E7" w:rsidRDefault="00821F13" w:rsidP="00821F13">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 xml:space="preserve">If Division 2 or 3 of Part IV of the </w:t>
      </w:r>
      <w:r w:rsidR="00524AAA" w:rsidRPr="00F852E7">
        <w:rPr>
          <w:rStyle w:val="BodytextItalic"/>
          <w:sz w:val="22"/>
        </w:rPr>
        <w:t>Public Service Act 1922</w:t>
      </w:r>
      <w:r w:rsidR="00524AAA" w:rsidRPr="00F852E7">
        <w:rPr>
          <w:rStyle w:val="BodyText21"/>
          <w:sz w:val="22"/>
        </w:rPr>
        <w:t xml:space="preserve"> applied to an employee of the Corporation immediately before the transfer day, then that Division ceases to apply to the employee on that day.</w:t>
      </w:r>
    </w:p>
    <w:p w14:paraId="5B7FABDC" w14:textId="77777777" w:rsidR="005D1D9D" w:rsidRPr="00F852E7" w:rsidRDefault="00220E4E" w:rsidP="00220E4E">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 xml:space="preserve">If Division 4 of Part IV of the </w:t>
      </w:r>
      <w:r w:rsidR="00524AAA" w:rsidRPr="00F852E7">
        <w:rPr>
          <w:rStyle w:val="BodytextItalic"/>
          <w:sz w:val="22"/>
        </w:rPr>
        <w:t>Public Service Act 1922</w:t>
      </w:r>
      <w:r w:rsidR="00524AAA" w:rsidRPr="00F852E7">
        <w:rPr>
          <w:rStyle w:val="BodyText21"/>
          <w:sz w:val="22"/>
        </w:rPr>
        <w:t xml:space="preserve"> applied to an employee of the Corporation immediately before the transfer day, then:</w:t>
      </w:r>
    </w:p>
    <w:p w14:paraId="4BF0F58E" w14:textId="1B5E67C1" w:rsidR="005D1D9D" w:rsidRPr="00F852E7" w:rsidRDefault="00045E4A" w:rsidP="00045E4A">
      <w:pPr>
        <w:pStyle w:val="BodyText8"/>
        <w:spacing w:before="120" w:line="240" w:lineRule="auto"/>
        <w:ind w:left="1440" w:hanging="288"/>
        <w:jc w:val="left"/>
        <w:rPr>
          <w:sz w:val="22"/>
        </w:rPr>
      </w:pPr>
      <w:r w:rsidRPr="00656DA7">
        <w:rPr>
          <w:rStyle w:val="Bodytext6NotItalic"/>
          <w:i w:val="0"/>
          <w:sz w:val="22"/>
        </w:rPr>
        <w:t xml:space="preserve">(a) </w:t>
      </w:r>
      <w:r w:rsidR="00524AAA" w:rsidRPr="00656DA7">
        <w:rPr>
          <w:rStyle w:val="Bodytext6NotItalic"/>
          <w:i w:val="0"/>
          <w:sz w:val="22"/>
        </w:rPr>
        <w:t xml:space="preserve">the </w:t>
      </w:r>
      <w:r w:rsidR="00524AAA" w:rsidRPr="00E30EAF">
        <w:rPr>
          <w:i/>
          <w:sz w:val="22"/>
        </w:rPr>
        <w:t>Officers' Rights Declaration Act 1928</w:t>
      </w:r>
      <w:r w:rsidR="00524AAA" w:rsidRPr="00ED2AD4">
        <w:rPr>
          <w:sz w:val="22"/>
        </w:rPr>
        <w:t>;</w:t>
      </w:r>
      <w:r w:rsidR="00524AAA" w:rsidRPr="00F852E7">
        <w:rPr>
          <w:rStyle w:val="Bodytext6NotItalic"/>
          <w:sz w:val="22"/>
        </w:rPr>
        <w:t xml:space="preserve"> and</w:t>
      </w:r>
    </w:p>
    <w:p w14:paraId="20175B89" w14:textId="77777777" w:rsidR="00ED2AD4" w:rsidRDefault="00DA2D72" w:rsidP="005953FB">
      <w:pPr>
        <w:pStyle w:val="BodyText8"/>
        <w:spacing w:before="120" w:line="240" w:lineRule="auto"/>
        <w:ind w:left="994" w:firstLine="158"/>
        <w:jc w:val="left"/>
        <w:rPr>
          <w:rStyle w:val="BodytextItalic"/>
          <w:sz w:val="22"/>
        </w:rPr>
      </w:pPr>
      <w:r>
        <w:rPr>
          <w:rStyle w:val="BodyText21"/>
          <w:sz w:val="22"/>
        </w:rPr>
        <w:t xml:space="preserve">(b) </w:t>
      </w:r>
      <w:r w:rsidR="00524AAA" w:rsidRPr="0023032A">
        <w:rPr>
          <w:rStyle w:val="BodyText21"/>
          <w:sz w:val="22"/>
        </w:rPr>
        <w:t xml:space="preserve">Division 4 of Part IV of the </w:t>
      </w:r>
      <w:r w:rsidR="00524AAA" w:rsidRPr="0023032A">
        <w:rPr>
          <w:rStyle w:val="BodytextItalic"/>
          <w:sz w:val="22"/>
        </w:rPr>
        <w:t>Public Service Act 1922</w:t>
      </w:r>
      <w:r w:rsidR="00ED2AD4" w:rsidRPr="00ED2AD4">
        <w:rPr>
          <w:rStyle w:val="BodytextItalic"/>
          <w:i w:val="0"/>
          <w:sz w:val="22"/>
        </w:rPr>
        <w:t>;</w:t>
      </w:r>
    </w:p>
    <w:p w14:paraId="7609323B" w14:textId="3B111D51" w:rsidR="0023032A" w:rsidRDefault="00524AAA" w:rsidP="005953FB">
      <w:pPr>
        <w:pStyle w:val="BodyText8"/>
        <w:spacing w:before="120" w:line="240" w:lineRule="auto"/>
        <w:ind w:left="994" w:firstLine="158"/>
        <w:jc w:val="left"/>
        <w:rPr>
          <w:rStyle w:val="BodyText21"/>
          <w:sz w:val="22"/>
        </w:rPr>
      </w:pPr>
      <w:r w:rsidRPr="0023032A">
        <w:rPr>
          <w:rStyle w:val="BodytextItalic"/>
          <w:sz w:val="22"/>
        </w:rPr>
        <w:t xml:space="preserve"> </w:t>
      </w:r>
      <w:r w:rsidRPr="0023032A">
        <w:rPr>
          <w:rStyle w:val="BodyText21"/>
          <w:sz w:val="22"/>
        </w:rPr>
        <w:t>cease to apply to the employee on the transfer day.</w:t>
      </w:r>
    </w:p>
    <w:p w14:paraId="59D905FB" w14:textId="77777777" w:rsidR="00412419" w:rsidRDefault="00412419">
      <w:pPr>
        <w:rPr>
          <w:rFonts w:ascii="Times New Roman" w:hAnsi="Times New Roman" w:cs="Times New Roman"/>
          <w:b/>
        </w:rPr>
        <w:sectPr w:rsidR="00412419" w:rsidSect="00520BB0">
          <w:headerReference w:type="even" r:id="rId43"/>
          <w:pgSz w:w="12240" w:h="15840" w:code="1"/>
          <w:pgMar w:top="1440" w:right="1440" w:bottom="1440" w:left="1440" w:header="446" w:footer="403" w:gutter="0"/>
          <w:cols w:space="720"/>
          <w:noEndnote/>
          <w:docGrid w:linePitch="360"/>
        </w:sectPr>
      </w:pPr>
      <w:bookmarkStart w:id="28" w:name="bookmark28"/>
    </w:p>
    <w:p w14:paraId="75C75475" w14:textId="1BD28F3A" w:rsidR="005D1D9D" w:rsidRPr="00ED2AD4" w:rsidRDefault="00524AAA" w:rsidP="001D1849">
      <w:pPr>
        <w:spacing w:before="120"/>
        <w:rPr>
          <w:rFonts w:ascii="Times New Roman" w:hAnsi="Times New Roman" w:cs="Times New Roman"/>
          <w:b/>
          <w:sz w:val="26"/>
          <w:szCs w:val="26"/>
        </w:rPr>
      </w:pPr>
      <w:r w:rsidRPr="00ED2AD4">
        <w:rPr>
          <w:rFonts w:ascii="Times New Roman" w:hAnsi="Times New Roman" w:cs="Times New Roman"/>
          <w:b/>
          <w:sz w:val="26"/>
          <w:szCs w:val="26"/>
        </w:rPr>
        <w:lastRenderedPageBreak/>
        <w:t>Part 5—Miscellaneous</w:t>
      </w:r>
      <w:bookmarkEnd w:id="28"/>
    </w:p>
    <w:p w14:paraId="7B000A61" w14:textId="77777777" w:rsidR="005D1D9D" w:rsidRPr="00F852E7" w:rsidRDefault="00EE78F6" w:rsidP="007E1357">
      <w:pPr>
        <w:spacing w:before="120" w:after="60"/>
        <w:rPr>
          <w:rFonts w:ascii="Times New Roman" w:hAnsi="Times New Roman" w:cs="Times New Roman"/>
        </w:rPr>
      </w:pPr>
      <w:bookmarkStart w:id="29" w:name="bookmark29"/>
      <w:r>
        <w:rPr>
          <w:rStyle w:val="Heading4Bold"/>
          <w:rFonts w:eastAsia="Courier New"/>
          <w:sz w:val="22"/>
        </w:rPr>
        <w:t xml:space="preserve">32 </w:t>
      </w:r>
      <w:r w:rsidR="00524AAA" w:rsidRPr="00F852E7">
        <w:rPr>
          <w:rStyle w:val="Heading4Bold"/>
          <w:rFonts w:eastAsia="Courier New"/>
          <w:sz w:val="22"/>
        </w:rPr>
        <w:t>Exemption from taxes</w:t>
      </w:r>
      <w:bookmarkEnd w:id="29"/>
    </w:p>
    <w:p w14:paraId="4B9B316F" w14:textId="77777777" w:rsidR="005D1D9D" w:rsidRPr="00F852E7" w:rsidRDefault="00BF21A6" w:rsidP="00215D8A">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No tax is payable under a law of the Commonwealth, of a State or of a Territory in respect of:</w:t>
      </w:r>
    </w:p>
    <w:p w14:paraId="1BC45574" w14:textId="77777777" w:rsidR="005D1D9D" w:rsidRPr="00F852E7" w:rsidRDefault="00450AFD" w:rsidP="00450AFD">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an exempt matter; or</w:t>
      </w:r>
    </w:p>
    <w:p w14:paraId="560F0CB8" w14:textId="77777777" w:rsidR="005D1D9D" w:rsidRPr="00F852E7" w:rsidRDefault="00A27EC8" w:rsidP="00A27EC8">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anything done (including a transaction entered into or an instrument made, executed, lodged or given) because of, or for a purpose connected with or arising out of, an exempt matter.</w:t>
      </w:r>
    </w:p>
    <w:p w14:paraId="1A67D6EC" w14:textId="77777777" w:rsidR="005D1D9D" w:rsidRPr="00F852E7" w:rsidRDefault="000B2174" w:rsidP="000B2174">
      <w:pPr>
        <w:pStyle w:val="BodyText8"/>
        <w:spacing w:before="120" w:line="240" w:lineRule="auto"/>
        <w:ind w:left="965" w:hanging="331"/>
        <w:jc w:val="left"/>
        <w:rPr>
          <w:sz w:val="22"/>
        </w:rPr>
      </w:pPr>
      <w:r>
        <w:rPr>
          <w:rStyle w:val="BodyText21"/>
          <w:sz w:val="22"/>
        </w:rPr>
        <w:t xml:space="preserve">(2) </w:t>
      </w:r>
      <w:r w:rsidR="00524AAA" w:rsidRPr="00F852E7">
        <w:rPr>
          <w:rStyle w:val="BodyText21"/>
          <w:sz w:val="22"/>
        </w:rPr>
        <w:t>An authorised person may, in writing, certify that:</w:t>
      </w:r>
    </w:p>
    <w:p w14:paraId="1CACDAAD" w14:textId="77777777" w:rsidR="005D1D9D" w:rsidRPr="000B2174" w:rsidRDefault="00EC7080" w:rsidP="000B2174">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a particular matter or thing is an exempt matter; or</w:t>
      </w:r>
    </w:p>
    <w:p w14:paraId="2E4DE881" w14:textId="77777777" w:rsidR="005D1D9D" w:rsidRPr="00F852E7" w:rsidRDefault="00EC7080" w:rsidP="000B2174">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a particular thing was done (including a transaction entered into or an instrument made, executed, lodged or given) because of, or for a purpose connected with or arising out of, a particular exempt matter.</w:t>
      </w:r>
    </w:p>
    <w:p w14:paraId="7DDD658A" w14:textId="77777777" w:rsidR="005D1D9D" w:rsidRPr="00C26538" w:rsidRDefault="00C26538" w:rsidP="00C26538">
      <w:pPr>
        <w:pStyle w:val="BodyText8"/>
        <w:spacing w:before="120" w:line="240" w:lineRule="auto"/>
        <w:ind w:left="965" w:hanging="331"/>
        <w:jc w:val="left"/>
        <w:rPr>
          <w:rStyle w:val="BodyText21"/>
          <w:sz w:val="22"/>
        </w:rPr>
      </w:pPr>
      <w:r>
        <w:rPr>
          <w:rStyle w:val="BodyText21"/>
          <w:sz w:val="22"/>
        </w:rPr>
        <w:t xml:space="preserve">(3) </w:t>
      </w:r>
      <w:r w:rsidR="00524AAA" w:rsidRPr="00F852E7">
        <w:rPr>
          <w:rStyle w:val="BodyText21"/>
          <w:sz w:val="22"/>
        </w:rPr>
        <w:t>For all purposes and in all proceedings, a certificate under subsection (2) is conclusive evidence of the matter certified, except to the extent (if any) to which the contrary is proved.</w:t>
      </w:r>
    </w:p>
    <w:p w14:paraId="318D66AE" w14:textId="77777777" w:rsidR="005D1D9D" w:rsidRPr="00F852E7" w:rsidRDefault="0030585A" w:rsidP="00C26538">
      <w:pPr>
        <w:pStyle w:val="BodyText8"/>
        <w:spacing w:before="120" w:line="240" w:lineRule="auto"/>
        <w:ind w:left="965" w:hanging="331"/>
        <w:jc w:val="left"/>
        <w:rPr>
          <w:sz w:val="22"/>
        </w:rPr>
      </w:pPr>
      <w:r>
        <w:rPr>
          <w:rStyle w:val="BodyText21"/>
          <w:sz w:val="22"/>
        </w:rPr>
        <w:t xml:space="preserve">(4) </w:t>
      </w:r>
      <w:r w:rsidR="00524AAA" w:rsidRPr="00F852E7">
        <w:rPr>
          <w:rStyle w:val="BodyText21"/>
          <w:sz w:val="22"/>
        </w:rPr>
        <w:t>Unless the contrary is proved, a document purporting to be a certificate under subsection (2) is to be taken to be such a certificate and to have been duly given.</w:t>
      </w:r>
    </w:p>
    <w:p w14:paraId="18A8EB51" w14:textId="77777777" w:rsidR="005D1D9D" w:rsidRPr="00F852E7" w:rsidRDefault="00C15D1D" w:rsidP="007E1357">
      <w:pPr>
        <w:spacing w:before="120" w:after="60"/>
        <w:rPr>
          <w:rFonts w:ascii="Times New Roman" w:hAnsi="Times New Roman" w:cs="Times New Roman"/>
        </w:rPr>
      </w:pPr>
      <w:bookmarkStart w:id="30" w:name="bookmark30"/>
      <w:r>
        <w:rPr>
          <w:rStyle w:val="Heading4Bold"/>
          <w:rFonts w:eastAsia="Courier New"/>
          <w:sz w:val="22"/>
        </w:rPr>
        <w:t xml:space="preserve">33 </w:t>
      </w:r>
      <w:r w:rsidR="00524AAA" w:rsidRPr="00F852E7">
        <w:rPr>
          <w:rStyle w:val="Heading4Bold"/>
          <w:rFonts w:eastAsia="Courier New"/>
          <w:sz w:val="22"/>
        </w:rPr>
        <w:t>Registration etc. of changing title to assets</w:t>
      </w:r>
      <w:bookmarkEnd w:id="30"/>
    </w:p>
    <w:p w14:paraId="23584E8E" w14:textId="77777777" w:rsidR="005D1D9D" w:rsidRPr="00F852E7" w:rsidRDefault="000F0F68" w:rsidP="000F0F68">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If:</w:t>
      </w:r>
    </w:p>
    <w:p w14:paraId="0DCA660C" w14:textId="77777777" w:rsidR="005D1D9D" w:rsidRPr="00104E5B" w:rsidRDefault="00104E5B" w:rsidP="00104E5B">
      <w:pPr>
        <w:pStyle w:val="BodyText8"/>
        <w:spacing w:before="120" w:line="240" w:lineRule="auto"/>
        <w:ind w:left="1440" w:hanging="288"/>
        <w:jc w:val="left"/>
        <w:rPr>
          <w:rStyle w:val="BodyText21"/>
          <w:sz w:val="22"/>
        </w:rPr>
      </w:pPr>
      <w:r>
        <w:rPr>
          <w:rStyle w:val="BodyText21"/>
          <w:sz w:val="22"/>
        </w:rPr>
        <w:t xml:space="preserve">(a) </w:t>
      </w:r>
      <w:r w:rsidR="00524AAA" w:rsidRPr="00F852E7">
        <w:rPr>
          <w:rStyle w:val="BodyText21"/>
          <w:sz w:val="22"/>
        </w:rPr>
        <w:t>an asset vests in the Company or the Commonwealth because of section 7; and</w:t>
      </w:r>
    </w:p>
    <w:p w14:paraId="28B98046" w14:textId="77777777" w:rsidR="005D1D9D" w:rsidRPr="00F852E7" w:rsidRDefault="00104E5B" w:rsidP="00104E5B">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a person or authority has power, under a law of the Commonwealth, of a State or of a Territory, to register, record or otherwise give effect to:</w:t>
      </w:r>
    </w:p>
    <w:p w14:paraId="6F7AD3D2" w14:textId="77777777" w:rsidR="005D1D9D" w:rsidRPr="00F852E7" w:rsidRDefault="000B522E" w:rsidP="001306F2">
      <w:pPr>
        <w:pStyle w:val="BodyText8"/>
        <w:spacing w:before="120" w:line="240" w:lineRule="auto"/>
        <w:ind w:left="1620" w:firstLine="0"/>
        <w:jc w:val="left"/>
        <w:rPr>
          <w:sz w:val="22"/>
        </w:rPr>
      </w:pPr>
      <w:r>
        <w:rPr>
          <w:rStyle w:val="BodyText21"/>
          <w:sz w:val="22"/>
        </w:rPr>
        <w:t xml:space="preserve">(i) </w:t>
      </w:r>
      <w:r w:rsidR="00524AAA" w:rsidRPr="00F852E7">
        <w:rPr>
          <w:rStyle w:val="BodyText21"/>
          <w:sz w:val="22"/>
        </w:rPr>
        <w:t>transactions affecting that kind of asset; or</w:t>
      </w:r>
    </w:p>
    <w:p w14:paraId="561D09B0" w14:textId="77777777" w:rsidR="005D1D9D" w:rsidRPr="00F852E7" w:rsidRDefault="00A9654C" w:rsidP="001306F2">
      <w:pPr>
        <w:pStyle w:val="BodyText8"/>
        <w:spacing w:before="120" w:line="240" w:lineRule="auto"/>
        <w:ind w:left="1575" w:firstLine="0"/>
        <w:jc w:val="left"/>
        <w:rPr>
          <w:sz w:val="22"/>
        </w:rPr>
      </w:pPr>
      <w:r>
        <w:rPr>
          <w:rStyle w:val="BodyText21"/>
          <w:sz w:val="22"/>
        </w:rPr>
        <w:t xml:space="preserve">(ii) </w:t>
      </w:r>
      <w:r w:rsidR="00524AAA" w:rsidRPr="00F852E7">
        <w:rPr>
          <w:rStyle w:val="BodyText21"/>
          <w:sz w:val="22"/>
        </w:rPr>
        <w:t>documents relating to such transactions;</w:t>
      </w:r>
    </w:p>
    <w:p w14:paraId="33097C15" w14:textId="77777777" w:rsidR="00272F0B" w:rsidRDefault="00524AAA" w:rsidP="00717DF2">
      <w:pPr>
        <w:pStyle w:val="BodyText8"/>
        <w:spacing w:before="120" w:line="240" w:lineRule="auto"/>
        <w:ind w:left="994" w:firstLine="0"/>
        <w:jc w:val="left"/>
        <w:rPr>
          <w:rStyle w:val="BodyText21"/>
          <w:sz w:val="22"/>
        </w:rPr>
      </w:pPr>
      <w:r w:rsidRPr="00F852E7">
        <w:rPr>
          <w:rStyle w:val="BodyText21"/>
          <w:sz w:val="22"/>
        </w:rPr>
        <w:t>the person or authority may do whatever is necessary or desirable to give effect to, or reflect, the vesting (for example, making entries in a register).</w:t>
      </w:r>
    </w:p>
    <w:p w14:paraId="0DE9EEA0" w14:textId="77777777" w:rsidR="00412419" w:rsidRDefault="00412419">
      <w:pPr>
        <w:rPr>
          <w:rStyle w:val="BodyText21"/>
          <w:rFonts w:eastAsia="Courier New"/>
          <w:sz w:val="22"/>
        </w:rPr>
        <w:sectPr w:rsidR="00412419" w:rsidSect="004D7C92">
          <w:headerReference w:type="default" r:id="rId44"/>
          <w:pgSz w:w="12240" w:h="15840" w:code="1"/>
          <w:pgMar w:top="1713" w:right="1440" w:bottom="1440" w:left="1440" w:header="450" w:footer="397" w:gutter="0"/>
          <w:cols w:space="720"/>
          <w:noEndnote/>
          <w:docGrid w:linePitch="360"/>
        </w:sectPr>
      </w:pPr>
    </w:p>
    <w:p w14:paraId="62741E0E" w14:textId="77777777" w:rsidR="005D1D9D" w:rsidRPr="00F852E7" w:rsidRDefault="00BF21D8" w:rsidP="007D33E2">
      <w:pPr>
        <w:pStyle w:val="BodyText8"/>
        <w:spacing w:before="120" w:line="240" w:lineRule="auto"/>
        <w:ind w:left="965" w:hanging="331"/>
        <w:jc w:val="left"/>
        <w:rPr>
          <w:sz w:val="22"/>
        </w:rPr>
      </w:pPr>
      <w:r>
        <w:rPr>
          <w:rStyle w:val="BodyText21"/>
          <w:sz w:val="22"/>
        </w:rPr>
        <w:lastRenderedPageBreak/>
        <w:t xml:space="preserve">(2) </w:t>
      </w:r>
      <w:r w:rsidR="00524AAA" w:rsidRPr="00F852E7">
        <w:rPr>
          <w:rStyle w:val="BodyText21"/>
          <w:sz w:val="22"/>
        </w:rPr>
        <w:t>Without limiting the generality of subsection (1), if:</w:t>
      </w:r>
    </w:p>
    <w:p w14:paraId="1BB1E631" w14:textId="77777777" w:rsidR="005D1D9D" w:rsidRPr="00F852E7" w:rsidRDefault="00870B2E" w:rsidP="00870B2E">
      <w:pPr>
        <w:pStyle w:val="BodyText8"/>
        <w:spacing w:before="120" w:line="240" w:lineRule="auto"/>
        <w:ind w:left="1440" w:hanging="288"/>
        <w:jc w:val="left"/>
        <w:rPr>
          <w:sz w:val="22"/>
        </w:rPr>
      </w:pPr>
      <w:r>
        <w:rPr>
          <w:rStyle w:val="BodyText21"/>
          <w:sz w:val="22"/>
        </w:rPr>
        <w:t xml:space="preserve">(a) </w:t>
      </w:r>
      <w:r w:rsidR="00524AAA" w:rsidRPr="00F852E7">
        <w:rPr>
          <w:rStyle w:val="BodyText21"/>
          <w:sz w:val="22"/>
        </w:rPr>
        <w:t>under section 7, land that is situated in a State or Territory, or an interest in such land, vests in the Company; and</w:t>
      </w:r>
    </w:p>
    <w:p w14:paraId="12D896E2" w14:textId="77777777" w:rsidR="005D1D9D" w:rsidRPr="00F852E7" w:rsidRDefault="00870B2E" w:rsidP="00870B2E">
      <w:pPr>
        <w:pStyle w:val="BodyText8"/>
        <w:spacing w:before="120" w:line="240" w:lineRule="auto"/>
        <w:ind w:left="1440" w:hanging="288"/>
        <w:jc w:val="left"/>
        <w:rPr>
          <w:sz w:val="22"/>
        </w:rPr>
      </w:pPr>
      <w:r>
        <w:rPr>
          <w:rStyle w:val="BodyText21"/>
          <w:sz w:val="22"/>
        </w:rPr>
        <w:t xml:space="preserve">(b) </w:t>
      </w:r>
      <w:r w:rsidR="00524AAA" w:rsidRPr="00F852E7">
        <w:rPr>
          <w:rStyle w:val="BodyText21"/>
          <w:sz w:val="22"/>
        </w:rPr>
        <w:t>there is lodged with the Registrar of Titles or other proper officer of the State or Territory in which the land is situated a certificate that:</w:t>
      </w:r>
    </w:p>
    <w:p w14:paraId="1A210E9B" w14:textId="77777777" w:rsidR="005D1D9D" w:rsidRPr="00F852E7" w:rsidRDefault="00AD65F3" w:rsidP="00AD65F3">
      <w:pPr>
        <w:pStyle w:val="BodyText8"/>
        <w:spacing w:before="120" w:line="240" w:lineRule="auto"/>
        <w:ind w:left="1620" w:firstLine="0"/>
        <w:jc w:val="left"/>
        <w:rPr>
          <w:sz w:val="22"/>
        </w:rPr>
      </w:pPr>
      <w:r>
        <w:rPr>
          <w:rStyle w:val="BodyText21"/>
          <w:sz w:val="22"/>
        </w:rPr>
        <w:t xml:space="preserve">(i) </w:t>
      </w:r>
      <w:r w:rsidR="00524AAA" w:rsidRPr="00F852E7">
        <w:rPr>
          <w:rStyle w:val="BodyText21"/>
          <w:sz w:val="22"/>
        </w:rPr>
        <w:t>is signed by an authorised person; and</w:t>
      </w:r>
    </w:p>
    <w:p w14:paraId="013A141F" w14:textId="77777777" w:rsidR="005D1D9D" w:rsidRPr="00F852E7" w:rsidRDefault="00AD65F3" w:rsidP="00AD65F3">
      <w:pPr>
        <w:pStyle w:val="BodyText8"/>
        <w:spacing w:before="120" w:line="240" w:lineRule="auto"/>
        <w:ind w:left="1575" w:firstLine="0"/>
        <w:jc w:val="left"/>
        <w:rPr>
          <w:sz w:val="22"/>
        </w:rPr>
      </w:pPr>
      <w:r>
        <w:rPr>
          <w:rStyle w:val="BodyText21"/>
          <w:sz w:val="22"/>
        </w:rPr>
        <w:t xml:space="preserve">(ii) </w:t>
      </w:r>
      <w:r w:rsidR="00524AAA" w:rsidRPr="00F852E7">
        <w:rPr>
          <w:rStyle w:val="BodyText21"/>
          <w:sz w:val="22"/>
        </w:rPr>
        <w:t>identifies the land or interest, whether by reference to a map or otherwise; and</w:t>
      </w:r>
    </w:p>
    <w:p w14:paraId="2C22AB80" w14:textId="77777777" w:rsidR="005D1D9D" w:rsidRPr="00F852E7" w:rsidRDefault="00AD65F3" w:rsidP="00D75387">
      <w:pPr>
        <w:pStyle w:val="BodyText8"/>
        <w:spacing w:before="120" w:line="240" w:lineRule="auto"/>
        <w:ind w:left="1530" w:firstLine="0"/>
        <w:jc w:val="left"/>
        <w:rPr>
          <w:sz w:val="22"/>
        </w:rPr>
      </w:pPr>
      <w:r>
        <w:rPr>
          <w:rStyle w:val="BodyText21"/>
          <w:sz w:val="22"/>
        </w:rPr>
        <w:t xml:space="preserve">(iii) </w:t>
      </w:r>
      <w:r w:rsidR="00524AAA" w:rsidRPr="00F852E7">
        <w:rPr>
          <w:rStyle w:val="BodyText21"/>
          <w:sz w:val="22"/>
        </w:rPr>
        <w:t>states that the land or interest is, under section 7, vested in the Company;</w:t>
      </w:r>
    </w:p>
    <w:p w14:paraId="491A16DB" w14:textId="77777777" w:rsidR="005D1D9D" w:rsidRPr="00F852E7" w:rsidRDefault="00524AAA" w:rsidP="00DD3F68">
      <w:pPr>
        <w:pStyle w:val="BodyText8"/>
        <w:spacing w:before="120" w:line="240" w:lineRule="auto"/>
        <w:ind w:left="994" w:firstLine="0"/>
        <w:jc w:val="left"/>
        <w:rPr>
          <w:sz w:val="22"/>
        </w:rPr>
      </w:pPr>
      <w:r w:rsidRPr="00F852E7">
        <w:rPr>
          <w:rStyle w:val="BodyText21"/>
          <w:sz w:val="22"/>
        </w:rPr>
        <w:t>the officer with whom the certificate is lodged may:</w:t>
      </w:r>
    </w:p>
    <w:p w14:paraId="08EBAE3C" w14:textId="77777777" w:rsidR="005D1D9D" w:rsidRPr="00F852E7" w:rsidRDefault="0098056F" w:rsidP="0098056F">
      <w:pPr>
        <w:pStyle w:val="BodyText8"/>
        <w:spacing w:before="120" w:line="240" w:lineRule="auto"/>
        <w:ind w:left="1440" w:hanging="288"/>
        <w:jc w:val="left"/>
        <w:rPr>
          <w:sz w:val="22"/>
        </w:rPr>
      </w:pPr>
      <w:r>
        <w:rPr>
          <w:rStyle w:val="BodyText21"/>
          <w:sz w:val="22"/>
        </w:rPr>
        <w:t xml:space="preserve">(c) </w:t>
      </w:r>
      <w:r w:rsidR="00524AAA" w:rsidRPr="00F852E7">
        <w:rPr>
          <w:rStyle w:val="BodyText21"/>
          <w:sz w:val="22"/>
        </w:rPr>
        <w:t>register the matter in the same way as dealings in land or interests in land of that kind are registered; and</w:t>
      </w:r>
    </w:p>
    <w:p w14:paraId="5487E759" w14:textId="77777777" w:rsidR="005D1D9D" w:rsidRPr="00F852E7" w:rsidRDefault="0098056F" w:rsidP="0098056F">
      <w:pPr>
        <w:pStyle w:val="BodyText8"/>
        <w:spacing w:before="120" w:line="240" w:lineRule="auto"/>
        <w:ind w:left="1440" w:hanging="288"/>
        <w:jc w:val="left"/>
        <w:rPr>
          <w:sz w:val="22"/>
        </w:rPr>
      </w:pPr>
      <w:r>
        <w:rPr>
          <w:rStyle w:val="BodyText21"/>
          <w:sz w:val="22"/>
        </w:rPr>
        <w:t xml:space="preserve">(d) </w:t>
      </w:r>
      <w:r w:rsidR="00524AAA" w:rsidRPr="00F852E7">
        <w:rPr>
          <w:rStyle w:val="BodyText21"/>
          <w:sz w:val="22"/>
        </w:rPr>
        <w:t>deal with, and give effect to, the certificate.</w:t>
      </w:r>
    </w:p>
    <w:p w14:paraId="7CC319F8" w14:textId="77777777" w:rsidR="005D1D9D" w:rsidRPr="00F852E7" w:rsidRDefault="00141F47" w:rsidP="007E1357">
      <w:pPr>
        <w:spacing w:before="120" w:after="60"/>
        <w:rPr>
          <w:rFonts w:ascii="Times New Roman" w:hAnsi="Times New Roman" w:cs="Times New Roman"/>
        </w:rPr>
      </w:pPr>
      <w:bookmarkStart w:id="31" w:name="bookmark31"/>
      <w:r>
        <w:rPr>
          <w:rStyle w:val="Heading4Bold"/>
          <w:rFonts w:eastAsia="Courier New"/>
          <w:sz w:val="22"/>
        </w:rPr>
        <w:t xml:space="preserve">34 </w:t>
      </w:r>
      <w:r w:rsidR="00524AAA" w:rsidRPr="00F852E7">
        <w:rPr>
          <w:rStyle w:val="Heading4Bold"/>
          <w:rFonts w:eastAsia="Courier New"/>
          <w:sz w:val="22"/>
        </w:rPr>
        <w:t>Compensation for acquisition of property</w:t>
      </w:r>
      <w:bookmarkEnd w:id="31"/>
    </w:p>
    <w:p w14:paraId="63C83AB9" w14:textId="77777777" w:rsidR="005D1D9D" w:rsidRPr="00F852E7" w:rsidRDefault="005D0940" w:rsidP="005D0940">
      <w:pPr>
        <w:pStyle w:val="BodyText8"/>
        <w:spacing w:before="120" w:line="240" w:lineRule="auto"/>
        <w:ind w:left="965" w:hanging="331"/>
        <w:jc w:val="left"/>
        <w:rPr>
          <w:sz w:val="22"/>
        </w:rPr>
      </w:pPr>
      <w:r>
        <w:rPr>
          <w:rStyle w:val="BodyText21"/>
          <w:sz w:val="22"/>
        </w:rPr>
        <w:t xml:space="preserve">(1) </w:t>
      </w:r>
      <w:r w:rsidR="00524AAA" w:rsidRPr="00F852E7">
        <w:rPr>
          <w:rStyle w:val="BodyText21"/>
          <w:sz w:val="22"/>
        </w:rPr>
        <w:t>If, apart from this section, the operation of this Act would result in the acquisition of property from a person otherwise than on just terms, the Commonwealth must pay to the person, out of moneys appropriated by the Parliament for the purpose, any reasonable amount of compensation that is agreed to between the Commonwealth and the person or, in the absence of agreement, is determined by a court of competent jurisdiction.</w:t>
      </w:r>
    </w:p>
    <w:p w14:paraId="1381C053" w14:textId="77777777" w:rsidR="005D1D9D" w:rsidRPr="005D0940" w:rsidRDefault="005D0940" w:rsidP="005D0940">
      <w:pPr>
        <w:pStyle w:val="BodyText8"/>
        <w:spacing w:before="120" w:line="240" w:lineRule="auto"/>
        <w:ind w:left="965" w:hanging="331"/>
        <w:jc w:val="left"/>
        <w:rPr>
          <w:rStyle w:val="BodyText21"/>
          <w:sz w:val="22"/>
        </w:rPr>
      </w:pPr>
      <w:r>
        <w:rPr>
          <w:rStyle w:val="BodyText21"/>
          <w:sz w:val="22"/>
        </w:rPr>
        <w:t xml:space="preserve">(2) </w:t>
      </w:r>
      <w:r w:rsidR="00524AAA" w:rsidRPr="00F852E7">
        <w:rPr>
          <w:rStyle w:val="BodyText21"/>
          <w:sz w:val="22"/>
        </w:rPr>
        <w:t>Any damages or compensation recovered, or other remedy given, in proceedings begun otherwise than under this section, must be taken into account in assessing compensation payable in proceedings begun under this section that arise out of the same event or transaction.</w:t>
      </w:r>
    </w:p>
    <w:p w14:paraId="73BBDFF4" w14:textId="77777777" w:rsidR="005D1D9D" w:rsidRPr="00F852E7" w:rsidRDefault="005D0940" w:rsidP="005142CA">
      <w:pPr>
        <w:pStyle w:val="BodyText8"/>
        <w:spacing w:before="120" w:line="240" w:lineRule="auto"/>
        <w:ind w:left="965" w:hanging="331"/>
        <w:jc w:val="left"/>
        <w:rPr>
          <w:sz w:val="22"/>
        </w:rPr>
      </w:pPr>
      <w:r>
        <w:rPr>
          <w:rStyle w:val="BodyText21"/>
          <w:sz w:val="22"/>
        </w:rPr>
        <w:t xml:space="preserve">(3) </w:t>
      </w:r>
      <w:r w:rsidR="00524AAA" w:rsidRPr="00F852E7">
        <w:rPr>
          <w:rStyle w:val="BodyText21"/>
          <w:sz w:val="22"/>
        </w:rPr>
        <w:t>In this section:</w:t>
      </w:r>
    </w:p>
    <w:p w14:paraId="098B8F80" w14:textId="77777777" w:rsidR="005D1D9D" w:rsidRPr="00F852E7" w:rsidRDefault="00524AAA" w:rsidP="005142CA">
      <w:pPr>
        <w:pStyle w:val="BodyText8"/>
        <w:spacing w:before="120" w:line="240" w:lineRule="auto"/>
        <w:ind w:left="994" w:firstLine="0"/>
        <w:jc w:val="left"/>
        <w:rPr>
          <w:sz w:val="22"/>
        </w:rPr>
      </w:pPr>
      <w:r w:rsidRPr="00F852E7">
        <w:rPr>
          <w:rStyle w:val="BodytextBold2"/>
          <w:sz w:val="22"/>
        </w:rPr>
        <w:t>acquisition of property</w:t>
      </w:r>
      <w:r w:rsidRPr="00F852E7">
        <w:rPr>
          <w:rStyle w:val="BodytextBold3"/>
          <w:sz w:val="22"/>
        </w:rPr>
        <w:t xml:space="preserve"> </w:t>
      </w:r>
      <w:r w:rsidRPr="00F852E7">
        <w:rPr>
          <w:rStyle w:val="BodyText21"/>
          <w:sz w:val="22"/>
        </w:rPr>
        <w:t>and</w:t>
      </w:r>
      <w:r w:rsidRPr="00F852E7">
        <w:rPr>
          <w:rStyle w:val="BodytextBold3"/>
          <w:sz w:val="22"/>
        </w:rPr>
        <w:t xml:space="preserve"> </w:t>
      </w:r>
      <w:r w:rsidRPr="00F852E7">
        <w:rPr>
          <w:rStyle w:val="BodytextBold2"/>
          <w:sz w:val="22"/>
        </w:rPr>
        <w:t>just terms</w:t>
      </w:r>
      <w:r w:rsidRPr="00F852E7">
        <w:rPr>
          <w:rStyle w:val="BodyText21"/>
          <w:sz w:val="22"/>
        </w:rPr>
        <w:t xml:space="preserve"> have the same meanings as in paragraph 51(xxxi) of the Constitution.</w:t>
      </w:r>
    </w:p>
    <w:p w14:paraId="4A0CDEB7" w14:textId="77777777" w:rsidR="005D1D9D" w:rsidRPr="00F852E7" w:rsidRDefault="00524AAA" w:rsidP="00D36249">
      <w:pPr>
        <w:pStyle w:val="BodyText8"/>
        <w:spacing w:before="120" w:line="240" w:lineRule="auto"/>
        <w:ind w:left="994" w:firstLine="0"/>
        <w:jc w:val="left"/>
        <w:rPr>
          <w:sz w:val="22"/>
        </w:rPr>
      </w:pPr>
      <w:r w:rsidRPr="00D36249">
        <w:rPr>
          <w:rStyle w:val="BodytextItalic0"/>
          <w:b/>
          <w:sz w:val="22"/>
        </w:rPr>
        <w:t>person</w:t>
      </w:r>
      <w:r w:rsidRPr="00F852E7">
        <w:rPr>
          <w:rStyle w:val="BodyText21"/>
          <w:sz w:val="22"/>
        </w:rPr>
        <w:t xml:space="preserve"> does not include the Corporation.</w:t>
      </w:r>
    </w:p>
    <w:p w14:paraId="6AC8FBAD" w14:textId="77777777" w:rsidR="005D1D9D" w:rsidRPr="00F852E7" w:rsidRDefault="00785434" w:rsidP="007E1357">
      <w:pPr>
        <w:spacing w:before="120" w:after="60"/>
        <w:rPr>
          <w:rFonts w:ascii="Times New Roman" w:hAnsi="Times New Roman" w:cs="Times New Roman"/>
        </w:rPr>
      </w:pPr>
      <w:bookmarkStart w:id="32" w:name="bookmark32"/>
      <w:r>
        <w:rPr>
          <w:rStyle w:val="Heading4Bold"/>
          <w:rFonts w:eastAsia="Courier New"/>
          <w:sz w:val="22"/>
        </w:rPr>
        <w:t xml:space="preserve">35 </w:t>
      </w:r>
      <w:r w:rsidR="00524AAA" w:rsidRPr="00F852E7">
        <w:rPr>
          <w:rStyle w:val="Heading4Bold"/>
          <w:rFonts w:eastAsia="Courier New"/>
          <w:sz w:val="22"/>
        </w:rPr>
        <w:t>Company’s financial statements and reports to be laid before</w:t>
      </w:r>
      <w:bookmarkStart w:id="33" w:name="bookmark33"/>
      <w:bookmarkEnd w:id="32"/>
      <w:r w:rsidR="004E53E0">
        <w:rPr>
          <w:rStyle w:val="Heading4Bold"/>
          <w:rFonts w:eastAsia="Courier New"/>
          <w:sz w:val="22"/>
        </w:rPr>
        <w:t xml:space="preserve"> </w:t>
      </w:r>
      <w:r w:rsidR="00524AAA" w:rsidRPr="00F852E7">
        <w:rPr>
          <w:rStyle w:val="Heading4Bold"/>
          <w:rFonts w:eastAsia="Courier New"/>
          <w:sz w:val="22"/>
        </w:rPr>
        <w:t>Parliament</w:t>
      </w:r>
      <w:bookmarkEnd w:id="33"/>
    </w:p>
    <w:p w14:paraId="3B6C1CF3" w14:textId="77777777" w:rsidR="00D926D5" w:rsidRDefault="004F44B9" w:rsidP="004F44B9">
      <w:pPr>
        <w:pStyle w:val="BodyText8"/>
        <w:spacing w:before="120" w:line="240" w:lineRule="auto"/>
        <w:ind w:left="965" w:hanging="331"/>
        <w:jc w:val="left"/>
        <w:rPr>
          <w:rStyle w:val="BodyText21"/>
          <w:sz w:val="22"/>
        </w:rPr>
      </w:pPr>
      <w:r>
        <w:rPr>
          <w:rStyle w:val="BodyText21"/>
          <w:sz w:val="22"/>
        </w:rPr>
        <w:t xml:space="preserve">(1) </w:t>
      </w:r>
      <w:r w:rsidR="00524AAA" w:rsidRPr="00F852E7">
        <w:rPr>
          <w:rStyle w:val="BodyText21"/>
          <w:sz w:val="22"/>
        </w:rPr>
        <w:t>This section applies when, under the Corporations Law of the Australian Capital Territory, the Company sends to:</w:t>
      </w:r>
    </w:p>
    <w:p w14:paraId="3D9F6EEB" w14:textId="77777777" w:rsidR="00412419" w:rsidRDefault="00412419">
      <w:pPr>
        <w:rPr>
          <w:rStyle w:val="BodyText21"/>
          <w:rFonts w:eastAsia="Courier New"/>
          <w:sz w:val="22"/>
        </w:rPr>
        <w:sectPr w:rsidR="00412419" w:rsidSect="007A25BC">
          <w:headerReference w:type="even" r:id="rId45"/>
          <w:pgSz w:w="12240" w:h="15840" w:code="1"/>
          <w:pgMar w:top="1710" w:right="1440" w:bottom="1440" w:left="1440" w:header="450" w:footer="487" w:gutter="0"/>
          <w:cols w:space="720"/>
          <w:noEndnote/>
          <w:docGrid w:linePitch="360"/>
        </w:sectPr>
      </w:pPr>
    </w:p>
    <w:p w14:paraId="286F02A4" w14:textId="77777777" w:rsidR="005D1D9D" w:rsidRPr="00130811" w:rsidRDefault="00AE5C16" w:rsidP="00130811">
      <w:pPr>
        <w:pStyle w:val="BodyText8"/>
        <w:spacing w:before="120" w:line="240" w:lineRule="auto"/>
        <w:ind w:left="1440" w:hanging="288"/>
        <w:jc w:val="left"/>
        <w:rPr>
          <w:rStyle w:val="BodyText21"/>
          <w:sz w:val="22"/>
        </w:rPr>
      </w:pPr>
      <w:r w:rsidRPr="00130811">
        <w:rPr>
          <w:rStyle w:val="BodyText21"/>
          <w:sz w:val="22"/>
        </w:rPr>
        <w:lastRenderedPageBreak/>
        <w:t xml:space="preserve">(a) </w:t>
      </w:r>
      <w:r w:rsidR="00524AAA" w:rsidRPr="00130811">
        <w:rPr>
          <w:rStyle w:val="BodyText21"/>
          <w:sz w:val="22"/>
        </w:rPr>
        <w:t>the Commonwealth as the holder of shares in the Company; or</w:t>
      </w:r>
    </w:p>
    <w:p w14:paraId="45C51C2E" w14:textId="77777777" w:rsidR="005D1D9D" w:rsidRPr="00F852E7" w:rsidRDefault="00AE5C16" w:rsidP="00130811">
      <w:pPr>
        <w:pStyle w:val="BodyText8"/>
        <w:spacing w:before="120" w:line="240" w:lineRule="auto"/>
        <w:ind w:left="1440" w:hanging="288"/>
        <w:jc w:val="left"/>
        <w:rPr>
          <w:sz w:val="22"/>
        </w:rPr>
      </w:pPr>
      <w:r w:rsidRPr="00130811">
        <w:rPr>
          <w:rStyle w:val="BodyText21"/>
          <w:sz w:val="22"/>
        </w:rPr>
        <w:t>(</w:t>
      </w:r>
      <w:r>
        <w:rPr>
          <w:sz w:val="22"/>
        </w:rPr>
        <w:t xml:space="preserve">b) </w:t>
      </w:r>
      <w:r w:rsidR="00524AAA" w:rsidRPr="00F852E7">
        <w:rPr>
          <w:sz w:val="22"/>
        </w:rPr>
        <w:t>a person who holds shares in the Company as nominee for the Commonwealth;</w:t>
      </w:r>
    </w:p>
    <w:p w14:paraId="35D6D8F1" w14:textId="77777777" w:rsidR="005D1D9D" w:rsidRPr="00F852E7" w:rsidRDefault="00524AAA" w:rsidP="00D347D9">
      <w:pPr>
        <w:pStyle w:val="BodyText8"/>
        <w:spacing w:before="120" w:line="240" w:lineRule="auto"/>
        <w:ind w:left="994" w:firstLine="0"/>
        <w:jc w:val="left"/>
        <w:rPr>
          <w:sz w:val="22"/>
        </w:rPr>
      </w:pPr>
      <w:r w:rsidRPr="00F852E7">
        <w:rPr>
          <w:sz w:val="22"/>
        </w:rPr>
        <w:t>copies of the documents required by that Law to be laid before a particular annual general meeting of the Company.</w:t>
      </w:r>
    </w:p>
    <w:p w14:paraId="0E4D734A" w14:textId="77777777" w:rsidR="005D1D9D" w:rsidRPr="00F852E7" w:rsidRDefault="00C90CC6" w:rsidP="00A5116D">
      <w:pPr>
        <w:pStyle w:val="BodyText8"/>
        <w:spacing w:before="120" w:line="240" w:lineRule="auto"/>
        <w:ind w:left="965" w:hanging="331"/>
        <w:jc w:val="left"/>
        <w:rPr>
          <w:sz w:val="22"/>
        </w:rPr>
      </w:pPr>
      <w:r>
        <w:rPr>
          <w:sz w:val="22"/>
        </w:rPr>
        <w:t xml:space="preserve">(2) </w:t>
      </w:r>
      <w:r w:rsidR="00524AAA" w:rsidRPr="00F852E7">
        <w:rPr>
          <w:sz w:val="22"/>
        </w:rPr>
        <w:t>The Minister must, as soon as practicable, cause to be laid before each House of the Parliament copies of the documents referred to in subsection (1) (whether made from the copies first referred to in that subsection or otherwise).</w:t>
      </w:r>
    </w:p>
    <w:p w14:paraId="4C4C9A46" w14:textId="77777777" w:rsidR="005D1D9D" w:rsidRPr="00F852E7" w:rsidRDefault="00B71599" w:rsidP="007E1357">
      <w:pPr>
        <w:pStyle w:val="Bodytext160"/>
        <w:spacing w:before="120" w:after="60" w:line="240" w:lineRule="auto"/>
        <w:jc w:val="left"/>
        <w:rPr>
          <w:sz w:val="22"/>
        </w:rPr>
      </w:pPr>
      <w:r>
        <w:rPr>
          <w:rStyle w:val="Bodytext16Bold"/>
          <w:sz w:val="22"/>
        </w:rPr>
        <w:t xml:space="preserve">36 </w:t>
      </w:r>
      <w:r w:rsidR="00524AAA" w:rsidRPr="00F852E7">
        <w:rPr>
          <w:rStyle w:val="Bodytext16Bold"/>
          <w:sz w:val="22"/>
        </w:rPr>
        <w:t xml:space="preserve">Amendment of the </w:t>
      </w:r>
      <w:r w:rsidR="00524AAA" w:rsidRPr="00F852E7">
        <w:rPr>
          <w:rStyle w:val="Bodytext16Bold0"/>
          <w:i/>
          <w:iCs/>
          <w:sz w:val="22"/>
        </w:rPr>
        <w:t>Commonwealth Borrowing Levy Act 1987</w:t>
      </w:r>
    </w:p>
    <w:p w14:paraId="31C758B5" w14:textId="77777777" w:rsidR="005D1D9D" w:rsidRPr="00F852E7" w:rsidRDefault="00524AAA" w:rsidP="00B71599">
      <w:pPr>
        <w:pStyle w:val="BodyText8"/>
        <w:spacing w:before="120" w:line="240" w:lineRule="auto"/>
        <w:ind w:left="994" w:firstLine="0"/>
        <w:jc w:val="left"/>
        <w:rPr>
          <w:sz w:val="22"/>
        </w:rPr>
      </w:pPr>
      <w:r w:rsidRPr="00F852E7">
        <w:rPr>
          <w:sz w:val="22"/>
        </w:rPr>
        <w:t xml:space="preserve">On the transfer day, the Schedule to the </w:t>
      </w:r>
      <w:r w:rsidRPr="00F852E7">
        <w:rPr>
          <w:rStyle w:val="BodytextItalic2"/>
          <w:sz w:val="22"/>
        </w:rPr>
        <w:t>Commonwealth Borrowing Levy Act 1987</w:t>
      </w:r>
      <w:r w:rsidRPr="00F852E7">
        <w:rPr>
          <w:sz w:val="22"/>
        </w:rPr>
        <w:t xml:space="preserve"> is amended by omitting item 16 and substituting the following item:</w:t>
      </w:r>
    </w:p>
    <w:p w14:paraId="47A2D319" w14:textId="77777777" w:rsidR="005D1D9D" w:rsidRPr="00F852E7" w:rsidRDefault="00524AAA" w:rsidP="00882615">
      <w:pPr>
        <w:pStyle w:val="BodyText8"/>
        <w:spacing w:before="120" w:line="240" w:lineRule="auto"/>
        <w:ind w:left="994" w:firstLine="0"/>
        <w:jc w:val="left"/>
        <w:rPr>
          <w:sz w:val="22"/>
        </w:rPr>
      </w:pPr>
      <w:r w:rsidRPr="00F852E7">
        <w:rPr>
          <w:sz w:val="22"/>
        </w:rPr>
        <w:t>16. Housing Loans Insurance Corporation Limited</w:t>
      </w:r>
    </w:p>
    <w:p w14:paraId="4C893A87" w14:textId="77777777" w:rsidR="005D1D9D" w:rsidRPr="00F852E7" w:rsidRDefault="005E7814" w:rsidP="007E1357">
      <w:pPr>
        <w:pStyle w:val="Bodytext140"/>
        <w:spacing w:before="120" w:after="60" w:line="240" w:lineRule="auto"/>
        <w:ind w:firstLine="0"/>
        <w:jc w:val="left"/>
        <w:rPr>
          <w:sz w:val="22"/>
        </w:rPr>
      </w:pPr>
      <w:r>
        <w:rPr>
          <w:rStyle w:val="Bodytext14Bold2"/>
          <w:sz w:val="22"/>
        </w:rPr>
        <w:t xml:space="preserve">37 </w:t>
      </w:r>
      <w:r w:rsidR="00524AAA" w:rsidRPr="00F852E7">
        <w:rPr>
          <w:rStyle w:val="Bodytext14Bold2"/>
          <w:sz w:val="22"/>
        </w:rPr>
        <w:t>Delegation</w:t>
      </w:r>
    </w:p>
    <w:p w14:paraId="47971BB8" w14:textId="77777777" w:rsidR="005D1D9D" w:rsidRPr="00F852E7" w:rsidRDefault="00524AAA" w:rsidP="00574FE7">
      <w:pPr>
        <w:pStyle w:val="BodyText8"/>
        <w:spacing w:before="120" w:line="240" w:lineRule="auto"/>
        <w:ind w:left="994" w:firstLine="0"/>
        <w:jc w:val="left"/>
        <w:rPr>
          <w:sz w:val="22"/>
        </w:rPr>
      </w:pPr>
      <w:r w:rsidRPr="00F852E7">
        <w:rPr>
          <w:sz w:val="22"/>
        </w:rPr>
        <w:t>The Minister may, by signed writing, delegate to an officer of the Department all or any of his or her powers under this Act.</w:t>
      </w:r>
    </w:p>
    <w:p w14:paraId="0B0F310C" w14:textId="77777777" w:rsidR="005D1D9D" w:rsidRPr="00F852E7" w:rsidRDefault="00F40C62" w:rsidP="007E1357">
      <w:pPr>
        <w:pStyle w:val="Bodytext140"/>
        <w:spacing w:before="120" w:after="60" w:line="240" w:lineRule="auto"/>
        <w:ind w:firstLine="0"/>
        <w:jc w:val="left"/>
        <w:rPr>
          <w:sz w:val="22"/>
        </w:rPr>
      </w:pPr>
      <w:r>
        <w:rPr>
          <w:rStyle w:val="Bodytext14Bold2"/>
          <w:sz w:val="22"/>
        </w:rPr>
        <w:t xml:space="preserve">38 </w:t>
      </w:r>
      <w:r w:rsidR="00524AAA" w:rsidRPr="00F852E7">
        <w:rPr>
          <w:rStyle w:val="Bodytext14Bold2"/>
          <w:sz w:val="22"/>
        </w:rPr>
        <w:t>Regulations</w:t>
      </w:r>
    </w:p>
    <w:p w14:paraId="60D94C9C" w14:textId="77777777" w:rsidR="005D1D9D" w:rsidRPr="00F852E7" w:rsidRDefault="00524AAA" w:rsidP="0097396F">
      <w:pPr>
        <w:pStyle w:val="BodyText8"/>
        <w:spacing w:before="120" w:line="240" w:lineRule="auto"/>
        <w:ind w:left="994" w:firstLine="0"/>
        <w:jc w:val="left"/>
        <w:rPr>
          <w:sz w:val="22"/>
        </w:rPr>
      </w:pPr>
      <w:r w:rsidRPr="00F852E7">
        <w:rPr>
          <w:sz w:val="22"/>
        </w:rPr>
        <w:t>The Governor-General may make regulations prescribing matters:</w:t>
      </w:r>
    </w:p>
    <w:p w14:paraId="0B5CDFCE" w14:textId="77777777" w:rsidR="005D1D9D" w:rsidRPr="006A456E" w:rsidRDefault="006A456E" w:rsidP="006A456E">
      <w:pPr>
        <w:pStyle w:val="BodyText8"/>
        <w:spacing w:before="120" w:line="240" w:lineRule="auto"/>
        <w:ind w:left="1440" w:hanging="288"/>
        <w:jc w:val="left"/>
        <w:rPr>
          <w:rStyle w:val="BodyText21"/>
          <w:sz w:val="22"/>
        </w:rPr>
      </w:pPr>
      <w:r>
        <w:rPr>
          <w:rStyle w:val="BodyText21"/>
          <w:sz w:val="22"/>
        </w:rPr>
        <w:t xml:space="preserve">(a) </w:t>
      </w:r>
      <w:r w:rsidR="00524AAA" w:rsidRPr="006A456E">
        <w:rPr>
          <w:rStyle w:val="BodyText21"/>
          <w:sz w:val="22"/>
        </w:rPr>
        <w:t>required or permitted by this Act to be prescribed; or</w:t>
      </w:r>
    </w:p>
    <w:p w14:paraId="0502A13B" w14:textId="77777777" w:rsidR="005D1D9D" w:rsidRPr="00F852E7" w:rsidRDefault="00861395" w:rsidP="006A456E">
      <w:pPr>
        <w:pStyle w:val="BodyText8"/>
        <w:spacing w:before="120" w:line="240" w:lineRule="auto"/>
        <w:ind w:left="1440" w:hanging="288"/>
        <w:jc w:val="left"/>
        <w:rPr>
          <w:sz w:val="22"/>
        </w:rPr>
      </w:pPr>
      <w:r>
        <w:rPr>
          <w:rStyle w:val="BodyText21"/>
          <w:sz w:val="22"/>
        </w:rPr>
        <w:t xml:space="preserve">(b) </w:t>
      </w:r>
      <w:r w:rsidR="00524AAA" w:rsidRPr="006A456E">
        <w:rPr>
          <w:rStyle w:val="BodyText21"/>
          <w:sz w:val="22"/>
        </w:rPr>
        <w:t>necessary</w:t>
      </w:r>
      <w:r w:rsidR="00524AAA" w:rsidRPr="00F852E7">
        <w:rPr>
          <w:sz w:val="22"/>
        </w:rPr>
        <w:t xml:space="preserve"> or convenient to be prescribed for carrying out or giving effect to this Act.</w:t>
      </w:r>
    </w:p>
    <w:p w14:paraId="50EFFB2C" w14:textId="77777777" w:rsidR="00412419" w:rsidRDefault="00412419">
      <w:pPr>
        <w:rPr>
          <w:rStyle w:val="Bodytext174"/>
          <w:rFonts w:eastAsia="Courier New"/>
          <w:i w:val="0"/>
          <w:iCs w:val="0"/>
          <w:sz w:val="22"/>
        </w:rPr>
        <w:sectPr w:rsidR="00412419" w:rsidSect="007A25BC">
          <w:headerReference w:type="default" r:id="rId46"/>
          <w:pgSz w:w="12240" w:h="15840" w:code="1"/>
          <w:pgMar w:top="1710" w:right="1440" w:bottom="1440" w:left="1440" w:header="450" w:footer="487" w:gutter="0"/>
          <w:cols w:space="720"/>
          <w:noEndnote/>
          <w:docGrid w:linePitch="360"/>
        </w:sectPr>
      </w:pPr>
    </w:p>
    <w:p w14:paraId="21839D4E" w14:textId="77777777" w:rsidR="005D1D9D" w:rsidRPr="009E6291" w:rsidRDefault="00524AAA" w:rsidP="001D1849">
      <w:pPr>
        <w:spacing w:before="120"/>
        <w:rPr>
          <w:rFonts w:ascii="Times New Roman" w:hAnsi="Times New Roman" w:cs="Times New Roman"/>
          <w:b/>
        </w:rPr>
      </w:pPr>
      <w:bookmarkStart w:id="34" w:name="bookmark34"/>
      <w:r w:rsidRPr="009E6291">
        <w:rPr>
          <w:rFonts w:ascii="Times New Roman" w:hAnsi="Times New Roman" w:cs="Times New Roman"/>
          <w:b/>
        </w:rPr>
        <w:lastRenderedPageBreak/>
        <w:t>Part</w:t>
      </w:r>
      <w:r w:rsidRPr="007F4142">
        <w:rPr>
          <w:rStyle w:val="Heading221"/>
          <w:rFonts w:eastAsia="Courier New"/>
          <w:bCs w:val="0"/>
          <w:sz w:val="22"/>
        </w:rPr>
        <w:t xml:space="preserve"> 6—Abolition of Corporation</w:t>
      </w:r>
      <w:bookmarkEnd w:id="34"/>
    </w:p>
    <w:p w14:paraId="51367667" w14:textId="77777777" w:rsidR="005D1D9D" w:rsidRPr="00F852E7" w:rsidRDefault="002E5CBD" w:rsidP="007E1357">
      <w:pPr>
        <w:spacing w:before="120" w:after="60"/>
        <w:rPr>
          <w:rFonts w:ascii="Times New Roman" w:hAnsi="Times New Roman" w:cs="Times New Roman"/>
        </w:rPr>
      </w:pPr>
      <w:bookmarkStart w:id="35" w:name="bookmark35"/>
      <w:r>
        <w:rPr>
          <w:rStyle w:val="Heading4Bold0"/>
          <w:rFonts w:eastAsia="Courier New"/>
          <w:sz w:val="22"/>
        </w:rPr>
        <w:t xml:space="preserve">39 </w:t>
      </w:r>
      <w:r w:rsidR="00524AAA" w:rsidRPr="00F852E7">
        <w:rPr>
          <w:rStyle w:val="Heading4Bold0"/>
          <w:rFonts w:eastAsia="Courier New"/>
          <w:sz w:val="22"/>
        </w:rPr>
        <w:t>Repeals</w:t>
      </w:r>
      <w:bookmarkEnd w:id="35"/>
    </w:p>
    <w:p w14:paraId="316928AF" w14:textId="77777777" w:rsidR="005D1D9D" w:rsidRPr="00F852E7" w:rsidRDefault="00524AAA" w:rsidP="00362151">
      <w:pPr>
        <w:pStyle w:val="BodyText8"/>
        <w:spacing w:before="120" w:line="240" w:lineRule="auto"/>
        <w:ind w:left="994" w:firstLine="0"/>
        <w:jc w:val="left"/>
        <w:rPr>
          <w:sz w:val="22"/>
        </w:rPr>
      </w:pPr>
      <w:r w:rsidRPr="00F852E7">
        <w:rPr>
          <w:sz w:val="22"/>
        </w:rPr>
        <w:t>The following Acts are repealed:</w:t>
      </w:r>
    </w:p>
    <w:p w14:paraId="2A4A7E31" w14:textId="77777777" w:rsidR="005D1D9D" w:rsidRPr="00ED2AD4" w:rsidRDefault="00524AAA" w:rsidP="00362151">
      <w:pPr>
        <w:pStyle w:val="BodyText8"/>
        <w:spacing w:before="120" w:line="240" w:lineRule="auto"/>
        <w:ind w:left="994" w:firstLine="0"/>
        <w:jc w:val="left"/>
        <w:rPr>
          <w:sz w:val="24"/>
        </w:rPr>
      </w:pPr>
      <w:r w:rsidRPr="00ED2AD4">
        <w:rPr>
          <w:rStyle w:val="Bodytext111"/>
          <w:sz w:val="24"/>
        </w:rPr>
        <w:t xml:space="preserve">Housing </w:t>
      </w:r>
      <w:r w:rsidRPr="00ED2AD4">
        <w:rPr>
          <w:i/>
          <w:iCs/>
          <w:sz w:val="22"/>
        </w:rPr>
        <w:t>Loans Insurance Act 1965</w:t>
      </w:r>
    </w:p>
    <w:p w14:paraId="06D7F59F" w14:textId="72A50ED0" w:rsidR="005D1D9D" w:rsidRPr="00ED2AD4" w:rsidRDefault="00524AAA" w:rsidP="00362151">
      <w:pPr>
        <w:pStyle w:val="BodyText8"/>
        <w:spacing w:before="120" w:line="240" w:lineRule="auto"/>
        <w:ind w:left="994" w:firstLine="0"/>
        <w:jc w:val="left"/>
        <w:rPr>
          <w:sz w:val="24"/>
        </w:rPr>
      </w:pPr>
      <w:r w:rsidRPr="00ED2AD4">
        <w:rPr>
          <w:i/>
          <w:iCs/>
          <w:sz w:val="22"/>
        </w:rPr>
        <w:t>Housing Loans Insurance Corporation (Sale of Assets and</w:t>
      </w:r>
      <w:r w:rsidR="005B5124" w:rsidRPr="00ED2AD4">
        <w:rPr>
          <w:i/>
          <w:iCs/>
          <w:sz w:val="22"/>
        </w:rPr>
        <w:t xml:space="preserve"> </w:t>
      </w:r>
      <w:r w:rsidRPr="00ED2AD4">
        <w:rPr>
          <w:i/>
          <w:iCs/>
          <w:sz w:val="22"/>
        </w:rPr>
        <w:t>Abolition)</w:t>
      </w:r>
      <w:r w:rsidRPr="00ED2AD4">
        <w:rPr>
          <w:rStyle w:val="Bodytext111"/>
          <w:sz w:val="24"/>
        </w:rPr>
        <w:t xml:space="preserve"> Act 1990.</w:t>
      </w:r>
    </w:p>
    <w:p w14:paraId="25F683BE" w14:textId="77777777" w:rsidR="005D1D9D" w:rsidRPr="00F852E7" w:rsidRDefault="007E415B" w:rsidP="007E1357">
      <w:pPr>
        <w:spacing w:before="120" w:after="60"/>
        <w:rPr>
          <w:rFonts w:ascii="Times New Roman" w:hAnsi="Times New Roman" w:cs="Times New Roman"/>
        </w:rPr>
      </w:pPr>
      <w:bookmarkStart w:id="36" w:name="bookmark36"/>
      <w:r>
        <w:rPr>
          <w:rStyle w:val="Heading4Bold0"/>
          <w:rFonts w:eastAsia="Courier New"/>
          <w:sz w:val="22"/>
        </w:rPr>
        <w:t xml:space="preserve">40 </w:t>
      </w:r>
      <w:r w:rsidR="00524AAA" w:rsidRPr="00F852E7">
        <w:rPr>
          <w:rStyle w:val="Heading4Bold0"/>
          <w:rFonts w:eastAsia="Courier New"/>
          <w:sz w:val="22"/>
        </w:rPr>
        <w:t>Final report by Corporation</w:t>
      </w:r>
      <w:bookmarkEnd w:id="36"/>
    </w:p>
    <w:p w14:paraId="7D28E597" w14:textId="77777777" w:rsidR="005D1D9D" w:rsidRPr="00F852E7" w:rsidRDefault="005F35A8" w:rsidP="00724C55">
      <w:pPr>
        <w:pStyle w:val="BodyText8"/>
        <w:spacing w:before="120" w:line="240" w:lineRule="auto"/>
        <w:ind w:left="965" w:hanging="331"/>
        <w:jc w:val="left"/>
        <w:rPr>
          <w:sz w:val="22"/>
        </w:rPr>
      </w:pPr>
      <w:r>
        <w:rPr>
          <w:sz w:val="22"/>
        </w:rPr>
        <w:t xml:space="preserve">(1) </w:t>
      </w:r>
      <w:r w:rsidR="00524AAA" w:rsidRPr="00F852E7">
        <w:rPr>
          <w:sz w:val="22"/>
        </w:rPr>
        <w:t>Despite the repeal of the Housing Loans Insurance Act, that Act continues in force, and the Corporation continues in existence, solely for the purpose of enabling the Corporation to comply with any of its outstanding obligations under section 39 of that Act in respect of any period before the repeal.</w:t>
      </w:r>
    </w:p>
    <w:p w14:paraId="24FCBC55" w14:textId="77777777" w:rsidR="005D1D9D" w:rsidRPr="00F852E7" w:rsidRDefault="001E785B" w:rsidP="00724C55">
      <w:pPr>
        <w:pStyle w:val="BodyText8"/>
        <w:spacing w:before="120" w:line="240" w:lineRule="auto"/>
        <w:ind w:left="965" w:hanging="331"/>
        <w:jc w:val="left"/>
        <w:rPr>
          <w:sz w:val="22"/>
        </w:rPr>
      </w:pPr>
      <w:r>
        <w:rPr>
          <w:sz w:val="22"/>
        </w:rPr>
        <w:t xml:space="preserve">(2) </w:t>
      </w:r>
      <w:r w:rsidR="00524AAA" w:rsidRPr="00F852E7">
        <w:rPr>
          <w:sz w:val="22"/>
        </w:rPr>
        <w:t>If this Part commences within 4 months after 30 June in a year, section 39 of the Housing Loans Insurance Act, as it continues in force by subsection (1) of this section, has effect as if the period of 12 months ending on that 30 June and the period from that 30 June to the commencement of this Part together constituted a year in respect of which the Corporation was required to prepare and furnish a report and financial statements.</w:t>
      </w:r>
    </w:p>
    <w:p w14:paraId="0ED1C0B4" w14:textId="77777777" w:rsidR="005D1D9D" w:rsidRPr="00F852E7" w:rsidRDefault="005007DF" w:rsidP="007E1357">
      <w:pPr>
        <w:spacing w:before="120" w:after="60"/>
        <w:rPr>
          <w:rFonts w:ascii="Times New Roman" w:hAnsi="Times New Roman" w:cs="Times New Roman"/>
        </w:rPr>
      </w:pPr>
      <w:bookmarkStart w:id="37" w:name="bookmark37"/>
      <w:r>
        <w:rPr>
          <w:rStyle w:val="Heading4Bold0"/>
          <w:rFonts w:eastAsia="Courier New"/>
          <w:sz w:val="22"/>
        </w:rPr>
        <w:t xml:space="preserve">41 </w:t>
      </w:r>
      <w:r w:rsidR="00524AAA" w:rsidRPr="00F852E7">
        <w:rPr>
          <w:rStyle w:val="Heading4Bold0"/>
          <w:rFonts w:eastAsia="Courier New"/>
          <w:sz w:val="22"/>
        </w:rPr>
        <w:t>Judicial notice of Corporation’s seal</w:t>
      </w:r>
      <w:bookmarkEnd w:id="37"/>
    </w:p>
    <w:p w14:paraId="1FDA793B" w14:textId="77777777" w:rsidR="005D1D9D" w:rsidRPr="00F852E7" w:rsidRDefault="00524AAA" w:rsidP="003A4CC2">
      <w:pPr>
        <w:pStyle w:val="BodyText8"/>
        <w:spacing w:before="120" w:line="240" w:lineRule="auto"/>
        <w:ind w:left="994" w:firstLine="0"/>
        <w:jc w:val="left"/>
        <w:rPr>
          <w:sz w:val="22"/>
        </w:rPr>
      </w:pPr>
      <w:r w:rsidRPr="00F852E7">
        <w:rPr>
          <w:sz w:val="22"/>
        </w:rPr>
        <w:t>Despite the repeal of the Housing Loans Insurance Act, all courts, judges and people acting judicially must take judicial notice of the imprint of the Corporation’s common seal appearing on a document and must presume</w:t>
      </w:r>
      <w:r w:rsidR="005A14F4">
        <w:rPr>
          <w:sz w:val="22"/>
        </w:rPr>
        <w:t xml:space="preserve"> that the seal was duly affixed.</w:t>
      </w:r>
    </w:p>
    <w:p w14:paraId="1B699CFC" w14:textId="77777777" w:rsidR="004D586E" w:rsidRDefault="004D586E" w:rsidP="001D1849">
      <w:pPr>
        <w:pStyle w:val="Bodytext110"/>
        <w:spacing w:before="120" w:line="240" w:lineRule="auto"/>
        <w:ind w:firstLine="0"/>
        <w:rPr>
          <w:rStyle w:val="Bodytext11NotItalic"/>
          <w:sz w:val="22"/>
        </w:rPr>
      </w:pPr>
      <w:r>
        <w:rPr>
          <w:rStyle w:val="Bodytext11NotItalic"/>
          <w:sz w:val="22"/>
        </w:rPr>
        <w:t>——————————————————————————————————————————</w:t>
      </w:r>
    </w:p>
    <w:p w14:paraId="3DB82D23" w14:textId="77777777" w:rsidR="00CF3FE2" w:rsidRPr="00ED2AD4" w:rsidRDefault="00524AAA" w:rsidP="001D1849">
      <w:pPr>
        <w:pStyle w:val="Bodytext110"/>
        <w:spacing w:before="120" w:line="240" w:lineRule="auto"/>
        <w:ind w:firstLine="0"/>
        <w:rPr>
          <w:rStyle w:val="Bodytext114pt"/>
          <w:sz w:val="20"/>
        </w:rPr>
      </w:pPr>
      <w:r w:rsidRPr="00ED2AD4">
        <w:rPr>
          <w:rStyle w:val="Bodytext11NotItalic"/>
        </w:rPr>
        <w:t>[</w:t>
      </w:r>
      <w:r w:rsidRPr="00ED2AD4">
        <w:rPr>
          <w:rStyle w:val="Bodytext111"/>
          <w:i/>
          <w:iCs/>
        </w:rPr>
        <w:t>Minister’s second reading speech made in</w:t>
      </w:r>
      <w:r w:rsidR="00CF3FE2" w:rsidRPr="00ED2AD4">
        <w:rPr>
          <w:rStyle w:val="Bodytext114pt"/>
          <w:sz w:val="20"/>
        </w:rPr>
        <w:t>—</w:t>
      </w:r>
    </w:p>
    <w:p w14:paraId="5DA87D64" w14:textId="6951B8FB" w:rsidR="005D1D9D" w:rsidRPr="00ED2AD4" w:rsidRDefault="00524AAA" w:rsidP="00A64AD7">
      <w:pPr>
        <w:pStyle w:val="Bodytext110"/>
        <w:spacing w:line="240" w:lineRule="auto"/>
        <w:ind w:left="621" w:right="4950" w:firstLine="0"/>
      </w:pPr>
      <w:r w:rsidRPr="00ED2AD4">
        <w:rPr>
          <w:rStyle w:val="Bodytext111"/>
          <w:i/>
          <w:iCs/>
        </w:rPr>
        <w:t>House of Representatives on 8 Ma</w:t>
      </w:r>
      <w:r w:rsidR="00A64AD7" w:rsidRPr="00ED2AD4">
        <w:rPr>
          <w:rStyle w:val="Bodytext111"/>
          <w:i/>
          <w:iCs/>
        </w:rPr>
        <w:t xml:space="preserve">y 1996 </w:t>
      </w:r>
      <w:r w:rsidRPr="00ED2AD4">
        <w:rPr>
          <w:rStyle w:val="Bodytext111"/>
          <w:i/>
          <w:iCs/>
        </w:rPr>
        <w:t>Senate on 23 May 1996</w:t>
      </w:r>
      <w:r w:rsidRPr="00ED2AD4">
        <w:rPr>
          <w:rStyle w:val="Bodytext11NotItalic"/>
        </w:rPr>
        <w:t>]</w:t>
      </w:r>
      <w:bookmarkStart w:id="38" w:name="_GoBack"/>
      <w:bookmarkEnd w:id="38"/>
    </w:p>
    <w:sectPr w:rsidR="005D1D9D" w:rsidRPr="00ED2AD4" w:rsidSect="007A25BC">
      <w:headerReference w:type="even" r:id="rId47"/>
      <w:pgSz w:w="12240" w:h="15840" w:code="1"/>
      <w:pgMar w:top="1710" w:right="1440" w:bottom="1440" w:left="1440" w:header="450" w:footer="487"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899FD2" w15:done="0"/>
  <w15:commentEx w15:paraId="33E02728" w15:done="0"/>
  <w15:commentEx w15:paraId="39CBB143" w15:done="0"/>
  <w15:commentEx w15:paraId="74C3625F" w15:done="0"/>
  <w15:commentEx w15:paraId="23847054" w15:done="0"/>
  <w15:commentEx w15:paraId="15C3823F" w15:done="0"/>
  <w15:commentEx w15:paraId="26983BAE" w15:done="0"/>
  <w15:commentEx w15:paraId="6066A037" w15:done="0"/>
  <w15:commentEx w15:paraId="45A17D29" w15:done="0"/>
  <w15:commentEx w15:paraId="1D964858" w15:done="0"/>
  <w15:commentEx w15:paraId="1F0B2848" w15:done="0"/>
  <w15:commentEx w15:paraId="2DCC528B" w15:done="0"/>
  <w15:commentEx w15:paraId="090291AD" w15:done="0"/>
  <w15:commentEx w15:paraId="5E901F26" w15:done="0"/>
  <w15:commentEx w15:paraId="3CCE7671" w15:done="0"/>
  <w15:commentEx w15:paraId="09E4E2EC" w15:done="0"/>
  <w15:commentEx w15:paraId="593CCF44" w15:done="0"/>
  <w15:commentEx w15:paraId="40DCE7B0" w15:done="0"/>
  <w15:commentEx w15:paraId="4DB13EBB" w15:done="0"/>
  <w15:commentEx w15:paraId="7B265C4D" w15:done="0"/>
  <w15:commentEx w15:paraId="693C2DC8" w15:done="0"/>
  <w15:commentEx w15:paraId="514DBE03" w15:done="0"/>
  <w15:commentEx w15:paraId="5520180A" w15:done="0"/>
  <w15:commentEx w15:paraId="0DAB9241" w15:done="0"/>
  <w15:commentEx w15:paraId="71474786" w15:done="0"/>
  <w15:commentEx w15:paraId="0B1E6BE1" w15:done="0"/>
  <w15:commentEx w15:paraId="16DD264E" w15:done="0"/>
  <w15:commentEx w15:paraId="61CC23E7" w15:done="0"/>
  <w15:commentEx w15:paraId="6F25136D" w15:done="0"/>
  <w15:commentEx w15:paraId="6C97ACB9" w15:done="0"/>
  <w15:commentEx w15:paraId="4FCA8EC9" w15:done="0"/>
  <w15:commentEx w15:paraId="0C5AE691" w15:done="0"/>
  <w15:commentEx w15:paraId="3F500ABC" w15:done="0"/>
  <w15:commentEx w15:paraId="4E01C00A" w15:done="0"/>
  <w15:commentEx w15:paraId="388C3BAB" w15:done="0"/>
  <w15:commentEx w15:paraId="3FE414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99FD2" w16cid:durableId="21430AAA"/>
  <w16cid:commentId w16cid:paraId="33E02728" w16cid:durableId="21431097"/>
  <w16cid:commentId w16cid:paraId="39CBB143" w16cid:durableId="214310D3"/>
  <w16cid:commentId w16cid:paraId="74C3625F" w16cid:durableId="214310AD"/>
  <w16cid:commentId w16cid:paraId="23847054" w16cid:durableId="214310EA"/>
  <w16cid:commentId w16cid:paraId="15C3823F" w16cid:durableId="214310EF"/>
  <w16cid:commentId w16cid:paraId="26983BAE" w16cid:durableId="21431106"/>
  <w16cid:commentId w16cid:paraId="6066A037" w16cid:durableId="2143110B"/>
  <w16cid:commentId w16cid:paraId="45A17D29" w16cid:durableId="21431118"/>
  <w16cid:commentId w16cid:paraId="1D964858" w16cid:durableId="2143112B"/>
  <w16cid:commentId w16cid:paraId="1F0B2848" w16cid:durableId="21431131"/>
  <w16cid:commentId w16cid:paraId="2DCC528B" w16cid:durableId="21431142"/>
  <w16cid:commentId w16cid:paraId="090291AD" w16cid:durableId="2143115E"/>
  <w16cid:commentId w16cid:paraId="5E901F26" w16cid:durableId="214311D7"/>
  <w16cid:commentId w16cid:paraId="3CCE7671" w16cid:durableId="214311A7"/>
  <w16cid:commentId w16cid:paraId="09E4E2EC" w16cid:durableId="214312BF"/>
  <w16cid:commentId w16cid:paraId="593CCF44" w16cid:durableId="214312B5"/>
  <w16cid:commentId w16cid:paraId="40DCE7B0" w16cid:durableId="21431277"/>
  <w16cid:commentId w16cid:paraId="4DB13EBB" w16cid:durableId="2143127D"/>
  <w16cid:commentId w16cid:paraId="7B265C4D" w16cid:durableId="21431288"/>
  <w16cid:commentId w16cid:paraId="693C2DC8" w16cid:durableId="21431290"/>
  <w16cid:commentId w16cid:paraId="514DBE03" w16cid:durableId="214312A9"/>
  <w16cid:commentId w16cid:paraId="5520180A" w16cid:durableId="214312E8"/>
  <w16cid:commentId w16cid:paraId="0DAB9241" w16cid:durableId="214312FD"/>
  <w16cid:commentId w16cid:paraId="71474786" w16cid:durableId="21431305"/>
  <w16cid:commentId w16cid:paraId="0B1E6BE1" w16cid:durableId="2143131F"/>
  <w16cid:commentId w16cid:paraId="16DD264E" w16cid:durableId="2143133D"/>
  <w16cid:commentId w16cid:paraId="61CC23E7" w16cid:durableId="2143134A"/>
  <w16cid:commentId w16cid:paraId="6F25136D" w16cid:durableId="21431356"/>
  <w16cid:commentId w16cid:paraId="6C97ACB9" w16cid:durableId="2143136A"/>
  <w16cid:commentId w16cid:paraId="4FCA8EC9" w16cid:durableId="214313A4"/>
  <w16cid:commentId w16cid:paraId="0C5AE691" w16cid:durableId="214313BB"/>
  <w16cid:commentId w16cid:paraId="3F500ABC" w16cid:durableId="214313C4"/>
  <w16cid:commentId w16cid:paraId="4E01C00A" w16cid:durableId="214313D0"/>
  <w16cid:commentId w16cid:paraId="388C3BAB" w16cid:durableId="21431404"/>
  <w16cid:commentId w16cid:paraId="3FE414EF" w16cid:durableId="214314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17603" w14:textId="77777777" w:rsidR="002E1417" w:rsidRDefault="002E1417">
      <w:r>
        <w:separator/>
      </w:r>
    </w:p>
  </w:endnote>
  <w:endnote w:type="continuationSeparator" w:id="0">
    <w:p w14:paraId="31D7D80E" w14:textId="77777777" w:rsidR="002E1417" w:rsidRDefault="002E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F42EB" w14:textId="77777777" w:rsidR="00F21F52" w:rsidRPr="00412419" w:rsidRDefault="00ED2AD4" w:rsidP="00412419">
    <w:pPr>
      <w:pStyle w:val="Footer"/>
      <w:tabs>
        <w:tab w:val="clear" w:pos="4513"/>
        <w:tab w:val="clear" w:pos="9026"/>
        <w:tab w:val="left" w:pos="7920"/>
      </w:tabs>
      <w:ind w:left="450"/>
      <w:rPr>
        <w:rFonts w:ascii="Times New Roman" w:hAnsi="Times New Roman" w:cs="Times New Roman"/>
        <w:sz w:val="22"/>
        <w:szCs w:val="22"/>
      </w:rPr>
    </w:pPr>
    <w:r>
      <w:rPr>
        <w:rFonts w:ascii="Times New Roman" w:hAnsi="Times New Roman" w:cs="Times New Roman"/>
        <w:i/>
        <w:iCs/>
        <w:noProof/>
        <w:color w:val="auto"/>
        <w:sz w:val="22"/>
        <w:szCs w:val="22"/>
        <w:lang w:val="en-IN"/>
      </w:rPr>
      <w:pict w14:anchorId="3E6E3E22">
        <v:shapetype id="_x0000_t32" coordsize="21600,21600" o:spt="32" o:oned="t" path="m,l21600,21600e" filled="f">
          <v:path arrowok="t" fillok="f" o:connecttype="none"/>
          <o:lock v:ext="edit" shapetype="t"/>
        </v:shapetype>
        <v:shape id="_x0000_s2050" type="#_x0000_t32" style="position:absolute;left:0;text-align:left;margin-left:-.1pt;margin-top:-7.25pt;width:468.8pt;height:0;z-index:251659264" o:connectortype="straight"/>
      </w:pict>
    </w:r>
    <w:r w:rsidR="00F21F52" w:rsidRPr="00412419">
      <w:rPr>
        <w:rFonts w:ascii="Times New Roman" w:hAnsi="Times New Roman" w:cs="Times New Roman"/>
        <w:i/>
        <w:iCs/>
        <w:color w:val="auto"/>
        <w:sz w:val="22"/>
        <w:szCs w:val="22"/>
        <w:lang w:val="en-IN"/>
      </w:rPr>
      <w:t>Housing Loans Insurance Corporation (Transfer of Assets and</w:t>
    </w:r>
    <w:r w:rsidR="00F21F52">
      <w:rPr>
        <w:rFonts w:ascii="Times New Roman" w:hAnsi="Times New Roman" w:cs="Times New Roman"/>
        <w:i/>
        <w:iCs/>
        <w:color w:val="auto"/>
        <w:sz w:val="22"/>
        <w:szCs w:val="22"/>
        <w:lang w:val="en-IN"/>
      </w:rPr>
      <w:tab/>
    </w:r>
    <w:r w:rsidR="00F21F52" w:rsidRPr="00412419">
      <w:rPr>
        <w:rFonts w:ascii="Times New Roman" w:hAnsi="Times New Roman" w:cs="Times New Roman"/>
        <w:i/>
        <w:iCs/>
        <w:color w:val="auto"/>
        <w:sz w:val="22"/>
        <w:szCs w:val="22"/>
        <w:lang w:val="en-IN"/>
      </w:rPr>
      <w:t>No. 14, 1996</w:t>
    </w:r>
  </w:p>
  <w:p w14:paraId="4716E7FE" w14:textId="77777777" w:rsidR="00F21F52" w:rsidRPr="00412419" w:rsidRDefault="00F21F52" w:rsidP="00412419">
    <w:pPr>
      <w:widowControl/>
      <w:autoSpaceDE w:val="0"/>
      <w:autoSpaceDN w:val="0"/>
      <w:adjustRightInd w:val="0"/>
      <w:ind w:left="450"/>
      <w:rPr>
        <w:rFonts w:ascii="Times New Roman" w:hAnsi="Times New Roman" w:cs="Times New Roman"/>
        <w:i/>
        <w:iCs/>
        <w:color w:val="auto"/>
        <w:sz w:val="22"/>
        <w:szCs w:val="22"/>
        <w:lang w:val="en-IN"/>
      </w:rPr>
    </w:pPr>
    <w:r w:rsidRPr="00412419">
      <w:rPr>
        <w:rFonts w:ascii="Times New Roman" w:hAnsi="Times New Roman" w:cs="Times New Roman"/>
        <w:i/>
        <w:iCs/>
        <w:color w:val="auto"/>
        <w:sz w:val="22"/>
        <w:szCs w:val="22"/>
        <w:lang w:val="en-IN"/>
      </w:rPr>
      <w:t>Abolition) Act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6CFAA" w14:textId="77777777" w:rsidR="00F21F52" w:rsidRPr="00412419" w:rsidRDefault="00ED2AD4" w:rsidP="00412419">
    <w:pPr>
      <w:widowControl/>
      <w:tabs>
        <w:tab w:val="left" w:pos="2160"/>
      </w:tabs>
      <w:autoSpaceDE w:val="0"/>
      <w:autoSpaceDN w:val="0"/>
      <w:adjustRightInd w:val="0"/>
      <w:rPr>
        <w:rFonts w:ascii="Times New Roman" w:hAnsi="Times New Roman" w:cs="Times New Roman"/>
        <w:i/>
        <w:iCs/>
        <w:color w:val="auto"/>
        <w:sz w:val="22"/>
        <w:szCs w:val="22"/>
        <w:lang w:val="en-IN"/>
      </w:rPr>
    </w:pPr>
    <w:r>
      <w:rPr>
        <w:rFonts w:ascii="Times New Roman" w:hAnsi="Times New Roman" w:cs="Times New Roman"/>
        <w:i/>
        <w:iCs/>
        <w:noProof/>
        <w:color w:val="auto"/>
        <w:sz w:val="22"/>
        <w:szCs w:val="22"/>
        <w:lang w:val="en-IN"/>
      </w:rPr>
      <w:pict w14:anchorId="26526DED">
        <v:shapetype id="_x0000_t32" coordsize="21600,21600" o:spt="32" o:oned="t" path="m,l21600,21600e" filled="f">
          <v:path arrowok="t" fillok="f" o:connecttype="none"/>
          <o:lock v:ext="edit" shapetype="t"/>
        </v:shapetype>
        <v:shape id="_x0000_s2049" type="#_x0000_t32" style="position:absolute;margin-left:-7.5pt;margin-top:-9.15pt;width:467.35pt;height:0;z-index:251658240" o:connectortype="straight"/>
      </w:pict>
    </w:r>
    <w:r w:rsidR="00F21F52" w:rsidRPr="00412419">
      <w:rPr>
        <w:rFonts w:ascii="Times New Roman" w:hAnsi="Times New Roman" w:cs="Times New Roman"/>
        <w:i/>
        <w:iCs/>
        <w:color w:val="auto"/>
        <w:sz w:val="22"/>
        <w:szCs w:val="22"/>
        <w:lang w:val="en-IN"/>
      </w:rPr>
      <w:t>No. 14, 1996</w:t>
    </w:r>
    <w:r w:rsidR="00F21F52">
      <w:rPr>
        <w:rFonts w:ascii="Times New Roman" w:hAnsi="Times New Roman" w:cs="Times New Roman"/>
        <w:i/>
        <w:iCs/>
        <w:color w:val="auto"/>
        <w:sz w:val="22"/>
        <w:szCs w:val="22"/>
        <w:lang w:val="en-IN"/>
      </w:rPr>
      <w:tab/>
    </w:r>
    <w:r w:rsidR="00F21F52" w:rsidRPr="00412419">
      <w:rPr>
        <w:rFonts w:ascii="Times New Roman" w:hAnsi="Times New Roman" w:cs="Times New Roman"/>
        <w:i/>
        <w:iCs/>
        <w:color w:val="auto"/>
        <w:sz w:val="22"/>
        <w:szCs w:val="22"/>
        <w:lang w:val="en-IN"/>
      </w:rPr>
      <w:t>Housing Loans Insurance Corporation (Transfer of Assets and</w:t>
    </w:r>
  </w:p>
  <w:p w14:paraId="71C9645A" w14:textId="77777777" w:rsidR="00F21F52" w:rsidRPr="00412419" w:rsidRDefault="00F21F52" w:rsidP="00412419">
    <w:pPr>
      <w:pStyle w:val="Footer"/>
      <w:tabs>
        <w:tab w:val="clear" w:pos="4513"/>
      </w:tabs>
      <w:ind w:left="2160"/>
      <w:rPr>
        <w:rFonts w:ascii="Times New Roman" w:hAnsi="Times New Roman" w:cs="Times New Roman"/>
        <w:sz w:val="22"/>
        <w:szCs w:val="22"/>
      </w:rPr>
    </w:pPr>
    <w:r w:rsidRPr="00412419">
      <w:rPr>
        <w:rFonts w:ascii="Times New Roman" w:hAnsi="Times New Roman" w:cs="Times New Roman"/>
        <w:i/>
        <w:iCs/>
        <w:color w:val="auto"/>
        <w:sz w:val="22"/>
        <w:szCs w:val="22"/>
        <w:lang w:val="en-IN"/>
      </w:rPr>
      <w:t xml:space="preserve">Abolition) </w:t>
    </w:r>
    <w:r w:rsidRPr="00412419">
      <w:rPr>
        <w:rFonts w:ascii="Times New Roman" w:hAnsi="Times New Roman" w:cs="Times New Roman"/>
        <w:bCs/>
        <w:i/>
        <w:iCs/>
        <w:color w:val="auto"/>
        <w:sz w:val="22"/>
        <w:szCs w:val="22"/>
        <w:lang w:val="en-IN"/>
      </w:rPr>
      <w:t>Act 1996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B2DF" w14:textId="77777777" w:rsidR="00F21F52" w:rsidRPr="00803446" w:rsidRDefault="00F21F52" w:rsidP="008660AA">
    <w:pPr>
      <w:widowControl/>
      <w:pBdr>
        <w:top w:val="single" w:sz="4" w:space="1" w:color="auto"/>
      </w:pBdr>
      <w:autoSpaceDE w:val="0"/>
      <w:autoSpaceDN w:val="0"/>
      <w:adjustRightInd w:val="0"/>
      <w:rPr>
        <w:sz w:val="22"/>
        <w:szCs w:val="22"/>
      </w:rPr>
    </w:pPr>
    <w:r w:rsidRPr="00803446">
      <w:rPr>
        <w:rFonts w:ascii="Times New Roman" w:hAnsi="Times New Roman" w:cs="Times New Roman"/>
        <w:i/>
        <w:iCs/>
        <w:color w:val="auto"/>
        <w:sz w:val="22"/>
        <w:szCs w:val="22"/>
        <w:lang w:val="en-IN"/>
      </w:rPr>
      <w:t>No. 14, 1996 Housing Loans Insurance Corporation (Transfer of Assets and</w:t>
    </w:r>
    <w:r>
      <w:rPr>
        <w:rFonts w:ascii="Times New Roman" w:hAnsi="Times New Roman" w:cs="Times New Roman"/>
        <w:i/>
        <w:iCs/>
        <w:color w:val="auto"/>
        <w:sz w:val="22"/>
        <w:szCs w:val="22"/>
        <w:lang w:val="en-IN"/>
      </w:rPr>
      <w:t xml:space="preserve"> </w:t>
    </w:r>
    <w:r w:rsidRPr="00803446">
      <w:rPr>
        <w:rFonts w:ascii="Times New Roman" w:hAnsi="Times New Roman" w:cs="Times New Roman"/>
        <w:i/>
        <w:iCs/>
        <w:color w:val="auto"/>
        <w:sz w:val="22"/>
        <w:szCs w:val="22"/>
        <w:lang w:val="en-IN"/>
      </w:rPr>
      <w:t>Abolition) Act 1996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3B8D2" w14:textId="77777777" w:rsidR="00F21F52" w:rsidRPr="00D1773D" w:rsidRDefault="00F21F52" w:rsidP="00D177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B2B29" w14:textId="77777777" w:rsidR="00F21F52" w:rsidRPr="00412419" w:rsidRDefault="00ED2AD4" w:rsidP="00412419">
    <w:pPr>
      <w:widowControl/>
      <w:tabs>
        <w:tab w:val="left" w:pos="2160"/>
      </w:tabs>
      <w:autoSpaceDE w:val="0"/>
      <w:autoSpaceDN w:val="0"/>
      <w:adjustRightInd w:val="0"/>
      <w:rPr>
        <w:rFonts w:ascii="Times New Roman" w:hAnsi="Times New Roman" w:cs="Times New Roman"/>
        <w:i/>
        <w:iCs/>
        <w:color w:val="auto"/>
        <w:sz w:val="22"/>
        <w:szCs w:val="22"/>
        <w:lang w:val="en-IN"/>
      </w:rPr>
    </w:pPr>
    <w:r>
      <w:rPr>
        <w:rFonts w:ascii="Times New Roman" w:hAnsi="Times New Roman" w:cs="Times New Roman"/>
        <w:i/>
        <w:iCs/>
        <w:noProof/>
        <w:color w:val="auto"/>
        <w:sz w:val="22"/>
        <w:szCs w:val="22"/>
        <w:lang w:val="en-IN"/>
      </w:rPr>
      <w:pict w14:anchorId="434FF331">
        <v:shapetype id="_x0000_t32" coordsize="21600,21600" o:spt="32" o:oned="t" path="m,l21600,21600e" filled="f">
          <v:path arrowok="t" fillok="f" o:connecttype="none"/>
          <o:lock v:ext="edit" shapetype="t"/>
        </v:shapetype>
        <v:shape id="_x0000_s2074" type="#_x0000_t32" style="position:absolute;margin-left:-7.5pt;margin-top:-9.15pt;width:467.35pt;height:0;z-index:251706368" o:connectortype="straight"/>
      </w:pict>
    </w:r>
    <w:r w:rsidR="00F21F52" w:rsidRPr="00412419">
      <w:rPr>
        <w:rFonts w:ascii="Times New Roman" w:hAnsi="Times New Roman" w:cs="Times New Roman"/>
        <w:i/>
        <w:iCs/>
        <w:color w:val="auto"/>
        <w:sz w:val="22"/>
        <w:szCs w:val="22"/>
        <w:lang w:val="en-IN"/>
      </w:rPr>
      <w:t>No. 14, 1996</w:t>
    </w:r>
    <w:r w:rsidR="00F21F52">
      <w:rPr>
        <w:rFonts w:ascii="Times New Roman" w:hAnsi="Times New Roman" w:cs="Times New Roman"/>
        <w:i/>
        <w:iCs/>
        <w:color w:val="auto"/>
        <w:sz w:val="22"/>
        <w:szCs w:val="22"/>
        <w:lang w:val="en-IN"/>
      </w:rPr>
      <w:tab/>
    </w:r>
    <w:r w:rsidR="00F21F52" w:rsidRPr="00412419">
      <w:rPr>
        <w:rFonts w:ascii="Times New Roman" w:hAnsi="Times New Roman" w:cs="Times New Roman"/>
        <w:i/>
        <w:iCs/>
        <w:color w:val="auto"/>
        <w:sz w:val="22"/>
        <w:szCs w:val="22"/>
        <w:lang w:val="en-IN"/>
      </w:rPr>
      <w:t>Housing Loans Insurance Corporation (Transfer of Assets and</w:t>
    </w:r>
  </w:p>
  <w:p w14:paraId="68F3915E" w14:textId="77777777" w:rsidR="00F21F52" w:rsidRPr="00412419" w:rsidRDefault="00F21F52" w:rsidP="00412419">
    <w:pPr>
      <w:pStyle w:val="Footer"/>
      <w:tabs>
        <w:tab w:val="clear" w:pos="4513"/>
      </w:tabs>
      <w:ind w:left="2160"/>
      <w:rPr>
        <w:rFonts w:ascii="Times New Roman" w:hAnsi="Times New Roman" w:cs="Times New Roman"/>
        <w:sz w:val="22"/>
        <w:szCs w:val="22"/>
      </w:rPr>
    </w:pPr>
    <w:r w:rsidRPr="00412419">
      <w:rPr>
        <w:rFonts w:ascii="Times New Roman" w:hAnsi="Times New Roman" w:cs="Times New Roman"/>
        <w:i/>
        <w:iCs/>
        <w:color w:val="auto"/>
        <w:sz w:val="22"/>
        <w:szCs w:val="22"/>
        <w:lang w:val="en-IN"/>
      </w:rPr>
      <w:t xml:space="preserve">Abolition) </w:t>
    </w:r>
    <w:r w:rsidRPr="00412419">
      <w:rPr>
        <w:rFonts w:ascii="Times New Roman" w:hAnsi="Times New Roman" w:cs="Times New Roman"/>
        <w:bCs/>
        <w:i/>
        <w:iCs/>
        <w:color w:val="auto"/>
        <w:sz w:val="22"/>
        <w:szCs w:val="22"/>
        <w:lang w:val="en-IN"/>
      </w:rPr>
      <w:t>Act 1996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12EE" w14:textId="77777777" w:rsidR="00F21F52" w:rsidRPr="00412419" w:rsidRDefault="00ED2AD4" w:rsidP="00412419">
    <w:pPr>
      <w:pStyle w:val="Footer"/>
      <w:tabs>
        <w:tab w:val="clear" w:pos="4513"/>
        <w:tab w:val="clear" w:pos="9026"/>
        <w:tab w:val="left" w:pos="7920"/>
      </w:tabs>
      <w:ind w:left="450"/>
      <w:rPr>
        <w:rFonts w:ascii="Times New Roman" w:hAnsi="Times New Roman" w:cs="Times New Roman"/>
        <w:sz w:val="22"/>
        <w:szCs w:val="22"/>
      </w:rPr>
    </w:pPr>
    <w:r>
      <w:rPr>
        <w:rFonts w:ascii="Times New Roman" w:hAnsi="Times New Roman" w:cs="Times New Roman"/>
        <w:i/>
        <w:iCs/>
        <w:noProof/>
        <w:color w:val="auto"/>
        <w:sz w:val="22"/>
        <w:szCs w:val="22"/>
        <w:lang w:val="en-IN"/>
      </w:rPr>
      <w:pict w14:anchorId="4290E439">
        <v:shapetype id="_x0000_t32" coordsize="21600,21600" o:spt="32" o:oned="t" path="m,l21600,21600e" filled="f">
          <v:path arrowok="t" fillok="f" o:connecttype="none"/>
          <o:lock v:ext="edit" shapetype="t"/>
        </v:shapetype>
        <v:shape id="_x0000_s2075" type="#_x0000_t32" style="position:absolute;left:0;text-align:left;margin-left:-.1pt;margin-top:-7.25pt;width:468.8pt;height:0;z-index:251708416" o:connectortype="straight"/>
      </w:pict>
    </w:r>
    <w:r w:rsidR="00F21F52" w:rsidRPr="00412419">
      <w:rPr>
        <w:rFonts w:ascii="Times New Roman" w:hAnsi="Times New Roman" w:cs="Times New Roman"/>
        <w:i/>
        <w:iCs/>
        <w:color w:val="auto"/>
        <w:sz w:val="22"/>
        <w:szCs w:val="22"/>
        <w:lang w:val="en-IN"/>
      </w:rPr>
      <w:t>Housing Loans Insurance Corporation (Transfer of Assets and</w:t>
    </w:r>
    <w:r w:rsidR="00F21F52">
      <w:rPr>
        <w:rFonts w:ascii="Times New Roman" w:hAnsi="Times New Roman" w:cs="Times New Roman"/>
        <w:i/>
        <w:iCs/>
        <w:color w:val="auto"/>
        <w:sz w:val="22"/>
        <w:szCs w:val="22"/>
        <w:lang w:val="en-IN"/>
      </w:rPr>
      <w:tab/>
    </w:r>
    <w:r w:rsidR="00F21F52" w:rsidRPr="00412419">
      <w:rPr>
        <w:rFonts w:ascii="Times New Roman" w:hAnsi="Times New Roman" w:cs="Times New Roman"/>
        <w:i/>
        <w:iCs/>
        <w:color w:val="auto"/>
        <w:sz w:val="22"/>
        <w:szCs w:val="22"/>
        <w:lang w:val="en-IN"/>
      </w:rPr>
      <w:t>No. 14, 1996</w:t>
    </w:r>
  </w:p>
  <w:p w14:paraId="3F732A2C" w14:textId="77777777" w:rsidR="00F21F52" w:rsidRPr="00412419" w:rsidRDefault="00F21F52" w:rsidP="00412419">
    <w:pPr>
      <w:widowControl/>
      <w:autoSpaceDE w:val="0"/>
      <w:autoSpaceDN w:val="0"/>
      <w:adjustRightInd w:val="0"/>
      <w:ind w:left="450"/>
      <w:rPr>
        <w:rFonts w:ascii="Times New Roman" w:hAnsi="Times New Roman" w:cs="Times New Roman"/>
        <w:i/>
        <w:iCs/>
        <w:color w:val="auto"/>
        <w:sz w:val="22"/>
        <w:szCs w:val="22"/>
        <w:lang w:val="en-IN"/>
      </w:rPr>
    </w:pPr>
    <w:r w:rsidRPr="00412419">
      <w:rPr>
        <w:rFonts w:ascii="Times New Roman" w:hAnsi="Times New Roman" w:cs="Times New Roman"/>
        <w:i/>
        <w:iCs/>
        <w:color w:val="auto"/>
        <w:sz w:val="22"/>
        <w:szCs w:val="22"/>
        <w:lang w:val="en-IN"/>
      </w:rPr>
      <w:t>Abolition) Act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E1555" w14:textId="77777777" w:rsidR="002E1417" w:rsidRDefault="002E1417"/>
  </w:footnote>
  <w:footnote w:type="continuationSeparator" w:id="0">
    <w:p w14:paraId="6EAE32F8" w14:textId="77777777" w:rsidR="002E1417" w:rsidRDefault="002E14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39700" w14:textId="77777777" w:rsidR="00F21F52" w:rsidRPr="00412419" w:rsidRDefault="00F21F52" w:rsidP="00D1773D">
    <w:pPr>
      <w:widowControl/>
      <w:autoSpaceDE w:val="0"/>
      <w:autoSpaceDN w:val="0"/>
      <w:adjustRightInd w:val="0"/>
      <w:rPr>
        <w:rFonts w:ascii="Times New Roman" w:hAnsi="Times New Roman" w:cs="Times New Roman"/>
        <w:color w:val="auto"/>
        <w:sz w:val="22"/>
        <w:szCs w:val="22"/>
        <w:lang w:val="en-IN"/>
      </w:rPr>
    </w:pPr>
    <w:r w:rsidRPr="00412419">
      <w:rPr>
        <w:rFonts w:ascii="Times New Roman" w:hAnsi="Times New Roman" w:cs="Times New Roman"/>
        <w:b/>
        <w:color w:val="auto"/>
        <w:sz w:val="22"/>
        <w:szCs w:val="22"/>
        <w:lang w:val="en-IN"/>
      </w:rPr>
      <w:t>Part 1</w:t>
    </w:r>
    <w:r w:rsidRPr="00412419">
      <w:rPr>
        <w:rFonts w:ascii="Times New Roman" w:hAnsi="Times New Roman" w:cs="Times New Roman"/>
        <w:b/>
        <w:bCs/>
        <w:color w:val="auto"/>
        <w:sz w:val="22"/>
        <w:szCs w:val="22"/>
        <w:lang w:val="en-IN"/>
      </w:rPr>
      <w:t xml:space="preserve"> </w:t>
    </w:r>
    <w:r w:rsidRPr="00412419">
      <w:rPr>
        <w:rFonts w:ascii="Times New Roman" w:hAnsi="Times New Roman" w:cs="Times New Roman"/>
        <w:color w:val="auto"/>
        <w:sz w:val="22"/>
        <w:szCs w:val="22"/>
        <w:lang w:val="en-IN"/>
      </w:rPr>
      <w:t>Preliminary</w:t>
    </w:r>
  </w:p>
  <w:p w14:paraId="2DE4CD91" w14:textId="77777777" w:rsidR="00F21F52" w:rsidRPr="00412419" w:rsidRDefault="00ED2AD4" w:rsidP="00D1773D">
    <w:pPr>
      <w:pStyle w:val="Header"/>
      <w:tabs>
        <w:tab w:val="clear" w:pos="4513"/>
        <w:tab w:val="clear" w:pos="9026"/>
      </w:tabs>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0E1E60A4">
        <v:shapetype id="_x0000_t32" coordsize="21600,21600" o:spt="32" o:oned="t" path="m,l21600,21600e" filled="f">
          <v:path arrowok="t" fillok="f" o:connecttype="none"/>
          <o:lock v:ext="edit" shapetype="t"/>
        </v:shapetype>
        <v:shape id="_x0000_s2076" type="#_x0000_t32" style="position:absolute;margin-left:.6pt;margin-top:29.3pt;width:465.35pt;height:0;z-index:251710464" o:connectortype="straight"/>
      </w:pict>
    </w:r>
    <w:r w:rsidR="00F21F52" w:rsidRPr="00412419">
      <w:rPr>
        <w:rFonts w:ascii="Times New Roman" w:hAnsi="Times New Roman" w:cs="Times New Roman"/>
        <w:color w:val="auto"/>
        <w:sz w:val="22"/>
        <w:szCs w:val="22"/>
        <w:lang w:val="en-IN"/>
      </w:rPr>
      <w:t>Section 2</w:t>
    </w:r>
  </w:p>
  <w:p w14:paraId="3DAF031A" w14:textId="77777777" w:rsidR="00F21F52" w:rsidRDefault="00F21F5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15F88" w14:textId="77777777" w:rsidR="00F21F52" w:rsidRPr="00412419" w:rsidRDefault="00F21F52" w:rsidP="00D1773D">
    <w:pPr>
      <w:widowControl/>
      <w:autoSpaceDE w:val="0"/>
      <w:autoSpaceDN w:val="0"/>
      <w:adjustRightInd w:val="0"/>
      <w:rPr>
        <w:rFonts w:ascii="Times New Roman" w:hAnsi="Times New Roman" w:cs="Times New Roman"/>
        <w:color w:val="auto"/>
        <w:sz w:val="22"/>
        <w:szCs w:val="22"/>
        <w:lang w:val="en-IN"/>
      </w:rPr>
    </w:pPr>
    <w:r w:rsidRPr="00412419">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2</w:t>
    </w:r>
    <w:r w:rsidRPr="00412419">
      <w:rPr>
        <w:rFonts w:ascii="Times New Roman" w:hAnsi="Times New Roman" w:cs="Times New Roman"/>
        <w:b/>
        <w:bCs/>
        <w:color w:val="auto"/>
        <w:sz w:val="22"/>
        <w:szCs w:val="22"/>
        <w:lang w:val="en-IN"/>
      </w:rPr>
      <w:t xml:space="preserve"> </w:t>
    </w:r>
    <w:r w:rsidRPr="00412419">
      <w:rPr>
        <w:rFonts w:ascii="Times New Roman" w:hAnsi="Times New Roman" w:cs="Times New Roman"/>
        <w:color w:val="auto"/>
        <w:sz w:val="22"/>
        <w:szCs w:val="22"/>
        <w:lang w:val="en-IN"/>
      </w:rPr>
      <w:t>Preliminary</w:t>
    </w:r>
  </w:p>
  <w:p w14:paraId="153AA06D" w14:textId="77777777" w:rsidR="00F21F52" w:rsidRPr="00D1773D" w:rsidRDefault="00ED2AD4" w:rsidP="00D1773D">
    <w:pPr>
      <w:pStyle w:val="Header"/>
      <w:tabs>
        <w:tab w:val="clear" w:pos="4513"/>
        <w:tab w:val="clear" w:pos="9026"/>
      </w:tabs>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4B90480E">
        <v:shapetype id="_x0000_t32" coordsize="21600,21600" o:spt="32" o:oned="t" path="m,l21600,21600e" filled="f">
          <v:path arrowok="t" fillok="f" o:connecttype="none"/>
          <o:lock v:ext="edit" shapetype="t"/>
        </v:shapetype>
        <v:shape id="_x0000_s2078" type="#_x0000_t32" style="position:absolute;margin-left:-.8pt;margin-top:26pt;width:465.35pt;height:0;z-index:251714560" o:connectortype="straight"/>
      </w:pict>
    </w:r>
    <w:r w:rsidR="00F21F52" w:rsidRPr="00412419">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CEDB" w14:textId="77777777" w:rsidR="00F21F52" w:rsidRPr="00C41E6B" w:rsidRDefault="00F21F52" w:rsidP="00D1773D">
    <w:pPr>
      <w:pStyle w:val="Header"/>
      <w:jc w:val="right"/>
      <w:rPr>
        <w:rFonts w:ascii="Times New Roman" w:hAnsi="Times New Roman" w:cs="Times New Roman"/>
        <w:b/>
        <w:bCs/>
        <w:color w:val="auto"/>
        <w:sz w:val="22"/>
        <w:szCs w:val="22"/>
        <w:lang w:val="en-IN"/>
      </w:rPr>
    </w:pPr>
    <w:r w:rsidRPr="00C41E6B">
      <w:rPr>
        <w:rFonts w:ascii="Times New Roman" w:hAnsi="Times New Roman" w:cs="Times New Roman"/>
        <w:color w:val="auto"/>
        <w:sz w:val="22"/>
        <w:szCs w:val="22"/>
        <w:lang w:val="en-IN"/>
      </w:rPr>
      <w:t xml:space="preserve">Preliminary </w:t>
    </w:r>
    <w:r w:rsidRPr="00C41E6B">
      <w:rPr>
        <w:rFonts w:ascii="Times New Roman" w:hAnsi="Times New Roman" w:cs="Times New Roman"/>
        <w:b/>
        <w:color w:val="auto"/>
        <w:sz w:val="22"/>
        <w:szCs w:val="22"/>
        <w:lang w:val="en-IN"/>
      </w:rPr>
      <w:t xml:space="preserve">Part </w:t>
    </w:r>
    <w:r w:rsidRPr="00C41E6B">
      <w:rPr>
        <w:rFonts w:ascii="Times New Roman" w:hAnsi="Times New Roman" w:cs="Times New Roman"/>
        <w:b/>
        <w:bCs/>
        <w:color w:val="auto"/>
        <w:sz w:val="22"/>
        <w:szCs w:val="22"/>
        <w:lang w:val="en-IN"/>
      </w:rPr>
      <w:t>1</w:t>
    </w:r>
  </w:p>
  <w:p w14:paraId="463C7A21" w14:textId="77777777" w:rsidR="00F21F52" w:rsidRPr="00C41E6B" w:rsidRDefault="00ED2AD4" w:rsidP="00D1773D">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792929C2">
        <v:shapetype id="_x0000_t32" coordsize="21600,21600" o:spt="32" o:oned="t" path="m,l21600,21600e" filled="f">
          <v:path arrowok="t" fillok="f" o:connecttype="none"/>
          <o:lock v:ext="edit" shapetype="t"/>
        </v:shapetype>
        <v:shape id="_x0000_s2104" type="#_x0000_t32" style="position:absolute;left:0;text-align:left;margin-left:-.1pt;margin-top:26.35pt;width:472.2pt;height:.05pt;z-index:251759616" o:connectortype="straight"/>
      </w:pict>
    </w:r>
    <w:r w:rsidR="00F21F52" w:rsidRPr="00C41E6B">
      <w:rPr>
        <w:rFonts w:ascii="Times New Roman" w:hAnsi="Times New Roman" w:cs="Times New Roman"/>
        <w:color w:val="auto"/>
        <w:sz w:val="22"/>
        <w:szCs w:val="22"/>
        <w:lang w:val="en-IN"/>
      </w:rPr>
      <w:t>Section 4</w:t>
    </w:r>
  </w:p>
  <w:p w14:paraId="19262446" w14:textId="77777777" w:rsidR="00F21F52" w:rsidRPr="00D1773D" w:rsidRDefault="00F21F52" w:rsidP="00D1773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B0EED" w14:textId="77777777" w:rsidR="00F21F52" w:rsidRPr="00C41E6B" w:rsidRDefault="00F21F52" w:rsidP="00D1773D">
    <w:pPr>
      <w:pStyle w:val="Header"/>
      <w:jc w:val="right"/>
      <w:rPr>
        <w:rFonts w:ascii="Times New Roman" w:hAnsi="Times New Roman" w:cs="Times New Roman"/>
        <w:b/>
        <w:bCs/>
        <w:color w:val="auto"/>
        <w:sz w:val="22"/>
        <w:szCs w:val="22"/>
        <w:lang w:val="en-IN"/>
      </w:rPr>
    </w:pPr>
    <w:r w:rsidRPr="00C41E6B">
      <w:rPr>
        <w:rFonts w:ascii="Times New Roman" w:hAnsi="Times New Roman" w:cs="Times New Roman"/>
        <w:color w:val="auto"/>
        <w:sz w:val="22"/>
        <w:szCs w:val="22"/>
        <w:lang w:val="en-IN"/>
      </w:rPr>
      <w:t xml:space="preserve">Preliminary </w:t>
    </w:r>
    <w:r w:rsidRPr="00C41E6B">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2</w:t>
    </w:r>
  </w:p>
  <w:p w14:paraId="3C98622E" w14:textId="77777777" w:rsidR="00F21F52" w:rsidRPr="00C41E6B" w:rsidRDefault="00ED2AD4" w:rsidP="00D1773D">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3B33EE2A">
        <v:shapetype id="_x0000_t32" coordsize="21600,21600" o:spt="32" o:oned="t" path="m,l21600,21600e" filled="f">
          <v:path arrowok="t" fillok="f" o:connecttype="none"/>
          <o:lock v:ext="edit" shapetype="t"/>
        </v:shapetype>
        <v:shape id="_x0000_s2079" type="#_x0000_t32" style="position:absolute;left:0;text-align:left;margin-left:-.1pt;margin-top:26.35pt;width:472.2pt;height:.05pt;z-index:251716608" o:connectortype="straight"/>
      </w:pict>
    </w:r>
    <w:r w:rsidR="00F21F52" w:rsidRPr="00C41E6B">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8</w:t>
    </w:r>
  </w:p>
  <w:p w14:paraId="3CFB4E83" w14:textId="77777777" w:rsidR="00F21F52" w:rsidRPr="00D1773D" w:rsidRDefault="00F21F52" w:rsidP="00D1773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BF3B" w14:textId="77777777" w:rsidR="00F21F52" w:rsidRPr="00412419" w:rsidRDefault="00F21F52" w:rsidP="00D1773D">
    <w:pPr>
      <w:widowControl/>
      <w:autoSpaceDE w:val="0"/>
      <w:autoSpaceDN w:val="0"/>
      <w:adjustRightInd w:val="0"/>
      <w:rPr>
        <w:rFonts w:ascii="Times New Roman" w:hAnsi="Times New Roman" w:cs="Times New Roman"/>
        <w:color w:val="auto"/>
        <w:sz w:val="22"/>
        <w:szCs w:val="22"/>
        <w:lang w:val="en-IN"/>
      </w:rPr>
    </w:pPr>
    <w:r w:rsidRPr="00412419">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3</w:t>
    </w:r>
    <w:r w:rsidRPr="00412419">
      <w:rPr>
        <w:rFonts w:ascii="Times New Roman" w:hAnsi="Times New Roman" w:cs="Times New Roman"/>
        <w:b/>
        <w:bCs/>
        <w:color w:val="auto"/>
        <w:sz w:val="22"/>
        <w:szCs w:val="22"/>
        <w:lang w:val="en-IN"/>
      </w:rPr>
      <w:t xml:space="preserve"> </w:t>
    </w:r>
    <w:r w:rsidRPr="00412419">
      <w:rPr>
        <w:rFonts w:ascii="Times New Roman" w:hAnsi="Times New Roman" w:cs="Times New Roman"/>
        <w:color w:val="auto"/>
        <w:sz w:val="22"/>
        <w:szCs w:val="22"/>
        <w:lang w:val="en-IN"/>
      </w:rPr>
      <w:t>Preliminary</w:t>
    </w:r>
  </w:p>
  <w:p w14:paraId="4289232F" w14:textId="77777777" w:rsidR="00F21F52" w:rsidRPr="00C41E6B" w:rsidRDefault="00ED2AD4" w:rsidP="00D1773D">
    <w:pPr>
      <w:pStyle w:val="Header"/>
      <w:tabs>
        <w:tab w:val="clear" w:pos="4513"/>
        <w:tab w:val="clear" w:pos="9026"/>
      </w:tabs>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5244904E">
        <v:shapetype id="_x0000_t32" coordsize="21600,21600" o:spt="32" o:oned="t" path="m,l21600,21600e" filled="f">
          <v:path arrowok="t" fillok="f" o:connecttype="none"/>
          <o:lock v:ext="edit" shapetype="t"/>
        </v:shapetype>
        <v:shape id="_x0000_s2080" type="#_x0000_t32" style="position:absolute;margin-left:-.8pt;margin-top:26pt;width:465.35pt;height:0;z-index:251718656" o:connectortype="straight"/>
      </w:pict>
    </w:r>
    <w:r w:rsidR="00F21F52" w:rsidRPr="00412419">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7613" w14:textId="77777777" w:rsidR="00F21F52" w:rsidRPr="00C41E6B" w:rsidRDefault="00F21F52" w:rsidP="00D1773D">
    <w:pPr>
      <w:pStyle w:val="Header"/>
      <w:jc w:val="right"/>
      <w:rPr>
        <w:rFonts w:ascii="Times New Roman" w:hAnsi="Times New Roman" w:cs="Times New Roman"/>
        <w:b/>
        <w:bCs/>
        <w:color w:val="auto"/>
        <w:sz w:val="22"/>
        <w:szCs w:val="22"/>
        <w:lang w:val="en-IN"/>
      </w:rPr>
    </w:pPr>
    <w:r w:rsidRPr="00C41E6B">
      <w:rPr>
        <w:rFonts w:ascii="Times New Roman" w:hAnsi="Times New Roman" w:cs="Times New Roman"/>
        <w:color w:val="auto"/>
        <w:sz w:val="22"/>
        <w:szCs w:val="22"/>
        <w:lang w:val="en-IN"/>
      </w:rPr>
      <w:t xml:space="preserve">Management of pre-transfer contracts </w:t>
    </w:r>
    <w:r w:rsidRPr="00C41E6B">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3</w:t>
    </w:r>
  </w:p>
  <w:p w14:paraId="48B5A951" w14:textId="77777777" w:rsidR="00F21F52" w:rsidRPr="00D1773D" w:rsidRDefault="00ED2AD4" w:rsidP="00D1773D">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2B60F261">
        <v:shapetype id="_x0000_t32" coordsize="21600,21600" o:spt="32" o:oned="t" path="m,l21600,21600e" filled="f">
          <v:path arrowok="t" fillok="f" o:connecttype="none"/>
          <o:lock v:ext="edit" shapetype="t"/>
        </v:shapetype>
        <v:shape id="_x0000_s2081" type="#_x0000_t32" style="position:absolute;left:0;text-align:left;margin-left:-.1pt;margin-top:26.35pt;width:472.2pt;height:.05pt;z-index:251720704" o:connectortype="straight"/>
      </w:pict>
    </w:r>
    <w:r w:rsidR="00F21F52" w:rsidRPr="00C41E6B">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13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C040F" w14:textId="77777777" w:rsidR="00F21F52" w:rsidRPr="00C41E6B" w:rsidRDefault="00F21F52" w:rsidP="00D1773D">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4</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and rights of employees</w:t>
    </w:r>
  </w:p>
  <w:p w14:paraId="7774ABDB" w14:textId="77777777" w:rsidR="00F21F52" w:rsidRPr="00C41E6B" w:rsidRDefault="00F21F52" w:rsidP="00D1773D">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Division</w:t>
    </w:r>
    <w:r w:rsidRPr="00C41E6B">
      <w:rPr>
        <w:rFonts w:ascii="Times New Roman" w:hAnsi="Times New Roman" w:cs="Times New Roman"/>
        <w:color w:val="auto"/>
        <w:sz w:val="22"/>
        <w:szCs w:val="22"/>
        <w:lang w:val="en-IN"/>
      </w:rPr>
      <w:t xml:space="preserve"> </w:t>
    </w:r>
    <w:r w:rsidRPr="00C41E6B">
      <w:rPr>
        <w:rFonts w:ascii="Times New Roman" w:hAnsi="Times New Roman" w:cs="Times New Roman"/>
        <w:b/>
        <w:bCs/>
        <w:color w:val="auto"/>
        <w:sz w:val="22"/>
        <w:szCs w:val="22"/>
        <w:lang w:val="en-IN"/>
      </w:rPr>
      <w:t xml:space="preserve">1 </w:t>
    </w:r>
    <w:r w:rsidRPr="00C41E6B">
      <w:rPr>
        <w:rFonts w:ascii="Times New Roman" w:hAnsi="Times New Roman" w:cs="Times New Roman"/>
        <w:color w:val="auto"/>
        <w:sz w:val="22"/>
        <w:szCs w:val="22"/>
        <w:lang w:val="en-IN"/>
      </w:rPr>
      <w:t>Transfer of employees from Corporation to Company</w:t>
    </w:r>
  </w:p>
  <w:p w14:paraId="51F1ECDD" w14:textId="77777777" w:rsidR="00F21F52" w:rsidRPr="00D1773D" w:rsidRDefault="00ED2AD4" w:rsidP="00D1773D">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413F383F">
        <v:shapetype id="_x0000_t32" coordsize="21600,21600" o:spt="32" o:oned="t" path="m,l21600,21600e" filled="f">
          <v:path arrowok="t" fillok="f" o:connecttype="none"/>
          <o:lock v:ext="edit" shapetype="t"/>
        </v:shapetype>
        <v:shape id="_x0000_s2082" type="#_x0000_t32" style="position:absolute;margin-left:-.8pt;margin-top:26pt;width:465.35pt;height:0;z-index:251722752" o:connectortype="straight"/>
      </w:pict>
    </w:r>
    <w:r w:rsidR="00F21F52" w:rsidRPr="00C41E6B">
      <w:rPr>
        <w:rFonts w:ascii="Times New Roman" w:hAnsi="Times New Roman" w:cs="Times New Roman"/>
        <w:color w:val="auto"/>
        <w:sz w:val="22"/>
        <w:szCs w:val="22"/>
        <w:lang w:val="en-IN"/>
      </w:rPr>
      <w:t>Section 1</w:t>
    </w:r>
    <w:r w:rsidR="00F21F52">
      <w:rPr>
        <w:rFonts w:ascii="Times New Roman" w:hAnsi="Times New Roman" w:cs="Times New Roman"/>
        <w:color w:val="auto"/>
        <w:sz w:val="22"/>
        <w:szCs w:val="22"/>
        <w:lang w:val="en-IN"/>
      </w:rPr>
      <w:t>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EA89" w14:textId="77777777" w:rsidR="00F21F52" w:rsidRDefault="00F21F52" w:rsidP="00D1773D">
    <w:pPr>
      <w:widowControl/>
      <w:autoSpaceDE w:val="0"/>
      <w:autoSpaceDN w:val="0"/>
      <w:adjustRightInd w:val="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Transfer and rights of employees </w:t>
    </w:r>
    <w:r>
      <w:rPr>
        <w:rFonts w:ascii="Times New Roman" w:hAnsi="Times New Roman" w:cs="Times New Roman"/>
        <w:b/>
        <w:bCs/>
        <w:color w:val="auto"/>
        <w:sz w:val="22"/>
        <w:szCs w:val="22"/>
        <w:lang w:val="en-IN"/>
      </w:rPr>
      <w:t>Part 4</w:t>
    </w:r>
  </w:p>
  <w:p w14:paraId="4B7E66C1" w14:textId="77777777" w:rsidR="00F21F52" w:rsidRDefault="00F21F52" w:rsidP="00D1773D">
    <w:pPr>
      <w:pStyle w:val="Header"/>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Transfer of employees from Corporation to Company </w:t>
    </w:r>
    <w:r w:rsidRPr="00C41E6B">
      <w:rPr>
        <w:rFonts w:ascii="Times New Roman" w:hAnsi="Times New Roman" w:cs="Times New Roman"/>
        <w:b/>
        <w:color w:val="auto"/>
        <w:sz w:val="22"/>
        <w:szCs w:val="22"/>
        <w:lang w:val="en-IN"/>
      </w:rPr>
      <w:t xml:space="preserve">Division </w:t>
    </w:r>
    <w:r>
      <w:rPr>
        <w:rFonts w:ascii="Times New Roman" w:hAnsi="Times New Roman" w:cs="Times New Roman"/>
        <w:b/>
        <w:bCs/>
        <w:color w:val="auto"/>
        <w:sz w:val="22"/>
        <w:szCs w:val="22"/>
        <w:lang w:val="en-IN"/>
      </w:rPr>
      <w:t>1</w:t>
    </w:r>
  </w:p>
  <w:p w14:paraId="4B38E3E9" w14:textId="77777777" w:rsidR="00F21F52" w:rsidRPr="00D1773D" w:rsidRDefault="00ED2AD4" w:rsidP="00D1773D">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315DADE4">
        <v:shapetype id="_x0000_t32" coordsize="21600,21600" o:spt="32" o:oned="t" path="m,l21600,21600e" filled="f">
          <v:path arrowok="t" fillok="f" o:connecttype="none"/>
          <o:lock v:ext="edit" shapetype="t"/>
        </v:shapetype>
        <v:shape id="_x0000_s2083" type="#_x0000_t32" style="position:absolute;left:0;text-align:left;margin-left:-.1pt;margin-top:26.35pt;width:472.2pt;height:.05pt;z-index:251724800" o:connectortype="straight"/>
      </w:pict>
    </w:r>
    <w:r w:rsidR="00F21F52" w:rsidRPr="00C41E6B">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0362B" w14:textId="77777777" w:rsidR="00F21F52" w:rsidRPr="00C41E6B" w:rsidRDefault="00F21F52" w:rsidP="00D1773D">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4</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and rights of employees</w:t>
    </w:r>
  </w:p>
  <w:p w14:paraId="147ABA8F" w14:textId="77777777" w:rsidR="00F21F52" w:rsidRPr="00C41E6B" w:rsidRDefault="00F21F52" w:rsidP="00D1773D">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Division</w:t>
    </w:r>
    <w:r w:rsidRPr="00C41E6B">
      <w:rPr>
        <w:rFonts w:ascii="Times New Roman" w:hAnsi="Times New Roman" w:cs="Times New Roman"/>
        <w:color w:val="auto"/>
        <w:sz w:val="22"/>
        <w:szCs w:val="22"/>
        <w:lang w:val="en-IN"/>
      </w:rPr>
      <w:t xml:space="preserve"> </w:t>
    </w:r>
    <w:r w:rsidRPr="00962089">
      <w:rPr>
        <w:rFonts w:ascii="Times New Roman" w:hAnsi="Times New Roman" w:cs="Times New Roman"/>
        <w:b/>
        <w:color w:val="auto"/>
        <w:sz w:val="22"/>
        <w:szCs w:val="22"/>
        <w:lang w:val="en-IN"/>
      </w:rPr>
      <w:t>2</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of employees from Corporation to Company</w:t>
    </w:r>
  </w:p>
  <w:p w14:paraId="4353B680" w14:textId="77777777" w:rsidR="00F21F52" w:rsidRPr="00D1773D" w:rsidRDefault="00ED2AD4" w:rsidP="00D1773D">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71E4D7F8">
        <v:shapetype id="_x0000_t32" coordsize="21600,21600" o:spt="32" o:oned="t" path="m,l21600,21600e" filled="f">
          <v:path arrowok="t" fillok="f" o:connecttype="none"/>
          <o:lock v:ext="edit" shapetype="t"/>
        </v:shapetype>
        <v:shape id="_x0000_s2084" type="#_x0000_t32" style="position:absolute;margin-left:-.8pt;margin-top:26pt;width:465.35pt;height:0;z-index:251726848" o:connectortype="straight"/>
      </w:pict>
    </w:r>
    <w:r w:rsidR="00F21F52" w:rsidRPr="00C41E6B">
      <w:rPr>
        <w:rFonts w:ascii="Times New Roman" w:hAnsi="Times New Roman" w:cs="Times New Roman"/>
        <w:color w:val="auto"/>
        <w:sz w:val="22"/>
        <w:szCs w:val="22"/>
        <w:lang w:val="en-IN"/>
      </w:rPr>
      <w:t>Section 1</w:t>
    </w:r>
    <w:r w:rsidR="00F21F52">
      <w:rPr>
        <w:rFonts w:ascii="Times New Roman" w:hAnsi="Times New Roman" w:cs="Times New Roman"/>
        <w:color w:val="auto"/>
        <w:sz w:val="22"/>
        <w:szCs w:val="22"/>
        <w:lang w:val="en-IN"/>
      </w:rPr>
      <w:t>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71829" w14:textId="77777777" w:rsidR="00F21F52" w:rsidRDefault="00F21F52" w:rsidP="00EF5F72">
    <w:pPr>
      <w:widowControl/>
      <w:autoSpaceDE w:val="0"/>
      <w:autoSpaceDN w:val="0"/>
      <w:adjustRightInd w:val="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Transfer and rights of employees </w:t>
    </w:r>
    <w:r>
      <w:rPr>
        <w:rFonts w:ascii="Times New Roman" w:hAnsi="Times New Roman" w:cs="Times New Roman"/>
        <w:b/>
        <w:bCs/>
        <w:color w:val="auto"/>
        <w:sz w:val="22"/>
        <w:szCs w:val="22"/>
        <w:lang w:val="en-IN"/>
      </w:rPr>
      <w:t>Part 4</w:t>
    </w:r>
  </w:p>
  <w:p w14:paraId="3046AB59" w14:textId="77777777" w:rsidR="00F21F52" w:rsidRDefault="00F21F52" w:rsidP="00EF5F72">
    <w:pPr>
      <w:pStyle w:val="Header"/>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Transfer of employees from Corporation to Company </w:t>
    </w:r>
    <w:r w:rsidRPr="00C41E6B">
      <w:rPr>
        <w:rFonts w:ascii="Times New Roman" w:hAnsi="Times New Roman" w:cs="Times New Roman"/>
        <w:b/>
        <w:color w:val="auto"/>
        <w:sz w:val="22"/>
        <w:szCs w:val="22"/>
        <w:lang w:val="en-IN"/>
      </w:rPr>
      <w:t xml:space="preserve">Division </w:t>
    </w:r>
    <w:r>
      <w:rPr>
        <w:rFonts w:ascii="Times New Roman" w:hAnsi="Times New Roman" w:cs="Times New Roman"/>
        <w:b/>
        <w:color w:val="auto"/>
        <w:sz w:val="22"/>
        <w:szCs w:val="22"/>
        <w:lang w:val="en-IN"/>
      </w:rPr>
      <w:t>2</w:t>
    </w:r>
  </w:p>
  <w:p w14:paraId="22282FA1"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733E449E">
        <v:shapetype id="_x0000_t32" coordsize="21600,21600" o:spt="32" o:oned="t" path="m,l21600,21600e" filled="f">
          <v:path arrowok="t" fillok="f" o:connecttype="none"/>
          <o:lock v:ext="edit" shapetype="t"/>
        </v:shapetype>
        <v:shape id="_x0000_s2086" type="#_x0000_t32" style="position:absolute;left:0;text-align:left;margin-left:-.1pt;margin-top:26.35pt;width:472.2pt;height:.05pt;z-index:251728896" o:connectortype="straight"/>
      </w:pict>
    </w:r>
    <w:r w:rsidR="00F21F52" w:rsidRPr="00C41E6B">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18</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60E73" w14:textId="77777777" w:rsidR="00F21F52" w:rsidRPr="00C41E6B" w:rsidRDefault="00F21F52" w:rsidP="00EF5F72">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4</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and rights of employees</w:t>
    </w:r>
  </w:p>
  <w:p w14:paraId="63954218" w14:textId="77777777" w:rsidR="00F21F52" w:rsidRPr="00C41E6B" w:rsidRDefault="00F21F52" w:rsidP="00EF5F72">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Division</w:t>
    </w:r>
    <w:r w:rsidRPr="00C41E6B">
      <w:rPr>
        <w:rFonts w:ascii="Times New Roman" w:hAnsi="Times New Roman" w:cs="Times New Roman"/>
        <w:color w:val="auto"/>
        <w:sz w:val="22"/>
        <w:szCs w:val="22"/>
        <w:lang w:val="en-IN"/>
      </w:rPr>
      <w:t xml:space="preserve"> </w:t>
    </w:r>
    <w:r w:rsidRPr="00962089">
      <w:rPr>
        <w:rFonts w:ascii="Times New Roman" w:hAnsi="Times New Roman" w:cs="Times New Roman"/>
        <w:b/>
        <w:color w:val="auto"/>
        <w:sz w:val="22"/>
        <w:szCs w:val="22"/>
        <w:lang w:val="en-IN"/>
      </w:rPr>
      <w:t>2</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of employees from Corporation to Company</w:t>
    </w:r>
  </w:p>
  <w:p w14:paraId="70157758" w14:textId="77777777" w:rsidR="00F21F52" w:rsidRPr="00C41E6B" w:rsidRDefault="00ED2AD4" w:rsidP="00EF5F72">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36DB6799">
        <v:shapetype id="_x0000_t32" coordsize="21600,21600" o:spt="32" o:oned="t" path="m,l21600,21600e" filled="f">
          <v:path arrowok="t" fillok="f" o:connecttype="none"/>
          <o:lock v:ext="edit" shapetype="t"/>
        </v:shapetype>
        <v:shape id="_x0000_s2087" type="#_x0000_t32" style="position:absolute;margin-left:-.8pt;margin-top:26pt;width:465.35pt;height:0;z-index:251730944" o:connectortype="straight"/>
      </w:pict>
    </w:r>
    <w:r w:rsidR="00F21F52" w:rsidRPr="00C41E6B">
      <w:rPr>
        <w:rFonts w:ascii="Times New Roman" w:hAnsi="Times New Roman" w:cs="Times New Roman"/>
        <w:color w:val="auto"/>
        <w:sz w:val="22"/>
        <w:szCs w:val="22"/>
        <w:lang w:val="en-IN"/>
      </w:rPr>
      <w:t>Section 1</w:t>
    </w:r>
    <w:r w:rsidR="00F21F52">
      <w:rPr>
        <w:rFonts w:ascii="Times New Roman" w:hAnsi="Times New Roman" w:cs="Times New Roman"/>
        <w:color w:val="auto"/>
        <w:sz w:val="22"/>
        <w:szCs w:val="22"/>
        <w:lang w:val="en-IN"/>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11EB6" w14:textId="77777777" w:rsidR="00F21F52" w:rsidRDefault="00F21F52" w:rsidP="00803446">
    <w:pPr>
      <w:pStyle w:val="Header"/>
      <w:tabs>
        <w:tab w:val="clear" w:pos="4513"/>
        <w:tab w:val="clear" w:pos="9026"/>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EC8E" w14:textId="77777777" w:rsidR="00F21F52" w:rsidRDefault="00F21F52" w:rsidP="00EF5F72">
    <w:pPr>
      <w:widowControl/>
      <w:autoSpaceDE w:val="0"/>
      <w:autoSpaceDN w:val="0"/>
      <w:adjustRightInd w:val="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Transfer and rights of employees </w:t>
    </w:r>
    <w:r>
      <w:rPr>
        <w:rFonts w:ascii="Times New Roman" w:hAnsi="Times New Roman" w:cs="Times New Roman"/>
        <w:b/>
        <w:bCs/>
        <w:color w:val="auto"/>
        <w:sz w:val="22"/>
        <w:szCs w:val="22"/>
        <w:lang w:val="en-IN"/>
      </w:rPr>
      <w:t>Part 4</w:t>
    </w:r>
  </w:p>
  <w:p w14:paraId="4C37EF56" w14:textId="77777777" w:rsidR="00F21F52" w:rsidRDefault="00F21F52" w:rsidP="00EF5F72">
    <w:pPr>
      <w:pStyle w:val="Header"/>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Transfer of employees from Corporation to Company </w:t>
    </w:r>
    <w:r w:rsidRPr="00C41E6B">
      <w:rPr>
        <w:rFonts w:ascii="Times New Roman" w:hAnsi="Times New Roman" w:cs="Times New Roman"/>
        <w:b/>
        <w:color w:val="auto"/>
        <w:sz w:val="22"/>
        <w:szCs w:val="22"/>
        <w:lang w:val="en-IN"/>
      </w:rPr>
      <w:t xml:space="preserve">Division </w:t>
    </w:r>
    <w:r>
      <w:rPr>
        <w:rFonts w:ascii="Times New Roman" w:hAnsi="Times New Roman" w:cs="Times New Roman"/>
        <w:b/>
        <w:color w:val="auto"/>
        <w:sz w:val="22"/>
        <w:szCs w:val="22"/>
        <w:lang w:val="en-IN"/>
      </w:rPr>
      <w:t>2</w:t>
    </w:r>
  </w:p>
  <w:p w14:paraId="18E58871"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1A221859">
        <v:shapetype id="_x0000_t32" coordsize="21600,21600" o:spt="32" o:oned="t" path="m,l21600,21600e" filled="f">
          <v:path arrowok="t" fillok="f" o:connecttype="none"/>
          <o:lock v:ext="edit" shapetype="t"/>
        </v:shapetype>
        <v:shape id="_x0000_s2088" type="#_x0000_t32" style="position:absolute;left:0;text-align:left;margin-left:-.1pt;margin-top:26.35pt;width:472.2pt;height:.05pt;z-index:251732992" o:connectortype="straight"/>
      </w:pict>
    </w:r>
    <w:r w:rsidR="00F21F52" w:rsidRPr="00C41E6B">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19</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EFD83" w14:textId="77777777" w:rsidR="00F21F52" w:rsidRPr="00C41E6B" w:rsidRDefault="00F21F52" w:rsidP="00EF5F72">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 xml:space="preserve">Part </w:t>
    </w:r>
    <w:r>
      <w:rPr>
        <w:rFonts w:ascii="Times New Roman" w:hAnsi="Times New Roman" w:cs="Times New Roman"/>
        <w:b/>
        <w:color w:val="auto"/>
        <w:sz w:val="22"/>
        <w:szCs w:val="22"/>
        <w:lang w:val="en-IN"/>
      </w:rPr>
      <w:t>4</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and rights of employees</w:t>
    </w:r>
  </w:p>
  <w:p w14:paraId="18207F55" w14:textId="77777777" w:rsidR="00F21F52" w:rsidRPr="00C41E6B" w:rsidRDefault="00F21F52" w:rsidP="00EF5F72">
    <w:pPr>
      <w:widowControl/>
      <w:autoSpaceDE w:val="0"/>
      <w:autoSpaceDN w:val="0"/>
      <w:adjustRightInd w:val="0"/>
      <w:rPr>
        <w:rFonts w:ascii="Times New Roman" w:hAnsi="Times New Roman" w:cs="Times New Roman"/>
        <w:color w:val="auto"/>
        <w:sz w:val="22"/>
        <w:szCs w:val="22"/>
        <w:lang w:val="en-IN"/>
      </w:rPr>
    </w:pPr>
    <w:r w:rsidRPr="00C41E6B">
      <w:rPr>
        <w:rFonts w:ascii="Times New Roman" w:hAnsi="Times New Roman" w:cs="Times New Roman"/>
        <w:b/>
        <w:color w:val="auto"/>
        <w:sz w:val="22"/>
        <w:szCs w:val="22"/>
        <w:lang w:val="en-IN"/>
      </w:rPr>
      <w:t>Division</w:t>
    </w:r>
    <w:r w:rsidRPr="00C41E6B">
      <w:rPr>
        <w:rFonts w:ascii="Times New Roman" w:hAnsi="Times New Roman" w:cs="Times New Roman"/>
        <w:color w:val="auto"/>
        <w:sz w:val="22"/>
        <w:szCs w:val="22"/>
        <w:lang w:val="en-IN"/>
      </w:rPr>
      <w:t xml:space="preserve"> </w:t>
    </w:r>
    <w:r w:rsidRPr="00962089">
      <w:rPr>
        <w:rFonts w:ascii="Times New Roman" w:hAnsi="Times New Roman" w:cs="Times New Roman"/>
        <w:b/>
        <w:color w:val="auto"/>
        <w:sz w:val="22"/>
        <w:szCs w:val="22"/>
        <w:lang w:val="en-IN"/>
      </w:rPr>
      <w:t>2</w:t>
    </w:r>
    <w:r w:rsidRPr="00C41E6B">
      <w:rPr>
        <w:rFonts w:ascii="Times New Roman" w:hAnsi="Times New Roman" w:cs="Times New Roman"/>
        <w:b/>
        <w:bCs/>
        <w:color w:val="auto"/>
        <w:sz w:val="22"/>
        <w:szCs w:val="22"/>
        <w:lang w:val="en-IN"/>
      </w:rPr>
      <w:t xml:space="preserve"> </w:t>
    </w:r>
    <w:r w:rsidRPr="00C41E6B">
      <w:rPr>
        <w:rFonts w:ascii="Times New Roman" w:hAnsi="Times New Roman" w:cs="Times New Roman"/>
        <w:color w:val="auto"/>
        <w:sz w:val="22"/>
        <w:szCs w:val="22"/>
        <w:lang w:val="en-IN"/>
      </w:rPr>
      <w:t>Transfer of employees from Corporation to Company</w:t>
    </w:r>
  </w:p>
  <w:p w14:paraId="31C19335" w14:textId="77777777" w:rsidR="00F21F52" w:rsidRPr="00C41E6B" w:rsidRDefault="00ED2AD4" w:rsidP="00EF5F72">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290CD7EA">
        <v:shapetype id="_x0000_t32" coordsize="21600,21600" o:spt="32" o:oned="t" path="m,l21600,21600e" filled="f">
          <v:path arrowok="t" fillok="f" o:connecttype="none"/>
          <o:lock v:ext="edit" shapetype="t"/>
        </v:shapetype>
        <v:shape id="_x0000_s2089" type="#_x0000_t32" style="position:absolute;margin-left:-.8pt;margin-top:26pt;width:465.35pt;height:0;z-index:251735040" o:connectortype="straight"/>
      </w:pict>
    </w:r>
    <w:r w:rsidR="00F21F52" w:rsidRPr="00C41E6B">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20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39A8B" w14:textId="77777777" w:rsidR="00F21F52" w:rsidRPr="004D7C92" w:rsidRDefault="00F21F52" w:rsidP="00EF5F72">
    <w:pPr>
      <w:widowControl/>
      <w:autoSpaceDE w:val="0"/>
      <w:autoSpaceDN w:val="0"/>
      <w:adjustRightInd w:val="0"/>
      <w:jc w:val="right"/>
      <w:rPr>
        <w:rFonts w:ascii="Times New Roman" w:hAnsi="Times New Roman" w:cs="Times New Roman"/>
        <w:b/>
        <w:bCs/>
        <w:color w:val="auto"/>
        <w:sz w:val="22"/>
        <w:szCs w:val="22"/>
        <w:lang w:val="en-IN"/>
      </w:rPr>
    </w:pPr>
    <w:r w:rsidRPr="004D7C92">
      <w:rPr>
        <w:rFonts w:ascii="Times New Roman" w:hAnsi="Times New Roman" w:cs="Times New Roman"/>
        <w:color w:val="auto"/>
        <w:sz w:val="22"/>
        <w:szCs w:val="22"/>
        <w:lang w:val="en-IN"/>
      </w:rPr>
      <w:t xml:space="preserve">Transfer and rights of employees </w:t>
    </w:r>
    <w:r w:rsidRPr="004D7C92">
      <w:rPr>
        <w:rFonts w:ascii="Times New Roman" w:hAnsi="Times New Roman" w:cs="Times New Roman"/>
        <w:b/>
        <w:bCs/>
        <w:color w:val="auto"/>
        <w:sz w:val="22"/>
        <w:szCs w:val="22"/>
        <w:lang w:val="en-IN"/>
      </w:rPr>
      <w:t>Part 4</w:t>
    </w:r>
  </w:p>
  <w:p w14:paraId="3B7C93F9" w14:textId="77777777" w:rsidR="00F21F52" w:rsidRPr="004D7C92" w:rsidRDefault="00F21F52" w:rsidP="00EF5F72">
    <w:pPr>
      <w:widowControl/>
      <w:autoSpaceDE w:val="0"/>
      <w:autoSpaceDN w:val="0"/>
      <w:adjustRightInd w:val="0"/>
      <w:jc w:val="right"/>
      <w:rPr>
        <w:rFonts w:ascii="Times New Roman" w:hAnsi="Times New Roman" w:cs="Times New Roman"/>
        <w:color w:val="auto"/>
        <w:sz w:val="22"/>
        <w:szCs w:val="22"/>
        <w:lang w:val="en-IN"/>
      </w:rPr>
    </w:pPr>
    <w:r w:rsidRPr="004D7C92">
      <w:rPr>
        <w:rFonts w:ascii="Times New Roman" w:hAnsi="Times New Roman" w:cs="Times New Roman"/>
        <w:color w:val="auto"/>
        <w:sz w:val="22"/>
        <w:szCs w:val="22"/>
        <w:lang w:val="en-IN"/>
      </w:rPr>
      <w:t>Transitional and saving provisions relating to the Safety, Rehabilitation and</w:t>
    </w:r>
  </w:p>
  <w:p w14:paraId="35458A41" w14:textId="77777777" w:rsidR="00F21F52" w:rsidRDefault="00F21F52" w:rsidP="00EF5F72">
    <w:pPr>
      <w:pStyle w:val="Header"/>
      <w:jc w:val="right"/>
      <w:rPr>
        <w:rFonts w:ascii="Times New Roman" w:hAnsi="Times New Roman" w:cs="Times New Roman"/>
        <w:color w:val="auto"/>
        <w:sz w:val="22"/>
        <w:szCs w:val="22"/>
        <w:lang w:val="en-IN"/>
      </w:rPr>
    </w:pPr>
    <w:r w:rsidRPr="004D7C92">
      <w:rPr>
        <w:rFonts w:ascii="Times New Roman" w:hAnsi="Times New Roman" w:cs="Times New Roman"/>
        <w:color w:val="auto"/>
        <w:sz w:val="22"/>
        <w:szCs w:val="22"/>
        <w:lang w:val="en-IN"/>
      </w:rPr>
      <w:t xml:space="preserve">Compensation Act 1988 </w:t>
    </w:r>
    <w:r w:rsidRPr="004D7C92">
      <w:rPr>
        <w:rFonts w:ascii="Times New Roman" w:hAnsi="Times New Roman" w:cs="Times New Roman"/>
        <w:b/>
        <w:color w:val="auto"/>
        <w:sz w:val="22"/>
        <w:szCs w:val="22"/>
        <w:lang w:val="en-IN"/>
      </w:rPr>
      <w:t>Division 3</w:t>
    </w:r>
  </w:p>
  <w:p w14:paraId="47D5AE70"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6CC3EDB8">
        <v:shapetype id="_x0000_t32" coordsize="21600,21600" o:spt="32" o:oned="t" path="m,l21600,21600e" filled="f">
          <v:path arrowok="t" fillok="f" o:connecttype="none"/>
          <o:lock v:ext="edit" shapetype="t"/>
        </v:shapetype>
        <v:shape id="_x0000_s2090" type="#_x0000_t32" style="position:absolute;left:0;text-align:left;margin-left:-.1pt;margin-top:26.35pt;width:472.2pt;height:.05pt;z-index:251737088"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23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AFF06" w14:textId="77777777" w:rsidR="00F21F52" w:rsidRPr="004D7C92" w:rsidRDefault="00F21F52" w:rsidP="00EF5F72">
    <w:pPr>
      <w:widowControl/>
      <w:autoSpaceDE w:val="0"/>
      <w:autoSpaceDN w:val="0"/>
      <w:adjustRightInd w:val="0"/>
      <w:rPr>
        <w:rFonts w:ascii="Times New Roman" w:hAnsi="Times New Roman" w:cs="Times New Roman"/>
        <w:color w:val="auto"/>
        <w:sz w:val="22"/>
        <w:szCs w:val="22"/>
        <w:lang w:val="en-IN"/>
      </w:rPr>
    </w:pPr>
    <w:r w:rsidRPr="004D7C92">
      <w:rPr>
        <w:rFonts w:ascii="Times New Roman" w:hAnsi="Times New Roman" w:cs="Times New Roman"/>
        <w:b/>
        <w:color w:val="auto"/>
        <w:sz w:val="22"/>
        <w:szCs w:val="22"/>
        <w:lang w:val="en-IN"/>
      </w:rPr>
      <w:t>Part 4</w:t>
    </w:r>
    <w:r w:rsidRPr="004D7C92">
      <w:rPr>
        <w:rFonts w:ascii="Times New Roman" w:hAnsi="Times New Roman" w:cs="Times New Roman"/>
        <w:b/>
        <w:bCs/>
        <w:color w:val="auto"/>
        <w:sz w:val="22"/>
        <w:szCs w:val="22"/>
        <w:lang w:val="en-IN"/>
      </w:rPr>
      <w:t xml:space="preserve"> </w:t>
    </w:r>
    <w:r w:rsidRPr="004D7C92">
      <w:rPr>
        <w:rFonts w:ascii="Times New Roman" w:hAnsi="Times New Roman" w:cs="Times New Roman"/>
        <w:color w:val="auto"/>
        <w:sz w:val="22"/>
        <w:szCs w:val="22"/>
        <w:lang w:val="en-IN"/>
      </w:rPr>
      <w:t>Transfer and rights of employees</w:t>
    </w:r>
  </w:p>
  <w:p w14:paraId="1C066D36" w14:textId="77777777" w:rsidR="00F21F52" w:rsidRPr="004D7C92" w:rsidRDefault="00F21F52" w:rsidP="00EF5F72">
    <w:pPr>
      <w:widowControl/>
      <w:autoSpaceDE w:val="0"/>
      <w:autoSpaceDN w:val="0"/>
      <w:adjustRightInd w:val="0"/>
      <w:rPr>
        <w:rFonts w:ascii="Times New Roman" w:hAnsi="Times New Roman" w:cs="Times New Roman"/>
        <w:color w:val="auto"/>
        <w:sz w:val="22"/>
        <w:szCs w:val="22"/>
        <w:lang w:val="en-IN"/>
      </w:rPr>
    </w:pPr>
    <w:r w:rsidRPr="004D7C92">
      <w:rPr>
        <w:rFonts w:ascii="Times New Roman" w:hAnsi="Times New Roman" w:cs="Times New Roman"/>
        <w:b/>
        <w:color w:val="auto"/>
        <w:sz w:val="22"/>
        <w:szCs w:val="22"/>
        <w:lang w:val="en-IN"/>
      </w:rPr>
      <w:t>Division</w:t>
    </w:r>
    <w:r w:rsidRPr="004D7C92">
      <w:rPr>
        <w:rFonts w:ascii="Times New Roman" w:hAnsi="Times New Roman" w:cs="Times New Roman"/>
        <w:color w:val="auto"/>
        <w:sz w:val="22"/>
        <w:szCs w:val="22"/>
        <w:lang w:val="en-IN"/>
      </w:rPr>
      <w:t xml:space="preserve"> </w:t>
    </w:r>
    <w:r w:rsidRPr="004D7C92">
      <w:rPr>
        <w:rFonts w:ascii="Times New Roman" w:hAnsi="Times New Roman" w:cs="Times New Roman"/>
        <w:b/>
        <w:color w:val="auto"/>
        <w:sz w:val="22"/>
        <w:szCs w:val="22"/>
        <w:lang w:val="en-IN"/>
      </w:rPr>
      <w:t>4</w:t>
    </w:r>
    <w:r w:rsidRPr="004D7C92">
      <w:rPr>
        <w:rFonts w:ascii="Times New Roman" w:hAnsi="Times New Roman" w:cs="Times New Roman"/>
        <w:b/>
        <w:bCs/>
        <w:color w:val="auto"/>
        <w:sz w:val="22"/>
        <w:szCs w:val="22"/>
        <w:lang w:val="en-IN"/>
      </w:rPr>
      <w:t xml:space="preserve"> </w:t>
    </w:r>
    <w:r w:rsidRPr="004D7C92">
      <w:rPr>
        <w:rFonts w:ascii="Times New Roman" w:hAnsi="Times New Roman" w:cs="Times New Roman"/>
        <w:color w:val="auto"/>
        <w:sz w:val="22"/>
        <w:szCs w:val="22"/>
        <w:lang w:val="en-IN"/>
      </w:rPr>
      <w:t>Transitional and saving provisions in relation to maternity leave</w:t>
    </w:r>
  </w:p>
  <w:p w14:paraId="3D9876E7" w14:textId="77777777" w:rsidR="00F21F52" w:rsidRPr="004D7C92" w:rsidRDefault="00ED2AD4" w:rsidP="00EF5F72">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33839126">
        <v:shapetype id="_x0000_t32" coordsize="21600,21600" o:spt="32" o:oned="t" path="m,l21600,21600e" filled="f">
          <v:path arrowok="t" fillok="f" o:connecttype="none"/>
          <o:lock v:ext="edit" shapetype="t"/>
        </v:shapetype>
        <v:shape id="_x0000_s2091" type="#_x0000_t32" style="position:absolute;margin-left:-.8pt;margin-top:26pt;width:465.35pt;height:0;z-index:251739136" o:connectortype="straight"/>
      </w:pict>
    </w:r>
    <w:r w:rsidR="00F21F52" w:rsidRPr="004D7C92">
      <w:rPr>
        <w:rFonts w:ascii="Times New Roman" w:hAnsi="Times New Roman" w:cs="Times New Roman"/>
        <w:color w:val="auto"/>
        <w:sz w:val="22"/>
        <w:szCs w:val="22"/>
        <w:lang w:val="en-IN"/>
      </w:rPr>
      <w:t>Section 2</w:t>
    </w:r>
    <w:r w:rsidR="00F21F52">
      <w:rPr>
        <w:rFonts w:ascii="Times New Roman" w:hAnsi="Times New Roman" w:cs="Times New Roman"/>
        <w:color w:val="auto"/>
        <w:sz w:val="22"/>
        <w:szCs w:val="22"/>
        <w:lang w:val="en-IN"/>
      </w:rPr>
      <w:t>6</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2AE45" w14:textId="77777777" w:rsidR="00F21F52" w:rsidRPr="004D7C92" w:rsidRDefault="00F21F52" w:rsidP="00EF5F72">
    <w:pPr>
      <w:widowControl/>
      <w:autoSpaceDE w:val="0"/>
      <w:autoSpaceDN w:val="0"/>
      <w:adjustRightInd w:val="0"/>
      <w:jc w:val="right"/>
      <w:rPr>
        <w:rFonts w:ascii="Times New Roman" w:hAnsi="Times New Roman" w:cs="Times New Roman"/>
        <w:b/>
        <w:bCs/>
        <w:color w:val="auto"/>
        <w:sz w:val="22"/>
        <w:szCs w:val="22"/>
        <w:lang w:val="en-IN"/>
      </w:rPr>
    </w:pPr>
    <w:r w:rsidRPr="004D7C92">
      <w:rPr>
        <w:rFonts w:ascii="Times New Roman" w:hAnsi="Times New Roman" w:cs="Times New Roman"/>
        <w:color w:val="auto"/>
        <w:sz w:val="22"/>
        <w:szCs w:val="22"/>
        <w:lang w:val="en-IN"/>
      </w:rPr>
      <w:t xml:space="preserve">Transfer and rights of employees </w:t>
    </w:r>
    <w:r w:rsidRPr="004D7C92">
      <w:rPr>
        <w:rFonts w:ascii="Times New Roman" w:hAnsi="Times New Roman" w:cs="Times New Roman"/>
        <w:b/>
        <w:bCs/>
        <w:color w:val="auto"/>
        <w:sz w:val="22"/>
        <w:szCs w:val="22"/>
        <w:lang w:val="en-IN"/>
      </w:rPr>
      <w:t>Part 4</w:t>
    </w:r>
  </w:p>
  <w:p w14:paraId="73F492F6" w14:textId="77777777" w:rsidR="00F21F52" w:rsidRDefault="00F21F52" w:rsidP="00EF5F72">
    <w:pPr>
      <w:pStyle w:val="Header"/>
      <w:jc w:val="right"/>
      <w:rPr>
        <w:rFonts w:ascii="Times New Roman" w:hAnsi="Times New Roman" w:cs="Times New Roman"/>
        <w:color w:val="auto"/>
        <w:sz w:val="22"/>
        <w:szCs w:val="22"/>
        <w:lang w:val="en-IN"/>
      </w:rPr>
    </w:pPr>
    <w:r>
      <w:rPr>
        <w:rFonts w:ascii="Times New Roman" w:hAnsi="Times New Roman" w:cs="Times New Roman"/>
        <w:color w:val="auto"/>
        <w:sz w:val="22"/>
        <w:szCs w:val="22"/>
        <w:lang w:val="en-IN"/>
      </w:rPr>
      <w:t xml:space="preserve">Transitional and saving provisions in relation to maternity leave </w:t>
    </w:r>
    <w:r w:rsidRPr="004D7C92">
      <w:rPr>
        <w:rFonts w:ascii="Times New Roman" w:hAnsi="Times New Roman" w:cs="Times New Roman"/>
        <w:b/>
        <w:color w:val="auto"/>
        <w:sz w:val="22"/>
        <w:szCs w:val="22"/>
        <w:lang w:val="en-IN"/>
      </w:rPr>
      <w:t>Division 4</w:t>
    </w:r>
  </w:p>
  <w:p w14:paraId="08B6D7FD"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59642875">
        <v:shapetype id="_x0000_t32" coordsize="21600,21600" o:spt="32" o:oned="t" path="m,l21600,21600e" filled="f">
          <v:path arrowok="t" fillok="f" o:connecttype="none"/>
          <o:lock v:ext="edit" shapetype="t"/>
        </v:shapetype>
        <v:shape id="_x0000_s2092" type="#_x0000_t32" style="position:absolute;left:0;text-align:left;margin-left:-.1pt;margin-top:26.35pt;width:472.2pt;height:.05pt;z-index:251741184"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28</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FF1F" w14:textId="77777777" w:rsidR="00F21F52" w:rsidRPr="004D7C92" w:rsidRDefault="00F21F52" w:rsidP="00EF5F72">
    <w:pPr>
      <w:widowControl/>
      <w:autoSpaceDE w:val="0"/>
      <w:autoSpaceDN w:val="0"/>
      <w:adjustRightInd w:val="0"/>
      <w:rPr>
        <w:rFonts w:ascii="Times New Roman" w:hAnsi="Times New Roman" w:cs="Times New Roman"/>
        <w:color w:val="auto"/>
        <w:sz w:val="22"/>
        <w:szCs w:val="22"/>
        <w:lang w:val="en-IN"/>
      </w:rPr>
    </w:pPr>
    <w:r w:rsidRPr="004D7C92">
      <w:rPr>
        <w:rFonts w:ascii="Times New Roman" w:hAnsi="Times New Roman" w:cs="Times New Roman"/>
        <w:b/>
        <w:color w:val="auto"/>
        <w:sz w:val="22"/>
        <w:szCs w:val="22"/>
        <w:lang w:val="en-IN"/>
      </w:rPr>
      <w:t>Part 4</w:t>
    </w:r>
    <w:r w:rsidRPr="004D7C92">
      <w:rPr>
        <w:rFonts w:ascii="Times New Roman" w:hAnsi="Times New Roman" w:cs="Times New Roman"/>
        <w:b/>
        <w:bCs/>
        <w:color w:val="auto"/>
        <w:sz w:val="22"/>
        <w:szCs w:val="22"/>
        <w:lang w:val="en-IN"/>
      </w:rPr>
      <w:t xml:space="preserve"> </w:t>
    </w:r>
    <w:r w:rsidRPr="004D7C92">
      <w:rPr>
        <w:rFonts w:ascii="Times New Roman" w:hAnsi="Times New Roman" w:cs="Times New Roman"/>
        <w:color w:val="auto"/>
        <w:sz w:val="22"/>
        <w:szCs w:val="22"/>
        <w:lang w:val="en-IN"/>
      </w:rPr>
      <w:t>Transfer and rights of employees</w:t>
    </w:r>
  </w:p>
  <w:p w14:paraId="5C45112A" w14:textId="77777777" w:rsidR="00F21F52" w:rsidRPr="004D7C92" w:rsidRDefault="00F21F52" w:rsidP="00EF5F72">
    <w:pPr>
      <w:widowControl/>
      <w:autoSpaceDE w:val="0"/>
      <w:autoSpaceDN w:val="0"/>
      <w:adjustRightInd w:val="0"/>
      <w:rPr>
        <w:rFonts w:ascii="Times New Roman" w:hAnsi="Times New Roman" w:cs="Times New Roman"/>
        <w:color w:val="auto"/>
        <w:sz w:val="22"/>
        <w:szCs w:val="22"/>
        <w:lang w:val="en-IN"/>
      </w:rPr>
    </w:pPr>
    <w:r w:rsidRPr="004D7C92">
      <w:rPr>
        <w:rFonts w:ascii="Times New Roman" w:hAnsi="Times New Roman" w:cs="Times New Roman"/>
        <w:b/>
        <w:color w:val="auto"/>
        <w:sz w:val="22"/>
        <w:szCs w:val="22"/>
        <w:lang w:val="en-IN"/>
      </w:rPr>
      <w:t xml:space="preserve">Division </w:t>
    </w:r>
    <w:r w:rsidRPr="004D7C92">
      <w:rPr>
        <w:rFonts w:ascii="Times New Roman" w:hAnsi="Times New Roman" w:cs="Times New Roman"/>
        <w:b/>
        <w:bCs/>
        <w:color w:val="auto"/>
        <w:sz w:val="22"/>
        <w:szCs w:val="22"/>
        <w:lang w:val="en-IN"/>
      </w:rPr>
      <w:t xml:space="preserve">5 </w:t>
    </w:r>
    <w:r w:rsidRPr="004D7C92">
      <w:rPr>
        <w:rFonts w:ascii="Times New Roman" w:hAnsi="Times New Roman" w:cs="Times New Roman"/>
        <w:color w:val="auto"/>
        <w:sz w:val="22"/>
        <w:szCs w:val="22"/>
        <w:lang w:val="en-IN"/>
      </w:rPr>
      <w:t>Other transitional and saving provisions</w:t>
    </w:r>
  </w:p>
  <w:p w14:paraId="60B06E58" w14:textId="77777777" w:rsidR="00F21F52" w:rsidRPr="004D7C92" w:rsidRDefault="00ED2AD4" w:rsidP="00EF5F72">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7270FF8B">
        <v:shapetype id="_x0000_t32" coordsize="21600,21600" o:spt="32" o:oned="t" path="m,l21600,21600e" filled="f">
          <v:path arrowok="t" fillok="f" o:connecttype="none"/>
          <o:lock v:ext="edit" shapetype="t"/>
        </v:shapetype>
        <v:shape id="_x0000_s2093" type="#_x0000_t32" style="position:absolute;margin-left:-.8pt;margin-top:26pt;width:465.35pt;height:0;z-index:251743232" o:connectortype="straight"/>
      </w:pict>
    </w:r>
    <w:r w:rsidR="00F21F52" w:rsidRPr="004D7C92">
      <w:rPr>
        <w:rFonts w:ascii="Times New Roman" w:hAnsi="Times New Roman" w:cs="Times New Roman"/>
        <w:color w:val="auto"/>
        <w:sz w:val="22"/>
        <w:szCs w:val="22"/>
        <w:lang w:val="en-IN"/>
      </w:rPr>
      <w:t>Section 2</w:t>
    </w:r>
    <w:r w:rsidR="00F21F52">
      <w:rPr>
        <w:rFonts w:ascii="Times New Roman" w:hAnsi="Times New Roman" w:cs="Times New Roman"/>
        <w:color w:val="auto"/>
        <w:sz w:val="22"/>
        <w:szCs w:val="22"/>
        <w:lang w:val="en-IN"/>
      </w:rPr>
      <w:t>9</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A6849" w14:textId="77777777" w:rsidR="00F21F52" w:rsidRPr="004D7C92" w:rsidRDefault="00F21F52" w:rsidP="00EF5F72">
    <w:pPr>
      <w:widowControl/>
      <w:autoSpaceDE w:val="0"/>
      <w:autoSpaceDN w:val="0"/>
      <w:adjustRightInd w:val="0"/>
      <w:jc w:val="right"/>
      <w:rPr>
        <w:rFonts w:ascii="Times New Roman" w:hAnsi="Times New Roman" w:cs="Times New Roman"/>
        <w:b/>
        <w:bCs/>
        <w:color w:val="auto"/>
        <w:sz w:val="22"/>
        <w:szCs w:val="22"/>
        <w:lang w:val="en-IN"/>
      </w:rPr>
    </w:pPr>
    <w:r w:rsidRPr="004D7C92">
      <w:rPr>
        <w:rFonts w:ascii="Times New Roman" w:hAnsi="Times New Roman" w:cs="Times New Roman"/>
        <w:color w:val="auto"/>
        <w:sz w:val="22"/>
        <w:szCs w:val="22"/>
        <w:lang w:val="en-IN"/>
      </w:rPr>
      <w:t xml:space="preserve">Transfer and rights of employees </w:t>
    </w:r>
    <w:r w:rsidRPr="004D7C92">
      <w:rPr>
        <w:rFonts w:ascii="Times New Roman" w:hAnsi="Times New Roman" w:cs="Times New Roman"/>
        <w:b/>
        <w:bCs/>
        <w:color w:val="auto"/>
        <w:sz w:val="22"/>
        <w:szCs w:val="22"/>
        <w:lang w:val="en-IN"/>
      </w:rPr>
      <w:t>Part 4</w:t>
    </w:r>
  </w:p>
  <w:p w14:paraId="2BBF7AAF" w14:textId="77777777" w:rsidR="00F21F52" w:rsidRPr="004D7C92" w:rsidRDefault="00F21F52" w:rsidP="00EF5F72">
    <w:pPr>
      <w:pStyle w:val="Header"/>
      <w:jc w:val="right"/>
      <w:rPr>
        <w:rFonts w:ascii="Times New Roman" w:hAnsi="Times New Roman" w:cs="Times New Roman"/>
        <w:b/>
        <w:bCs/>
        <w:color w:val="auto"/>
        <w:sz w:val="22"/>
        <w:szCs w:val="22"/>
        <w:lang w:val="en-IN"/>
      </w:rPr>
    </w:pPr>
    <w:r w:rsidRPr="004D7C92">
      <w:rPr>
        <w:rFonts w:ascii="Times New Roman" w:hAnsi="Times New Roman" w:cs="Times New Roman"/>
        <w:color w:val="auto"/>
        <w:sz w:val="22"/>
        <w:szCs w:val="22"/>
        <w:lang w:val="en-IN"/>
      </w:rPr>
      <w:t xml:space="preserve">Other transitional and saving provisions </w:t>
    </w:r>
    <w:r w:rsidRPr="004D7C92">
      <w:rPr>
        <w:rFonts w:ascii="Times New Roman" w:hAnsi="Times New Roman" w:cs="Times New Roman"/>
        <w:b/>
        <w:color w:val="auto"/>
        <w:sz w:val="22"/>
        <w:szCs w:val="22"/>
        <w:lang w:val="en-IN"/>
      </w:rPr>
      <w:t>Division</w:t>
    </w:r>
    <w:r w:rsidRPr="004D7C92">
      <w:rPr>
        <w:rFonts w:ascii="Times New Roman" w:hAnsi="Times New Roman" w:cs="Times New Roman"/>
        <w:color w:val="auto"/>
        <w:sz w:val="22"/>
        <w:szCs w:val="22"/>
        <w:lang w:val="en-IN"/>
      </w:rPr>
      <w:t xml:space="preserve"> </w:t>
    </w:r>
    <w:r w:rsidRPr="004D7C92">
      <w:rPr>
        <w:rFonts w:ascii="Times New Roman" w:hAnsi="Times New Roman" w:cs="Times New Roman"/>
        <w:b/>
        <w:bCs/>
        <w:color w:val="auto"/>
        <w:sz w:val="22"/>
        <w:szCs w:val="22"/>
        <w:lang w:val="en-IN"/>
      </w:rPr>
      <w:t>5</w:t>
    </w:r>
  </w:p>
  <w:p w14:paraId="6BD24DF5"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74087F0A">
        <v:shapetype id="_x0000_t32" coordsize="21600,21600" o:spt="32" o:oned="t" path="m,l21600,21600e" filled="f">
          <v:path arrowok="t" fillok="f" o:connecttype="none"/>
          <o:lock v:ext="edit" shapetype="t"/>
        </v:shapetype>
        <v:shape id="_x0000_s2095" type="#_x0000_t32" style="position:absolute;left:0;text-align:left;margin-left:-.1pt;margin-top:26.35pt;width:472.2pt;height:.05pt;z-index:251745280"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30</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3F766" w14:textId="77777777" w:rsidR="00F21F52" w:rsidRDefault="00F21F52" w:rsidP="00EF5F72">
    <w:pPr>
      <w:widowControl/>
      <w:autoSpaceDE w:val="0"/>
      <w:autoSpaceDN w:val="0"/>
      <w:adjustRightInd w:val="0"/>
      <w:spacing w:before="240"/>
      <w:rPr>
        <w:rFonts w:ascii="Times New Roman" w:hAnsi="Times New Roman" w:cs="Times New Roman"/>
        <w:color w:val="auto"/>
        <w:sz w:val="22"/>
        <w:szCs w:val="22"/>
        <w:lang w:val="en-IN"/>
      </w:rPr>
    </w:pPr>
    <w:r>
      <w:rPr>
        <w:rFonts w:ascii="Times New Roman" w:hAnsi="Times New Roman" w:cs="Times New Roman"/>
        <w:b/>
        <w:bCs/>
        <w:color w:val="auto"/>
        <w:sz w:val="22"/>
        <w:szCs w:val="22"/>
        <w:lang w:val="en-IN"/>
      </w:rPr>
      <w:t xml:space="preserve">Part 5 </w:t>
    </w:r>
    <w:r>
      <w:rPr>
        <w:rFonts w:ascii="Times New Roman" w:hAnsi="Times New Roman" w:cs="Times New Roman"/>
        <w:color w:val="auto"/>
        <w:sz w:val="22"/>
        <w:szCs w:val="22"/>
        <w:lang w:val="en-IN"/>
      </w:rPr>
      <w:t>Miscellaneous</w:t>
    </w:r>
  </w:p>
  <w:p w14:paraId="5696D726" w14:textId="77777777" w:rsidR="00F21F52" w:rsidRPr="004D7C92" w:rsidRDefault="00ED2AD4" w:rsidP="00EF5F72">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04FE931B">
        <v:shapetype id="_x0000_t32" coordsize="21600,21600" o:spt="32" o:oned="t" path="m,l21600,21600e" filled="f">
          <v:path arrowok="t" fillok="f" o:connecttype="none"/>
          <o:lock v:ext="edit" shapetype="t"/>
        </v:shapetype>
        <v:shape id="_x0000_s2096" type="#_x0000_t32" style="position:absolute;margin-left:-.8pt;margin-top:26pt;width:465.35pt;height:0;z-index:251747328"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32</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49C83" w14:textId="77777777" w:rsidR="00F21F52" w:rsidRDefault="00F21F52" w:rsidP="00EF5F72">
    <w:pPr>
      <w:pStyle w:val="Header"/>
      <w:spacing w:before="24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Miscellaneous </w:t>
    </w:r>
    <w:r>
      <w:rPr>
        <w:rFonts w:ascii="Times New Roman" w:hAnsi="Times New Roman" w:cs="Times New Roman"/>
        <w:b/>
        <w:bCs/>
        <w:color w:val="auto"/>
        <w:sz w:val="22"/>
        <w:szCs w:val="22"/>
        <w:lang w:val="en-IN"/>
      </w:rPr>
      <w:t>Part 5</w:t>
    </w:r>
  </w:p>
  <w:p w14:paraId="5B6546E6"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355E18A6">
        <v:shapetype id="_x0000_t32" coordsize="21600,21600" o:spt="32" o:oned="t" path="m,l21600,21600e" filled="f">
          <v:path arrowok="t" fillok="f" o:connecttype="none"/>
          <o:lock v:ext="edit" shapetype="t"/>
        </v:shapetype>
        <v:shape id="_x0000_s2098" type="#_x0000_t32" style="position:absolute;left:0;text-align:left;margin-left:-.1pt;margin-top:26.35pt;width:472.2pt;height:.05pt;z-index:251749376"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34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75231" w14:textId="77777777" w:rsidR="00F21F52" w:rsidRDefault="00F21F52" w:rsidP="00EF5F72">
    <w:pPr>
      <w:widowControl/>
      <w:autoSpaceDE w:val="0"/>
      <w:autoSpaceDN w:val="0"/>
      <w:adjustRightInd w:val="0"/>
      <w:spacing w:before="240"/>
      <w:rPr>
        <w:rFonts w:ascii="Times New Roman" w:hAnsi="Times New Roman" w:cs="Times New Roman"/>
        <w:color w:val="auto"/>
        <w:sz w:val="22"/>
        <w:szCs w:val="22"/>
        <w:lang w:val="en-IN"/>
      </w:rPr>
    </w:pPr>
    <w:r>
      <w:rPr>
        <w:rFonts w:ascii="Times New Roman" w:hAnsi="Times New Roman" w:cs="Times New Roman"/>
        <w:b/>
        <w:bCs/>
        <w:color w:val="auto"/>
        <w:sz w:val="22"/>
        <w:szCs w:val="22"/>
        <w:lang w:val="en-IN"/>
      </w:rPr>
      <w:t xml:space="preserve">Part 5 </w:t>
    </w:r>
    <w:r>
      <w:rPr>
        <w:rFonts w:ascii="Times New Roman" w:hAnsi="Times New Roman" w:cs="Times New Roman"/>
        <w:color w:val="auto"/>
        <w:sz w:val="22"/>
        <w:szCs w:val="22"/>
        <w:lang w:val="en-IN"/>
      </w:rPr>
      <w:t>Miscellaneous</w:t>
    </w:r>
  </w:p>
  <w:p w14:paraId="2518EFCE" w14:textId="77777777" w:rsidR="00F21F52" w:rsidRPr="00EF5F72" w:rsidRDefault="00ED2AD4" w:rsidP="00EF5F72">
    <w:pPr>
      <w:widowControl/>
      <w:autoSpaceDE w:val="0"/>
      <w:autoSpaceDN w:val="0"/>
      <w:adjustRightInd w:val="0"/>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75E467BA">
        <v:shapetype id="_x0000_t32" coordsize="21600,21600" o:spt="32" o:oned="t" path="m,l21600,21600e" filled="f">
          <v:path arrowok="t" fillok="f" o:connecttype="none"/>
          <o:lock v:ext="edit" shapetype="t"/>
        </v:shapetype>
        <v:shape id="_x0000_s2100" type="#_x0000_t32" style="position:absolute;margin-left:-.8pt;margin-top:26pt;width:465.35pt;height:0;z-index:251751424"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36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2280C" w14:textId="77777777" w:rsidR="00F21F52" w:rsidRDefault="00F21F52" w:rsidP="00803446">
    <w:pPr>
      <w:pStyle w:val="Header"/>
      <w:tabs>
        <w:tab w:val="clear" w:pos="4513"/>
        <w:tab w:val="clear" w:pos="9026"/>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D9EA" w14:textId="77777777" w:rsidR="00F21F52" w:rsidRDefault="00F21F52" w:rsidP="00EF5F72">
    <w:pPr>
      <w:pStyle w:val="Header"/>
      <w:spacing w:before="24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Abolition of Corporation </w:t>
    </w:r>
    <w:r>
      <w:rPr>
        <w:rFonts w:ascii="Times New Roman" w:hAnsi="Times New Roman" w:cs="Times New Roman"/>
        <w:b/>
        <w:bCs/>
        <w:color w:val="auto"/>
        <w:sz w:val="22"/>
        <w:szCs w:val="22"/>
        <w:lang w:val="en-IN"/>
      </w:rPr>
      <w:t>Part 6</w:t>
    </w:r>
  </w:p>
  <w:p w14:paraId="2354C5C5" w14:textId="77777777" w:rsidR="00F21F52" w:rsidRPr="00EF5F72" w:rsidRDefault="00ED2AD4" w:rsidP="00EF5F7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566C3917">
        <v:shapetype id="_x0000_t32" coordsize="21600,21600" o:spt="32" o:oned="t" path="m,l21600,21600e" filled="f">
          <v:path arrowok="t" fillok="f" o:connecttype="none"/>
          <o:lock v:ext="edit" shapetype="t"/>
        </v:shapetype>
        <v:shape id="_x0000_s2101" type="#_x0000_t32" style="position:absolute;left:0;text-align:left;margin-left:-.1pt;margin-top:26.35pt;width:472.2pt;height:.05pt;z-index:251753472"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39</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109E" w14:textId="77777777" w:rsidR="00F21F52" w:rsidRDefault="00F21F52" w:rsidP="004D7C92">
    <w:pPr>
      <w:pStyle w:val="Header"/>
      <w:spacing w:before="240"/>
      <w:jc w:val="right"/>
      <w:rPr>
        <w:rFonts w:ascii="Times New Roman" w:hAnsi="Times New Roman" w:cs="Times New Roman"/>
        <w:b/>
        <w:bCs/>
        <w:color w:val="auto"/>
        <w:sz w:val="22"/>
        <w:szCs w:val="22"/>
        <w:lang w:val="en-IN"/>
      </w:rPr>
    </w:pPr>
    <w:r>
      <w:rPr>
        <w:rFonts w:ascii="Times New Roman" w:hAnsi="Times New Roman" w:cs="Times New Roman"/>
        <w:color w:val="auto"/>
        <w:sz w:val="22"/>
        <w:szCs w:val="22"/>
        <w:lang w:val="en-IN"/>
      </w:rPr>
      <w:t xml:space="preserve">Abolition of Corporation </w:t>
    </w:r>
    <w:r>
      <w:rPr>
        <w:rFonts w:ascii="Times New Roman" w:hAnsi="Times New Roman" w:cs="Times New Roman"/>
        <w:b/>
        <w:bCs/>
        <w:color w:val="auto"/>
        <w:sz w:val="22"/>
        <w:szCs w:val="22"/>
        <w:lang w:val="en-IN"/>
      </w:rPr>
      <w:t>Part 6</w:t>
    </w:r>
  </w:p>
  <w:p w14:paraId="0D1E42DC" w14:textId="77777777" w:rsidR="00F21F52" w:rsidRPr="004D7C92" w:rsidRDefault="00ED2AD4" w:rsidP="004D7C92">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10D6FE33">
        <v:shapetype id="_x0000_t32" coordsize="21600,21600" o:spt="32" o:oned="t" path="m,l21600,21600e" filled="f">
          <v:path arrowok="t" fillok="f" o:connecttype="none"/>
          <o:lock v:ext="edit" shapetype="t"/>
        </v:shapetype>
        <v:shape id="_x0000_s2072" type="#_x0000_t32" style="position:absolute;left:0;text-align:left;margin-left:-.1pt;margin-top:26.35pt;width:472.2pt;height:.05pt;z-index:251702272" o:connectortype="straight"/>
      </w:pict>
    </w:r>
    <w:r w:rsidR="00F21F52" w:rsidRPr="004D7C92">
      <w:rPr>
        <w:rFonts w:ascii="Times New Roman" w:hAnsi="Times New Roman" w:cs="Times New Roman"/>
        <w:color w:val="auto"/>
        <w:sz w:val="22"/>
        <w:szCs w:val="22"/>
        <w:lang w:val="en-IN"/>
      </w:rPr>
      <w:t xml:space="preserve">Section </w:t>
    </w:r>
    <w:r w:rsidR="00F21F52">
      <w:rPr>
        <w:rFonts w:ascii="Times New Roman" w:hAnsi="Times New Roman" w:cs="Times New Roman"/>
        <w:color w:val="auto"/>
        <w:sz w:val="22"/>
        <w:szCs w:val="22"/>
        <w:lang w:val="en-IN"/>
      </w:rPr>
      <w:t>39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2C644" w14:textId="77777777" w:rsidR="00F21F52" w:rsidRPr="00866BFA" w:rsidRDefault="00F21F52" w:rsidP="00866BF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3771" w14:textId="77777777" w:rsidR="00F21F52" w:rsidRDefault="00F21F52" w:rsidP="00803446">
    <w:pPr>
      <w:pStyle w:val="Header"/>
      <w:tabs>
        <w:tab w:val="clear" w:pos="4513"/>
        <w:tab w:val="clear" w:pos="902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F8DD" w14:textId="77777777" w:rsidR="00F21F52" w:rsidRPr="00161AFB" w:rsidRDefault="00F21F52" w:rsidP="00161AF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295E3" w14:textId="77777777" w:rsidR="00F21F52" w:rsidRDefault="00F21F52" w:rsidP="00803446">
    <w:pPr>
      <w:pStyle w:val="Header"/>
      <w:tabs>
        <w:tab w:val="clear" w:pos="4513"/>
        <w:tab w:val="clear" w:pos="902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0F186" w14:textId="77777777" w:rsidR="00F21F52" w:rsidRPr="00412419" w:rsidRDefault="00F21F52" w:rsidP="00D1773D">
    <w:pPr>
      <w:widowControl/>
      <w:autoSpaceDE w:val="0"/>
      <w:autoSpaceDN w:val="0"/>
      <w:adjustRightInd w:val="0"/>
      <w:rPr>
        <w:rFonts w:ascii="Times New Roman" w:hAnsi="Times New Roman" w:cs="Times New Roman"/>
        <w:color w:val="auto"/>
        <w:sz w:val="22"/>
        <w:szCs w:val="22"/>
        <w:lang w:val="en-IN"/>
      </w:rPr>
    </w:pPr>
    <w:r w:rsidRPr="00412419">
      <w:rPr>
        <w:rFonts w:ascii="Times New Roman" w:hAnsi="Times New Roman" w:cs="Times New Roman"/>
        <w:b/>
        <w:color w:val="auto"/>
        <w:sz w:val="22"/>
        <w:szCs w:val="22"/>
        <w:lang w:val="en-IN"/>
      </w:rPr>
      <w:t>Part 1</w:t>
    </w:r>
    <w:r w:rsidRPr="00412419">
      <w:rPr>
        <w:rFonts w:ascii="Times New Roman" w:hAnsi="Times New Roman" w:cs="Times New Roman"/>
        <w:b/>
        <w:bCs/>
        <w:color w:val="auto"/>
        <w:sz w:val="22"/>
        <w:szCs w:val="22"/>
        <w:lang w:val="en-IN"/>
      </w:rPr>
      <w:t xml:space="preserve"> </w:t>
    </w:r>
    <w:r w:rsidRPr="00412419">
      <w:rPr>
        <w:rFonts w:ascii="Times New Roman" w:hAnsi="Times New Roman" w:cs="Times New Roman"/>
        <w:color w:val="auto"/>
        <w:sz w:val="22"/>
        <w:szCs w:val="22"/>
        <w:lang w:val="en-IN"/>
      </w:rPr>
      <w:t>Preliminary</w:t>
    </w:r>
  </w:p>
  <w:p w14:paraId="67EE7ED0" w14:textId="77777777" w:rsidR="00F21F52" w:rsidRPr="00412419" w:rsidRDefault="00ED2AD4" w:rsidP="00D1773D">
    <w:pPr>
      <w:pStyle w:val="Header"/>
      <w:tabs>
        <w:tab w:val="clear" w:pos="4513"/>
        <w:tab w:val="clear" w:pos="9026"/>
      </w:tabs>
      <w:spacing w:before="240"/>
      <w:rPr>
        <w:rFonts w:ascii="Times New Roman" w:hAnsi="Times New Roman" w:cs="Times New Roman"/>
        <w:sz w:val="22"/>
        <w:szCs w:val="22"/>
      </w:rPr>
    </w:pPr>
    <w:r>
      <w:rPr>
        <w:rFonts w:ascii="Times New Roman" w:hAnsi="Times New Roman" w:cs="Times New Roman"/>
        <w:noProof/>
        <w:color w:val="auto"/>
        <w:sz w:val="22"/>
        <w:szCs w:val="22"/>
        <w:lang w:val="en-IN"/>
      </w:rPr>
      <w:pict w14:anchorId="6D316D53">
        <v:shapetype id="_x0000_t32" coordsize="21600,21600" o:spt="32" o:oned="t" path="m,l21600,21600e" filled="f">
          <v:path arrowok="t" fillok="f" o:connecttype="none"/>
          <o:lock v:ext="edit" shapetype="t"/>
        </v:shapetype>
        <v:shape id="_x0000_s2103" type="#_x0000_t32" style="position:absolute;margin-left:.6pt;margin-top:29.3pt;width:465.35pt;height:0;z-index:251757568" o:connectortype="straight"/>
      </w:pict>
    </w:r>
    <w:r w:rsidR="00F21F52" w:rsidRPr="00412419">
      <w:rPr>
        <w:rFonts w:ascii="Times New Roman" w:hAnsi="Times New Roman" w:cs="Times New Roman"/>
        <w:color w:val="auto"/>
        <w:sz w:val="22"/>
        <w:szCs w:val="22"/>
        <w:lang w:val="en-IN"/>
      </w:rPr>
      <w:t>Section 2</w:t>
    </w:r>
  </w:p>
  <w:p w14:paraId="4383E94C" w14:textId="77777777" w:rsidR="00F21F52" w:rsidRDefault="00F21F5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561F" w14:textId="77777777" w:rsidR="00F21F52" w:rsidRPr="00C41E6B" w:rsidRDefault="00F21F52" w:rsidP="00D1773D">
    <w:pPr>
      <w:pStyle w:val="Header"/>
      <w:jc w:val="right"/>
      <w:rPr>
        <w:rFonts w:ascii="Times New Roman" w:hAnsi="Times New Roman" w:cs="Times New Roman"/>
        <w:b/>
        <w:bCs/>
        <w:color w:val="auto"/>
        <w:sz w:val="22"/>
        <w:szCs w:val="22"/>
        <w:lang w:val="en-IN"/>
      </w:rPr>
    </w:pPr>
    <w:r w:rsidRPr="00C41E6B">
      <w:rPr>
        <w:rFonts w:ascii="Times New Roman" w:hAnsi="Times New Roman" w:cs="Times New Roman"/>
        <w:color w:val="auto"/>
        <w:sz w:val="22"/>
        <w:szCs w:val="22"/>
        <w:lang w:val="en-IN"/>
      </w:rPr>
      <w:t xml:space="preserve">Preliminary </w:t>
    </w:r>
    <w:r w:rsidRPr="00C41E6B">
      <w:rPr>
        <w:rFonts w:ascii="Times New Roman" w:hAnsi="Times New Roman" w:cs="Times New Roman"/>
        <w:b/>
        <w:color w:val="auto"/>
        <w:sz w:val="22"/>
        <w:szCs w:val="22"/>
        <w:lang w:val="en-IN"/>
      </w:rPr>
      <w:t xml:space="preserve">Part </w:t>
    </w:r>
    <w:r w:rsidRPr="00C41E6B">
      <w:rPr>
        <w:rFonts w:ascii="Times New Roman" w:hAnsi="Times New Roman" w:cs="Times New Roman"/>
        <w:b/>
        <w:bCs/>
        <w:color w:val="auto"/>
        <w:sz w:val="22"/>
        <w:szCs w:val="22"/>
        <w:lang w:val="en-IN"/>
      </w:rPr>
      <w:t>1</w:t>
    </w:r>
  </w:p>
  <w:p w14:paraId="3C7EAD84" w14:textId="77777777" w:rsidR="00F21F52" w:rsidRPr="00C41E6B" w:rsidRDefault="00ED2AD4" w:rsidP="00D1773D">
    <w:pPr>
      <w:pStyle w:val="Header"/>
      <w:spacing w:before="240"/>
      <w:jc w:val="right"/>
      <w:rPr>
        <w:rFonts w:ascii="Times New Roman" w:hAnsi="Times New Roman" w:cs="Times New Roman"/>
        <w:sz w:val="22"/>
        <w:szCs w:val="22"/>
      </w:rPr>
    </w:pPr>
    <w:r>
      <w:rPr>
        <w:rFonts w:ascii="Times New Roman" w:hAnsi="Times New Roman" w:cs="Times New Roman"/>
        <w:noProof/>
        <w:color w:val="auto"/>
        <w:sz w:val="22"/>
        <w:szCs w:val="22"/>
        <w:lang w:val="en-IN"/>
      </w:rPr>
      <w:pict w14:anchorId="1C3BF0C8">
        <v:shapetype id="_x0000_t32" coordsize="21600,21600" o:spt="32" o:oned="t" path="m,l21600,21600e" filled="f">
          <v:path arrowok="t" fillok="f" o:connecttype="none"/>
          <o:lock v:ext="edit" shapetype="t"/>
        </v:shapetype>
        <v:shape id="_x0000_s2077" type="#_x0000_t32" style="position:absolute;left:0;text-align:left;margin-left:-.1pt;margin-top:26.35pt;width:472.2pt;height:.05pt;z-index:251712512" o:connectortype="straight"/>
      </w:pict>
    </w:r>
    <w:r w:rsidR="00F21F52" w:rsidRPr="00C41E6B">
      <w:rPr>
        <w:rFonts w:ascii="Times New Roman" w:hAnsi="Times New Roman" w:cs="Times New Roman"/>
        <w:color w:val="auto"/>
        <w:sz w:val="22"/>
        <w:szCs w:val="22"/>
        <w:lang w:val="en-IN"/>
      </w:rPr>
      <w:t>Section 4</w:t>
    </w:r>
  </w:p>
  <w:p w14:paraId="62D37B04" w14:textId="77777777" w:rsidR="00F21F52" w:rsidRPr="00D1773D" w:rsidRDefault="00F21F52" w:rsidP="00D17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850"/>
    <w:multiLevelType w:val="multilevel"/>
    <w:tmpl w:val="DD882A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A3FD2"/>
    <w:multiLevelType w:val="multilevel"/>
    <w:tmpl w:val="54D01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66CC7"/>
    <w:multiLevelType w:val="multilevel"/>
    <w:tmpl w:val="9F120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55ED7"/>
    <w:multiLevelType w:val="multilevel"/>
    <w:tmpl w:val="3F343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82FFA"/>
    <w:multiLevelType w:val="multilevel"/>
    <w:tmpl w:val="70246F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2801D9"/>
    <w:multiLevelType w:val="multilevel"/>
    <w:tmpl w:val="1180B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E784E"/>
    <w:multiLevelType w:val="multilevel"/>
    <w:tmpl w:val="4364A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371A86"/>
    <w:multiLevelType w:val="multilevel"/>
    <w:tmpl w:val="80326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271707"/>
    <w:multiLevelType w:val="multilevel"/>
    <w:tmpl w:val="4970C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2A5C10"/>
    <w:multiLevelType w:val="multilevel"/>
    <w:tmpl w:val="2688B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176F6"/>
    <w:multiLevelType w:val="multilevel"/>
    <w:tmpl w:val="3DECF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7C0FCF"/>
    <w:multiLevelType w:val="multilevel"/>
    <w:tmpl w:val="71F6808E"/>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D96EFB"/>
    <w:multiLevelType w:val="multilevel"/>
    <w:tmpl w:val="D01C5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817B6D"/>
    <w:multiLevelType w:val="multilevel"/>
    <w:tmpl w:val="CADAB7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41386"/>
    <w:multiLevelType w:val="multilevel"/>
    <w:tmpl w:val="5B449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2E037E"/>
    <w:multiLevelType w:val="multilevel"/>
    <w:tmpl w:val="54A82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616604"/>
    <w:multiLevelType w:val="multilevel"/>
    <w:tmpl w:val="E09A1B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3358FD"/>
    <w:multiLevelType w:val="multilevel"/>
    <w:tmpl w:val="49EEBE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534D1B"/>
    <w:multiLevelType w:val="multilevel"/>
    <w:tmpl w:val="9286A1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5D2568"/>
    <w:multiLevelType w:val="multilevel"/>
    <w:tmpl w:val="981A8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053589"/>
    <w:multiLevelType w:val="multilevel"/>
    <w:tmpl w:val="1494B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034932"/>
    <w:multiLevelType w:val="multilevel"/>
    <w:tmpl w:val="98D24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75253C"/>
    <w:multiLevelType w:val="multilevel"/>
    <w:tmpl w:val="624A1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5531E8"/>
    <w:multiLevelType w:val="multilevel"/>
    <w:tmpl w:val="A91E5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695054"/>
    <w:multiLevelType w:val="multilevel"/>
    <w:tmpl w:val="DEFAC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45670C"/>
    <w:multiLevelType w:val="multilevel"/>
    <w:tmpl w:val="E40C6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C05846"/>
    <w:multiLevelType w:val="multilevel"/>
    <w:tmpl w:val="89A62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F53AC2"/>
    <w:multiLevelType w:val="multilevel"/>
    <w:tmpl w:val="DBD63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45502C"/>
    <w:multiLevelType w:val="multilevel"/>
    <w:tmpl w:val="C3F6440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AB4B3C"/>
    <w:multiLevelType w:val="multilevel"/>
    <w:tmpl w:val="06984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EE4F54"/>
    <w:multiLevelType w:val="multilevel"/>
    <w:tmpl w:val="19508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96107D"/>
    <w:multiLevelType w:val="multilevel"/>
    <w:tmpl w:val="93662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143CCA"/>
    <w:multiLevelType w:val="multilevel"/>
    <w:tmpl w:val="8368BD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807C6F"/>
    <w:multiLevelType w:val="multilevel"/>
    <w:tmpl w:val="E138B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EF2362"/>
    <w:multiLevelType w:val="multilevel"/>
    <w:tmpl w:val="24482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8A1B3C"/>
    <w:multiLevelType w:val="multilevel"/>
    <w:tmpl w:val="0D467C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BA19CD"/>
    <w:multiLevelType w:val="multilevel"/>
    <w:tmpl w:val="F9AA9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D04323"/>
    <w:multiLevelType w:val="multilevel"/>
    <w:tmpl w:val="BFE64A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6A5E3C"/>
    <w:multiLevelType w:val="multilevel"/>
    <w:tmpl w:val="F2E496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2C57FF"/>
    <w:multiLevelType w:val="multilevel"/>
    <w:tmpl w:val="301AE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40F36C4"/>
    <w:multiLevelType w:val="multilevel"/>
    <w:tmpl w:val="6BE23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D252BE"/>
    <w:multiLevelType w:val="multilevel"/>
    <w:tmpl w:val="F304A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B37E2D"/>
    <w:multiLevelType w:val="multilevel"/>
    <w:tmpl w:val="A56A6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6777AF"/>
    <w:multiLevelType w:val="multilevel"/>
    <w:tmpl w:val="815624B8"/>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D72919"/>
    <w:multiLevelType w:val="multilevel"/>
    <w:tmpl w:val="B8CCE7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1"/>
  </w:num>
  <w:num w:numId="3">
    <w:abstractNumId w:val="22"/>
  </w:num>
  <w:num w:numId="4">
    <w:abstractNumId w:val="37"/>
  </w:num>
  <w:num w:numId="5">
    <w:abstractNumId w:val="5"/>
  </w:num>
  <w:num w:numId="6">
    <w:abstractNumId w:val="14"/>
  </w:num>
  <w:num w:numId="7">
    <w:abstractNumId w:val="19"/>
  </w:num>
  <w:num w:numId="8">
    <w:abstractNumId w:val="0"/>
  </w:num>
  <w:num w:numId="9">
    <w:abstractNumId w:val="12"/>
  </w:num>
  <w:num w:numId="10">
    <w:abstractNumId w:val="41"/>
  </w:num>
  <w:num w:numId="11">
    <w:abstractNumId w:val="25"/>
  </w:num>
  <w:num w:numId="12">
    <w:abstractNumId w:val="6"/>
  </w:num>
  <w:num w:numId="13">
    <w:abstractNumId w:val="11"/>
  </w:num>
  <w:num w:numId="14">
    <w:abstractNumId w:val="7"/>
  </w:num>
  <w:num w:numId="15">
    <w:abstractNumId w:val="26"/>
  </w:num>
  <w:num w:numId="16">
    <w:abstractNumId w:val="29"/>
  </w:num>
  <w:num w:numId="17">
    <w:abstractNumId w:val="33"/>
  </w:num>
  <w:num w:numId="18">
    <w:abstractNumId w:val="23"/>
  </w:num>
  <w:num w:numId="19">
    <w:abstractNumId w:val="15"/>
  </w:num>
  <w:num w:numId="20">
    <w:abstractNumId w:val="39"/>
  </w:num>
  <w:num w:numId="21">
    <w:abstractNumId w:val="20"/>
  </w:num>
  <w:num w:numId="22">
    <w:abstractNumId w:val="24"/>
  </w:num>
  <w:num w:numId="23">
    <w:abstractNumId w:val="18"/>
  </w:num>
  <w:num w:numId="24">
    <w:abstractNumId w:val="35"/>
  </w:num>
  <w:num w:numId="25">
    <w:abstractNumId w:val="42"/>
  </w:num>
  <w:num w:numId="26">
    <w:abstractNumId w:val="10"/>
  </w:num>
  <w:num w:numId="27">
    <w:abstractNumId w:val="34"/>
  </w:num>
  <w:num w:numId="28">
    <w:abstractNumId w:val="31"/>
  </w:num>
  <w:num w:numId="29">
    <w:abstractNumId w:val="27"/>
  </w:num>
  <w:num w:numId="30">
    <w:abstractNumId w:val="17"/>
  </w:num>
  <w:num w:numId="31">
    <w:abstractNumId w:val="40"/>
  </w:num>
  <w:num w:numId="32">
    <w:abstractNumId w:val="4"/>
  </w:num>
  <w:num w:numId="33">
    <w:abstractNumId w:val="32"/>
  </w:num>
  <w:num w:numId="34">
    <w:abstractNumId w:val="3"/>
  </w:num>
  <w:num w:numId="35">
    <w:abstractNumId w:val="30"/>
  </w:num>
  <w:num w:numId="36">
    <w:abstractNumId w:val="38"/>
  </w:num>
  <w:num w:numId="37">
    <w:abstractNumId w:val="13"/>
  </w:num>
  <w:num w:numId="38">
    <w:abstractNumId w:val="44"/>
  </w:num>
  <w:num w:numId="39">
    <w:abstractNumId w:val="36"/>
  </w:num>
  <w:num w:numId="40">
    <w:abstractNumId w:val="1"/>
  </w:num>
  <w:num w:numId="41">
    <w:abstractNumId w:val="9"/>
  </w:num>
  <w:num w:numId="42">
    <w:abstractNumId w:val="16"/>
  </w:num>
  <w:num w:numId="43">
    <w:abstractNumId w:val="43"/>
  </w:num>
  <w:num w:numId="44">
    <w:abstractNumId w:val="2"/>
  </w:num>
  <w:num w:numId="45">
    <w:abstractNumId w:val="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105"/>
    <o:shapelayout v:ext="edit">
      <o:idmap v:ext="edit" data="2"/>
      <o:rules v:ext="edit">
        <o:r id="V:Rule30" type="connector" idref="#_x0000_s2093"/>
        <o:r id="V:Rule31" type="connector" idref="#_x0000_s2050"/>
        <o:r id="V:Rule32" type="connector" idref="#_x0000_s2087"/>
        <o:r id="V:Rule33" type="connector" idref="#_x0000_s2072"/>
        <o:r id="V:Rule34" type="connector" idref="#_x0000_s2092"/>
        <o:r id="V:Rule35" type="connector" idref="#_x0000_s2104"/>
        <o:r id="V:Rule36" type="connector" idref="#_x0000_s2074"/>
        <o:r id="V:Rule37" type="connector" idref="#_x0000_s2083"/>
        <o:r id="V:Rule38" type="connector" idref="#_x0000_s2079"/>
        <o:r id="V:Rule39" type="connector" idref="#_x0000_s2078"/>
        <o:r id="V:Rule40" type="connector" idref="#_x0000_s2049"/>
        <o:r id="V:Rule41" type="connector" idref="#_x0000_s2080"/>
        <o:r id="V:Rule42" type="connector" idref="#_x0000_s2096"/>
        <o:r id="V:Rule43" type="connector" idref="#_x0000_s2090"/>
        <o:r id="V:Rule44" type="connector" idref="#_x0000_s2082"/>
        <o:r id="V:Rule45" type="connector" idref="#_x0000_s2088"/>
        <o:r id="V:Rule46" type="connector" idref="#_x0000_s2100"/>
        <o:r id="V:Rule47" type="connector" idref="#_x0000_s2086"/>
        <o:r id="V:Rule48" type="connector" idref="#_x0000_s2084"/>
        <o:r id="V:Rule49" type="connector" idref="#_x0000_s2089"/>
        <o:r id="V:Rule50" type="connector" idref="#_x0000_s2077"/>
        <o:r id="V:Rule51" type="connector" idref="#_x0000_s2098"/>
        <o:r id="V:Rule52" type="connector" idref="#_x0000_s2075"/>
        <o:r id="V:Rule53" type="connector" idref="#_x0000_s2101"/>
        <o:r id="V:Rule54" type="connector" idref="#_x0000_s2091"/>
        <o:r id="V:Rule55" type="connector" idref="#_x0000_s2103"/>
        <o:r id="V:Rule56" type="connector" idref="#_x0000_s2095"/>
        <o:r id="V:Rule57" type="connector" idref="#_x0000_s2076"/>
        <o:r id="V:Rule58" type="connector" idref="#_x0000_s2081"/>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D1D9D"/>
    <w:rsid w:val="000130D2"/>
    <w:rsid w:val="00013164"/>
    <w:rsid w:val="00015C34"/>
    <w:rsid w:val="0003660E"/>
    <w:rsid w:val="00044E10"/>
    <w:rsid w:val="00045E4A"/>
    <w:rsid w:val="000772A0"/>
    <w:rsid w:val="000810C2"/>
    <w:rsid w:val="00082D5E"/>
    <w:rsid w:val="000A3EB5"/>
    <w:rsid w:val="000A4DAE"/>
    <w:rsid w:val="000A71A4"/>
    <w:rsid w:val="000B2174"/>
    <w:rsid w:val="000B522E"/>
    <w:rsid w:val="000C53C4"/>
    <w:rsid w:val="000C7C55"/>
    <w:rsid w:val="000C7FC0"/>
    <w:rsid w:val="000D53BF"/>
    <w:rsid w:val="000E51A3"/>
    <w:rsid w:val="000F0F68"/>
    <w:rsid w:val="000F2A94"/>
    <w:rsid w:val="00104E5B"/>
    <w:rsid w:val="001105AC"/>
    <w:rsid w:val="00112FBA"/>
    <w:rsid w:val="00116687"/>
    <w:rsid w:val="00125EBA"/>
    <w:rsid w:val="0012621B"/>
    <w:rsid w:val="001306F2"/>
    <w:rsid w:val="00130811"/>
    <w:rsid w:val="00141F47"/>
    <w:rsid w:val="0014795A"/>
    <w:rsid w:val="00161AFB"/>
    <w:rsid w:val="001641C7"/>
    <w:rsid w:val="00181324"/>
    <w:rsid w:val="001842E2"/>
    <w:rsid w:val="0018563C"/>
    <w:rsid w:val="001A19E2"/>
    <w:rsid w:val="001A52E0"/>
    <w:rsid w:val="001B3196"/>
    <w:rsid w:val="001B6094"/>
    <w:rsid w:val="001C0C9C"/>
    <w:rsid w:val="001D1849"/>
    <w:rsid w:val="001D3F9E"/>
    <w:rsid w:val="001E3B90"/>
    <w:rsid w:val="001E4528"/>
    <w:rsid w:val="001E4F31"/>
    <w:rsid w:val="001E53E5"/>
    <w:rsid w:val="001E56D9"/>
    <w:rsid w:val="001E77CC"/>
    <w:rsid w:val="001E785B"/>
    <w:rsid w:val="001F2FE3"/>
    <w:rsid w:val="001F5718"/>
    <w:rsid w:val="00202EEC"/>
    <w:rsid w:val="0020306A"/>
    <w:rsid w:val="00205EDE"/>
    <w:rsid w:val="00210DB6"/>
    <w:rsid w:val="00212B10"/>
    <w:rsid w:val="00215D8A"/>
    <w:rsid w:val="00220E4E"/>
    <w:rsid w:val="0023032A"/>
    <w:rsid w:val="00231C6C"/>
    <w:rsid w:val="0023689C"/>
    <w:rsid w:val="00242C80"/>
    <w:rsid w:val="00246373"/>
    <w:rsid w:val="0025650A"/>
    <w:rsid w:val="002600FD"/>
    <w:rsid w:val="00260CB0"/>
    <w:rsid w:val="00265B6E"/>
    <w:rsid w:val="00272F0B"/>
    <w:rsid w:val="0027782D"/>
    <w:rsid w:val="00281372"/>
    <w:rsid w:val="0028530D"/>
    <w:rsid w:val="0028556B"/>
    <w:rsid w:val="002855A4"/>
    <w:rsid w:val="00291F5A"/>
    <w:rsid w:val="00295731"/>
    <w:rsid w:val="002B4B1C"/>
    <w:rsid w:val="002B6374"/>
    <w:rsid w:val="002C747F"/>
    <w:rsid w:val="002D112C"/>
    <w:rsid w:val="002D6EB1"/>
    <w:rsid w:val="002D759F"/>
    <w:rsid w:val="002E1417"/>
    <w:rsid w:val="002E5CBD"/>
    <w:rsid w:val="002F2AE7"/>
    <w:rsid w:val="002F4815"/>
    <w:rsid w:val="003001C8"/>
    <w:rsid w:val="00304025"/>
    <w:rsid w:val="003042EA"/>
    <w:rsid w:val="003049C1"/>
    <w:rsid w:val="0030585A"/>
    <w:rsid w:val="00307CDB"/>
    <w:rsid w:val="00310F46"/>
    <w:rsid w:val="00321621"/>
    <w:rsid w:val="00322B8F"/>
    <w:rsid w:val="00322D98"/>
    <w:rsid w:val="003244D8"/>
    <w:rsid w:val="00324A13"/>
    <w:rsid w:val="00331B3B"/>
    <w:rsid w:val="003325B2"/>
    <w:rsid w:val="003416DA"/>
    <w:rsid w:val="003416FB"/>
    <w:rsid w:val="0034329B"/>
    <w:rsid w:val="00347DAE"/>
    <w:rsid w:val="0035034F"/>
    <w:rsid w:val="00351824"/>
    <w:rsid w:val="00352E99"/>
    <w:rsid w:val="003537AB"/>
    <w:rsid w:val="00353BBA"/>
    <w:rsid w:val="00353F8E"/>
    <w:rsid w:val="00357D0D"/>
    <w:rsid w:val="00362151"/>
    <w:rsid w:val="00362B75"/>
    <w:rsid w:val="003644A2"/>
    <w:rsid w:val="0036638A"/>
    <w:rsid w:val="003738B0"/>
    <w:rsid w:val="00377BC5"/>
    <w:rsid w:val="00385B5E"/>
    <w:rsid w:val="003912EB"/>
    <w:rsid w:val="00394678"/>
    <w:rsid w:val="003A4CC2"/>
    <w:rsid w:val="003A7F9A"/>
    <w:rsid w:val="003C788B"/>
    <w:rsid w:val="003D3A31"/>
    <w:rsid w:val="003D6CA9"/>
    <w:rsid w:val="003E3D44"/>
    <w:rsid w:val="003E4C23"/>
    <w:rsid w:val="003F379E"/>
    <w:rsid w:val="004014D3"/>
    <w:rsid w:val="004050AF"/>
    <w:rsid w:val="004115F7"/>
    <w:rsid w:val="00412419"/>
    <w:rsid w:val="00417EB1"/>
    <w:rsid w:val="00424DCB"/>
    <w:rsid w:val="0043313D"/>
    <w:rsid w:val="004332A3"/>
    <w:rsid w:val="0043355B"/>
    <w:rsid w:val="00434BDE"/>
    <w:rsid w:val="00450AFD"/>
    <w:rsid w:val="004525E4"/>
    <w:rsid w:val="004577A1"/>
    <w:rsid w:val="00462161"/>
    <w:rsid w:val="004637E8"/>
    <w:rsid w:val="00467F9B"/>
    <w:rsid w:val="00472637"/>
    <w:rsid w:val="0047402C"/>
    <w:rsid w:val="00480EAB"/>
    <w:rsid w:val="00487354"/>
    <w:rsid w:val="00492F36"/>
    <w:rsid w:val="00494B36"/>
    <w:rsid w:val="00495D79"/>
    <w:rsid w:val="004A0FA4"/>
    <w:rsid w:val="004A1ED9"/>
    <w:rsid w:val="004B6CEA"/>
    <w:rsid w:val="004B6FC8"/>
    <w:rsid w:val="004C20F4"/>
    <w:rsid w:val="004D1624"/>
    <w:rsid w:val="004D50DF"/>
    <w:rsid w:val="004D586E"/>
    <w:rsid w:val="004D7C92"/>
    <w:rsid w:val="004E10B4"/>
    <w:rsid w:val="004E53E0"/>
    <w:rsid w:val="004F44B9"/>
    <w:rsid w:val="005007DF"/>
    <w:rsid w:val="00503A5C"/>
    <w:rsid w:val="00512E73"/>
    <w:rsid w:val="005142CA"/>
    <w:rsid w:val="00520BB0"/>
    <w:rsid w:val="00524AAA"/>
    <w:rsid w:val="005251DE"/>
    <w:rsid w:val="00526F8B"/>
    <w:rsid w:val="00530322"/>
    <w:rsid w:val="00543413"/>
    <w:rsid w:val="00552830"/>
    <w:rsid w:val="00553ECA"/>
    <w:rsid w:val="00554067"/>
    <w:rsid w:val="00564697"/>
    <w:rsid w:val="005668CE"/>
    <w:rsid w:val="005730D2"/>
    <w:rsid w:val="00574FE7"/>
    <w:rsid w:val="00576E2C"/>
    <w:rsid w:val="005820E4"/>
    <w:rsid w:val="005953FB"/>
    <w:rsid w:val="005A14F4"/>
    <w:rsid w:val="005A1F8C"/>
    <w:rsid w:val="005A7309"/>
    <w:rsid w:val="005A7BC3"/>
    <w:rsid w:val="005A7F8E"/>
    <w:rsid w:val="005B22DF"/>
    <w:rsid w:val="005B5124"/>
    <w:rsid w:val="005B5B3B"/>
    <w:rsid w:val="005C0550"/>
    <w:rsid w:val="005C30E0"/>
    <w:rsid w:val="005C4C3D"/>
    <w:rsid w:val="005C57BC"/>
    <w:rsid w:val="005D0940"/>
    <w:rsid w:val="005D1D9D"/>
    <w:rsid w:val="005D2E8A"/>
    <w:rsid w:val="005E2BBE"/>
    <w:rsid w:val="005E2EF4"/>
    <w:rsid w:val="005E7814"/>
    <w:rsid w:val="005F030F"/>
    <w:rsid w:val="005F0621"/>
    <w:rsid w:val="005F1A5F"/>
    <w:rsid w:val="005F35A8"/>
    <w:rsid w:val="00600643"/>
    <w:rsid w:val="00604659"/>
    <w:rsid w:val="00604D24"/>
    <w:rsid w:val="006327AE"/>
    <w:rsid w:val="00654A8B"/>
    <w:rsid w:val="00656DA7"/>
    <w:rsid w:val="006638A6"/>
    <w:rsid w:val="0066645B"/>
    <w:rsid w:val="00684145"/>
    <w:rsid w:val="00686170"/>
    <w:rsid w:val="00694315"/>
    <w:rsid w:val="00696E80"/>
    <w:rsid w:val="006A4283"/>
    <w:rsid w:val="006A456E"/>
    <w:rsid w:val="006C06D5"/>
    <w:rsid w:val="006C426F"/>
    <w:rsid w:val="006C5B13"/>
    <w:rsid w:val="006D2179"/>
    <w:rsid w:val="006D489B"/>
    <w:rsid w:val="006F0BC6"/>
    <w:rsid w:val="006F102E"/>
    <w:rsid w:val="006F2810"/>
    <w:rsid w:val="006F507D"/>
    <w:rsid w:val="006F532A"/>
    <w:rsid w:val="007008F8"/>
    <w:rsid w:val="00713CC6"/>
    <w:rsid w:val="007148BE"/>
    <w:rsid w:val="00717DF2"/>
    <w:rsid w:val="00724C55"/>
    <w:rsid w:val="00731E27"/>
    <w:rsid w:val="007356E9"/>
    <w:rsid w:val="00735953"/>
    <w:rsid w:val="00737243"/>
    <w:rsid w:val="00741068"/>
    <w:rsid w:val="0074171A"/>
    <w:rsid w:val="007434FC"/>
    <w:rsid w:val="00743CE5"/>
    <w:rsid w:val="00751D30"/>
    <w:rsid w:val="0075264D"/>
    <w:rsid w:val="007728D9"/>
    <w:rsid w:val="00774A36"/>
    <w:rsid w:val="007754A1"/>
    <w:rsid w:val="00775F7E"/>
    <w:rsid w:val="00777552"/>
    <w:rsid w:val="00780D90"/>
    <w:rsid w:val="00784AA0"/>
    <w:rsid w:val="00785434"/>
    <w:rsid w:val="007A0D78"/>
    <w:rsid w:val="007A25BC"/>
    <w:rsid w:val="007B4160"/>
    <w:rsid w:val="007D0577"/>
    <w:rsid w:val="007D07DD"/>
    <w:rsid w:val="007D33E2"/>
    <w:rsid w:val="007D7CF3"/>
    <w:rsid w:val="007E1357"/>
    <w:rsid w:val="007E415B"/>
    <w:rsid w:val="007F00A3"/>
    <w:rsid w:val="007F0F07"/>
    <w:rsid w:val="007F164B"/>
    <w:rsid w:val="007F4142"/>
    <w:rsid w:val="00803446"/>
    <w:rsid w:val="00821F13"/>
    <w:rsid w:val="00831601"/>
    <w:rsid w:val="00832D42"/>
    <w:rsid w:val="00836A23"/>
    <w:rsid w:val="00843A97"/>
    <w:rsid w:val="00844615"/>
    <w:rsid w:val="00861395"/>
    <w:rsid w:val="00865EDB"/>
    <w:rsid w:val="008660AA"/>
    <w:rsid w:val="00866BFA"/>
    <w:rsid w:val="00870B2E"/>
    <w:rsid w:val="00882615"/>
    <w:rsid w:val="008847B1"/>
    <w:rsid w:val="008A0F38"/>
    <w:rsid w:val="008B08E4"/>
    <w:rsid w:val="008C494B"/>
    <w:rsid w:val="008D2003"/>
    <w:rsid w:val="008D4909"/>
    <w:rsid w:val="008E71F5"/>
    <w:rsid w:val="008E7FD1"/>
    <w:rsid w:val="009005A8"/>
    <w:rsid w:val="00903C56"/>
    <w:rsid w:val="009065EC"/>
    <w:rsid w:val="009071A5"/>
    <w:rsid w:val="009253EE"/>
    <w:rsid w:val="00930819"/>
    <w:rsid w:val="00931F91"/>
    <w:rsid w:val="00932043"/>
    <w:rsid w:val="00932CB0"/>
    <w:rsid w:val="00934F2A"/>
    <w:rsid w:val="00936624"/>
    <w:rsid w:val="00936B16"/>
    <w:rsid w:val="00941E42"/>
    <w:rsid w:val="00945B72"/>
    <w:rsid w:val="009466C1"/>
    <w:rsid w:val="009524BE"/>
    <w:rsid w:val="00962089"/>
    <w:rsid w:val="009668DB"/>
    <w:rsid w:val="0097396F"/>
    <w:rsid w:val="0097673E"/>
    <w:rsid w:val="0098056F"/>
    <w:rsid w:val="00981EEE"/>
    <w:rsid w:val="00985325"/>
    <w:rsid w:val="00992F35"/>
    <w:rsid w:val="009946B9"/>
    <w:rsid w:val="00995ADF"/>
    <w:rsid w:val="009B4238"/>
    <w:rsid w:val="009C2BDB"/>
    <w:rsid w:val="009C417A"/>
    <w:rsid w:val="009C497F"/>
    <w:rsid w:val="009C541D"/>
    <w:rsid w:val="009E6291"/>
    <w:rsid w:val="009E72DB"/>
    <w:rsid w:val="009E7E8E"/>
    <w:rsid w:val="009F04DF"/>
    <w:rsid w:val="009F3BD4"/>
    <w:rsid w:val="009F690B"/>
    <w:rsid w:val="00A022B6"/>
    <w:rsid w:val="00A065F5"/>
    <w:rsid w:val="00A07955"/>
    <w:rsid w:val="00A16B51"/>
    <w:rsid w:val="00A207CD"/>
    <w:rsid w:val="00A27AD4"/>
    <w:rsid w:val="00A27EC8"/>
    <w:rsid w:val="00A3425C"/>
    <w:rsid w:val="00A3660D"/>
    <w:rsid w:val="00A46593"/>
    <w:rsid w:val="00A502FB"/>
    <w:rsid w:val="00A5116D"/>
    <w:rsid w:val="00A51590"/>
    <w:rsid w:val="00A51A5A"/>
    <w:rsid w:val="00A617E7"/>
    <w:rsid w:val="00A62EA4"/>
    <w:rsid w:val="00A64AD7"/>
    <w:rsid w:val="00A6769E"/>
    <w:rsid w:val="00A67A89"/>
    <w:rsid w:val="00A703BE"/>
    <w:rsid w:val="00A77095"/>
    <w:rsid w:val="00A778E8"/>
    <w:rsid w:val="00A77A9D"/>
    <w:rsid w:val="00A84AE9"/>
    <w:rsid w:val="00A94308"/>
    <w:rsid w:val="00A95865"/>
    <w:rsid w:val="00A9654C"/>
    <w:rsid w:val="00A969C5"/>
    <w:rsid w:val="00AA5EFE"/>
    <w:rsid w:val="00AB39C5"/>
    <w:rsid w:val="00AB7997"/>
    <w:rsid w:val="00AC6ED1"/>
    <w:rsid w:val="00AD4B8C"/>
    <w:rsid w:val="00AD65F3"/>
    <w:rsid w:val="00AD7726"/>
    <w:rsid w:val="00AE2AA5"/>
    <w:rsid w:val="00AE5C16"/>
    <w:rsid w:val="00AE79CA"/>
    <w:rsid w:val="00AF5007"/>
    <w:rsid w:val="00B0470B"/>
    <w:rsid w:val="00B05F6E"/>
    <w:rsid w:val="00B10B23"/>
    <w:rsid w:val="00B12751"/>
    <w:rsid w:val="00B130D5"/>
    <w:rsid w:val="00B17640"/>
    <w:rsid w:val="00B2224D"/>
    <w:rsid w:val="00B267B2"/>
    <w:rsid w:val="00B27E0B"/>
    <w:rsid w:val="00B30F61"/>
    <w:rsid w:val="00B32A22"/>
    <w:rsid w:val="00B339C6"/>
    <w:rsid w:val="00B35C50"/>
    <w:rsid w:val="00B36D45"/>
    <w:rsid w:val="00B374D1"/>
    <w:rsid w:val="00B6474C"/>
    <w:rsid w:val="00B65DDA"/>
    <w:rsid w:val="00B71599"/>
    <w:rsid w:val="00B8163F"/>
    <w:rsid w:val="00B82873"/>
    <w:rsid w:val="00B87268"/>
    <w:rsid w:val="00B96EA1"/>
    <w:rsid w:val="00BA6523"/>
    <w:rsid w:val="00BA71EF"/>
    <w:rsid w:val="00BC24C1"/>
    <w:rsid w:val="00BD2C6B"/>
    <w:rsid w:val="00BD4E93"/>
    <w:rsid w:val="00BD5023"/>
    <w:rsid w:val="00BD63D6"/>
    <w:rsid w:val="00BF03C0"/>
    <w:rsid w:val="00BF21A6"/>
    <w:rsid w:val="00BF21D8"/>
    <w:rsid w:val="00BF56CD"/>
    <w:rsid w:val="00BF7834"/>
    <w:rsid w:val="00C15D1D"/>
    <w:rsid w:val="00C223F1"/>
    <w:rsid w:val="00C26538"/>
    <w:rsid w:val="00C3150E"/>
    <w:rsid w:val="00C41E6B"/>
    <w:rsid w:val="00C43480"/>
    <w:rsid w:val="00C434CF"/>
    <w:rsid w:val="00C44406"/>
    <w:rsid w:val="00C446D7"/>
    <w:rsid w:val="00C45BA5"/>
    <w:rsid w:val="00C47DC4"/>
    <w:rsid w:val="00C511BC"/>
    <w:rsid w:val="00C54E97"/>
    <w:rsid w:val="00C558B4"/>
    <w:rsid w:val="00C64AB3"/>
    <w:rsid w:val="00C662CF"/>
    <w:rsid w:val="00C727D1"/>
    <w:rsid w:val="00C805AF"/>
    <w:rsid w:val="00C830DC"/>
    <w:rsid w:val="00C84164"/>
    <w:rsid w:val="00C85522"/>
    <w:rsid w:val="00C8703E"/>
    <w:rsid w:val="00C90CC6"/>
    <w:rsid w:val="00C926C5"/>
    <w:rsid w:val="00CB11AB"/>
    <w:rsid w:val="00CB4D34"/>
    <w:rsid w:val="00CB59DB"/>
    <w:rsid w:val="00CC58A1"/>
    <w:rsid w:val="00CC6101"/>
    <w:rsid w:val="00CD2093"/>
    <w:rsid w:val="00CD2B97"/>
    <w:rsid w:val="00CD3728"/>
    <w:rsid w:val="00CD727E"/>
    <w:rsid w:val="00CE6B48"/>
    <w:rsid w:val="00CF01A1"/>
    <w:rsid w:val="00CF154A"/>
    <w:rsid w:val="00CF3F63"/>
    <w:rsid w:val="00CF3FE2"/>
    <w:rsid w:val="00D0203B"/>
    <w:rsid w:val="00D1664F"/>
    <w:rsid w:val="00D16CE5"/>
    <w:rsid w:val="00D1773D"/>
    <w:rsid w:val="00D347D9"/>
    <w:rsid w:val="00D36249"/>
    <w:rsid w:val="00D4362E"/>
    <w:rsid w:val="00D4569F"/>
    <w:rsid w:val="00D52ED1"/>
    <w:rsid w:val="00D54504"/>
    <w:rsid w:val="00D55734"/>
    <w:rsid w:val="00D609A4"/>
    <w:rsid w:val="00D66080"/>
    <w:rsid w:val="00D75387"/>
    <w:rsid w:val="00D850D9"/>
    <w:rsid w:val="00D85107"/>
    <w:rsid w:val="00D90B0C"/>
    <w:rsid w:val="00D926D5"/>
    <w:rsid w:val="00DA2D72"/>
    <w:rsid w:val="00DA6237"/>
    <w:rsid w:val="00DB0C78"/>
    <w:rsid w:val="00DB5213"/>
    <w:rsid w:val="00DC1D26"/>
    <w:rsid w:val="00DD023D"/>
    <w:rsid w:val="00DD3F68"/>
    <w:rsid w:val="00DE3B55"/>
    <w:rsid w:val="00DE696D"/>
    <w:rsid w:val="00DF650C"/>
    <w:rsid w:val="00E003D4"/>
    <w:rsid w:val="00E05285"/>
    <w:rsid w:val="00E14E0A"/>
    <w:rsid w:val="00E224E7"/>
    <w:rsid w:val="00E276FD"/>
    <w:rsid w:val="00E30D4E"/>
    <w:rsid w:val="00E30EAF"/>
    <w:rsid w:val="00E428E7"/>
    <w:rsid w:val="00E432A8"/>
    <w:rsid w:val="00E47503"/>
    <w:rsid w:val="00E512BD"/>
    <w:rsid w:val="00E51497"/>
    <w:rsid w:val="00E51B4D"/>
    <w:rsid w:val="00E529D3"/>
    <w:rsid w:val="00E5514A"/>
    <w:rsid w:val="00E62A97"/>
    <w:rsid w:val="00E6333C"/>
    <w:rsid w:val="00E71300"/>
    <w:rsid w:val="00E843FE"/>
    <w:rsid w:val="00E87D92"/>
    <w:rsid w:val="00E94CCA"/>
    <w:rsid w:val="00E97C71"/>
    <w:rsid w:val="00EA546E"/>
    <w:rsid w:val="00EA7045"/>
    <w:rsid w:val="00EC29BC"/>
    <w:rsid w:val="00EC3C72"/>
    <w:rsid w:val="00EC7080"/>
    <w:rsid w:val="00ED05A3"/>
    <w:rsid w:val="00ED255D"/>
    <w:rsid w:val="00ED2AD4"/>
    <w:rsid w:val="00ED2CF4"/>
    <w:rsid w:val="00EE78F6"/>
    <w:rsid w:val="00EF24F8"/>
    <w:rsid w:val="00EF471D"/>
    <w:rsid w:val="00EF5F72"/>
    <w:rsid w:val="00F01DFA"/>
    <w:rsid w:val="00F05AAD"/>
    <w:rsid w:val="00F07F54"/>
    <w:rsid w:val="00F12AB4"/>
    <w:rsid w:val="00F1691A"/>
    <w:rsid w:val="00F21E90"/>
    <w:rsid w:val="00F21F52"/>
    <w:rsid w:val="00F251BD"/>
    <w:rsid w:val="00F32837"/>
    <w:rsid w:val="00F329BB"/>
    <w:rsid w:val="00F37828"/>
    <w:rsid w:val="00F40C62"/>
    <w:rsid w:val="00F4238E"/>
    <w:rsid w:val="00F6647D"/>
    <w:rsid w:val="00F735EA"/>
    <w:rsid w:val="00F754A1"/>
    <w:rsid w:val="00F77885"/>
    <w:rsid w:val="00F80648"/>
    <w:rsid w:val="00F80D43"/>
    <w:rsid w:val="00F81362"/>
    <w:rsid w:val="00F852E7"/>
    <w:rsid w:val="00F85ED7"/>
    <w:rsid w:val="00F9411C"/>
    <w:rsid w:val="00F94A48"/>
    <w:rsid w:val="00F960B8"/>
    <w:rsid w:val="00F963C8"/>
    <w:rsid w:val="00FA7AE1"/>
    <w:rsid w:val="00FB031A"/>
    <w:rsid w:val="00FE0A43"/>
    <w:rsid w:val="00FE4006"/>
    <w:rsid w:val="00FF1CE8"/>
    <w:rsid w:val="00FF3C6F"/>
    <w:rsid w:val="00FF5E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1"/>
    </o:shapelayout>
  </w:shapeDefaults>
  <w:decimalSymbol w:val="."/>
  <w:listSeparator w:val=","/>
  <w14:docId w14:val="6DD3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10"/>
      <w:sz w:val="41"/>
      <w:szCs w:val="41"/>
      <w:u w:val="none"/>
    </w:rPr>
  </w:style>
  <w:style w:type="character" w:customStyle="1" w:styleId="Bodytext121">
    <w:name w:val="Body text (12)"/>
    <w:basedOn w:val="Bodytext12"/>
    <w:rPr>
      <w:rFonts w:ascii="Times New Roman" w:eastAsia="Times New Roman" w:hAnsi="Times New Roman" w:cs="Times New Roman"/>
      <w:b/>
      <w:bCs/>
      <w:i w:val="0"/>
      <w:iCs w:val="0"/>
      <w:smallCaps w:val="0"/>
      <w:strike w:val="0"/>
      <w:color w:val="000000"/>
      <w:spacing w:val="-10"/>
      <w:w w:val="100"/>
      <w:position w:val="0"/>
      <w:sz w:val="41"/>
      <w:szCs w:val="41"/>
      <w:u w:val="none"/>
      <w:lang w:val="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10"/>
      <w:sz w:val="41"/>
      <w:szCs w:val="41"/>
      <w:u w:val="none"/>
    </w:rPr>
  </w:style>
  <w:style w:type="character" w:customStyle="1" w:styleId="Bodytext2165pt">
    <w:name w:val="Body text (2) + 16.5 pt"/>
    <w:aliases w:val="Spacing 0 pt"/>
    <w:basedOn w:val="Bodytext2"/>
    <w:rPr>
      <w:rFonts w:ascii="Times New Roman" w:eastAsia="Times New Roman" w:hAnsi="Times New Roman" w:cs="Times New Roman"/>
      <w:b/>
      <w:bCs/>
      <w:i w:val="0"/>
      <w:iCs w:val="0"/>
      <w:smallCaps w:val="0"/>
      <w:strike w:val="0"/>
      <w:color w:val="000000"/>
      <w:spacing w:val="0"/>
      <w:w w:val="100"/>
      <w:position w:val="0"/>
      <w:sz w:val="33"/>
      <w:szCs w:val="33"/>
      <w:u w:val="none"/>
      <w:lang w:val="en-US"/>
    </w:rPr>
  </w:style>
  <w:style w:type="character" w:customStyle="1" w:styleId="Bodytext17">
    <w:name w:val="Body text (17)_"/>
    <w:basedOn w:val="DefaultParagraphFont"/>
    <w:link w:val="Bodytext170"/>
    <w:rPr>
      <w:rFonts w:ascii="Times New Roman" w:eastAsia="Times New Roman" w:hAnsi="Times New Roman" w:cs="Times New Roman"/>
      <w:b w:val="0"/>
      <w:bCs w:val="0"/>
      <w:i/>
      <w:iCs/>
      <w:smallCaps w:val="0"/>
      <w:strike w:val="0"/>
      <w:sz w:val="17"/>
      <w:szCs w:val="17"/>
      <w:u w:val="none"/>
    </w:rPr>
  </w:style>
  <w:style w:type="character" w:customStyle="1" w:styleId="Bodytext17165pt">
    <w:name w:val="Body text (17) + 16.5 pt"/>
    <w:aliases w:val="Bold,Not Italic"/>
    <w:basedOn w:val="Bodytext17"/>
    <w:rPr>
      <w:rFonts w:ascii="Times New Roman" w:eastAsia="Times New Roman" w:hAnsi="Times New Roman" w:cs="Times New Roman"/>
      <w:b/>
      <w:bCs/>
      <w:i/>
      <w:iCs/>
      <w:smallCaps w:val="0"/>
      <w:strike w:val="0"/>
      <w:color w:val="000000"/>
      <w:spacing w:val="0"/>
      <w:w w:val="100"/>
      <w:position w:val="0"/>
      <w:sz w:val="33"/>
      <w:szCs w:val="33"/>
      <w:u w:val="none"/>
      <w:lang w:val="en-US"/>
    </w:rPr>
  </w:style>
  <w:style w:type="character" w:customStyle="1" w:styleId="Bodytext17125pt">
    <w:name w:val="Body text (17) + 12.5 pt"/>
    <w:aliases w:val="Bold,Not Italic"/>
    <w:basedOn w:val="Bodytext17"/>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Bodytext17NotItalic">
    <w:name w:val="Body text (17) + Not Italic"/>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7NotItalic0">
    <w:name w:val="Body text (17) + Not Italic"/>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17NotItalic1">
    <w:name w:val="Body text (17) + Not Italic"/>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17125pt0">
    <w:name w:val="Body text (17) + 12.5 pt"/>
    <w:aliases w:val="Not Italic"/>
    <w:basedOn w:val="Bodytext17"/>
    <w:rPr>
      <w:rFonts w:ascii="Times New Roman" w:eastAsia="Times New Roman" w:hAnsi="Times New Roman" w:cs="Times New Roman"/>
      <w:b w:val="0"/>
      <w:bCs w:val="0"/>
      <w:i/>
      <w:iCs/>
      <w:smallCaps w:val="0"/>
      <w:strike w:val="0"/>
      <w:color w:val="000000"/>
      <w:spacing w:val="0"/>
      <w:w w:val="100"/>
      <w:position w:val="0"/>
      <w:sz w:val="25"/>
      <w:szCs w:val="25"/>
      <w:u w:val="none"/>
      <w:lang w:val="en-US"/>
    </w:rPr>
  </w:style>
  <w:style w:type="character" w:customStyle="1" w:styleId="Bodytext17Bold">
    <w:name w:val="Body text (17) + Bold"/>
    <w:aliases w:val="Not Italic"/>
    <w:basedOn w:val="Bodytext17"/>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Bodytext17NotItalic2">
    <w:name w:val="Body text (17) + Not Italic"/>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710pt">
    <w:name w:val="Body text (17) + 10 pt"/>
    <w:aliases w:val="Not Italic"/>
    <w:basedOn w:val="Bodytext17"/>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710pt0">
    <w:name w:val="Body text (17) + 10 pt"/>
    <w:aliases w:val="Bold,Not Italic"/>
    <w:basedOn w:val="Bodytext1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7NotItalic3">
    <w:name w:val="Body text (17) + Not Italic"/>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7125pt1">
    <w:name w:val="Body text (17) + 12.5 pt"/>
    <w:aliases w:val="Bold,Not Italic"/>
    <w:basedOn w:val="Bodytext17"/>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Bodytext17125pt2">
    <w:name w:val="Body text (17) + 12.5 pt"/>
    <w:aliases w:val="Bold,Not Italic"/>
    <w:basedOn w:val="Bodytext17"/>
    <w:rPr>
      <w:rFonts w:ascii="Times New Roman" w:eastAsia="Times New Roman" w:hAnsi="Times New Roman" w:cs="Times New Roman"/>
      <w:b/>
      <w:bCs/>
      <w:i/>
      <w:iCs/>
      <w:smallCaps w:val="0"/>
      <w:strike w:val="0"/>
      <w:color w:val="000000"/>
      <w:spacing w:val="0"/>
      <w:w w:val="100"/>
      <w:position w:val="0"/>
      <w:sz w:val="25"/>
      <w:szCs w:val="25"/>
      <w:u w:val="non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pacing w:val="-10"/>
      <w:sz w:val="41"/>
      <w:szCs w:val="41"/>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Bodytext2165pt0">
    <w:name w:val="Body text (2) + 16.5 pt"/>
    <w:aliases w:val="Spacing 0 pt"/>
    <w:basedOn w:val="Bodytext2"/>
    <w:rPr>
      <w:rFonts w:ascii="Times New Roman" w:eastAsia="Times New Roman" w:hAnsi="Times New Roman" w:cs="Times New Roman"/>
      <w:b/>
      <w:bCs/>
      <w:i w:val="0"/>
      <w:iCs w:val="0"/>
      <w:smallCaps w:val="0"/>
      <w:strike w:val="0"/>
      <w:color w:val="000000"/>
      <w:spacing w:val="0"/>
      <w:w w:val="100"/>
      <w:position w:val="0"/>
      <w:sz w:val="33"/>
      <w:szCs w:val="33"/>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8">
    <w:name w:val="Body text (18)_"/>
    <w:basedOn w:val="DefaultParagraphFont"/>
    <w:link w:val="Bodytext180"/>
    <w:rPr>
      <w:rFonts w:ascii="Times New Roman" w:eastAsia="Times New Roman" w:hAnsi="Times New Roman" w:cs="Times New Roman"/>
      <w:b/>
      <w:bCs/>
      <w:i w:val="0"/>
      <w:iCs w:val="0"/>
      <w:smallCaps w:val="0"/>
      <w:strike w:val="0"/>
      <w:sz w:val="28"/>
      <w:szCs w:val="28"/>
      <w:u w:val="none"/>
    </w:rPr>
  </w:style>
  <w:style w:type="character" w:customStyle="1" w:styleId="Bodytext18NotBold">
    <w:name w:val="Body text (18) + Not Bold"/>
    <w:basedOn w:val="Bodytext18"/>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25"/>
      <w:szCs w:val="25"/>
      <w:u w:val="none"/>
    </w:rPr>
  </w:style>
  <w:style w:type="character" w:customStyle="1" w:styleId="Bodytext14Bold">
    <w:name w:val="Body text (14) + Bold"/>
    <w:basedOn w:val="Bodytext14"/>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171">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8"/>
    <w:rPr>
      <w:rFonts w:ascii="Times New Roman" w:eastAsia="Times New Roman" w:hAnsi="Times New Roman" w:cs="Times New Roman"/>
      <w:b w:val="0"/>
      <w:bCs w:val="0"/>
      <w:i w:val="0"/>
      <w:iCs w:val="0"/>
      <w:smallCaps w:val="0"/>
      <w:strike w:val="0"/>
      <w:sz w:val="20"/>
      <w:szCs w:val="20"/>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4Bold0">
    <w:name w:val="Body text (14) + Bold"/>
    <w:basedOn w:val="Bodytext14"/>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6Bold">
    <w:name w:val="Body text (6) + Bold"/>
    <w:basedOn w:val="Bodytext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72">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Bold2">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6Bold0">
    <w:name w:val="Body text (6) + Bold"/>
    <w:basedOn w:val="Bodytext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25"/>
      <w:szCs w:val="25"/>
      <w:u w:val="none"/>
    </w:rPr>
  </w:style>
  <w:style w:type="character" w:customStyle="1" w:styleId="Heading4Bold">
    <w:name w:val="Heading #4 + Bold"/>
    <w:basedOn w:val="Heading4"/>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173">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16"/>
      <w:szCs w:val="16"/>
      <w:u w:val="none"/>
    </w:rPr>
  </w:style>
  <w:style w:type="character" w:customStyle="1" w:styleId="Bodytext910pt">
    <w:name w:val="Body text (9) + 10 pt"/>
    <w:basedOn w:val="Bodytext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910pt0">
    <w:name w:val="Body text (9) + 10 pt"/>
    <w:basedOn w:val="Bodytext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rPr>
  </w:style>
  <w:style w:type="character" w:customStyle="1" w:styleId="Bodytext910pt1">
    <w:name w:val="Body text (9) + 10 pt"/>
    <w:basedOn w:val="Bodytext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33"/>
      <w:szCs w:val="33"/>
      <w:u w:val="none"/>
    </w:rPr>
  </w:style>
  <w:style w:type="character" w:customStyle="1" w:styleId="Bodytext910pt2">
    <w:name w:val="Body text (9) + 10 pt"/>
    <w:aliases w:val="Bold"/>
    <w:basedOn w:val="Bodytext9"/>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4Bold1">
    <w:name w:val="Body text (14) + Bold"/>
    <w:basedOn w:val="Bodytext14"/>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18"/>
      <w:szCs w:val="1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410pt">
    <w:name w:val="Body text (4) + 10 pt"/>
    <w:aliases w:val="Not Bold"/>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5">
    <w:name w:val="Body text (15)_"/>
    <w:basedOn w:val="DefaultParagraphFont"/>
    <w:link w:val="Bodytext150"/>
    <w:rPr>
      <w:rFonts w:ascii="Times New Roman" w:eastAsia="Times New Roman" w:hAnsi="Times New Roman" w:cs="Times New Roman"/>
      <w:b w:val="0"/>
      <w:bCs w:val="0"/>
      <w:i w:val="0"/>
      <w:iCs w:val="0"/>
      <w:smallCaps w:val="0"/>
      <w:strike w:val="0"/>
      <w:sz w:val="17"/>
      <w:szCs w:val="17"/>
      <w:u w:val="none"/>
    </w:rPr>
  </w:style>
  <w:style w:type="character" w:customStyle="1" w:styleId="Bodytext151">
    <w:name w:val="Body text (15)"/>
    <w:basedOn w:val="Bodytext1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510pt">
    <w:name w:val="Body text (15) + 10 pt"/>
    <w:aliases w:val="Bold"/>
    <w:basedOn w:val="Bodytext15"/>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z w:val="25"/>
      <w:szCs w:val="25"/>
      <w:u w:val="none"/>
    </w:rPr>
  </w:style>
  <w:style w:type="character" w:customStyle="1" w:styleId="Heading32Bold">
    <w:name w:val="Heading #3 (2) + Bold"/>
    <w:basedOn w:val="Heading32"/>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Heading33">
    <w:name w:val="Heading #3 (3)_"/>
    <w:basedOn w:val="DefaultParagraphFont"/>
    <w:link w:val="Heading330"/>
    <w:rPr>
      <w:rFonts w:ascii="Times New Roman" w:eastAsia="Times New Roman" w:hAnsi="Times New Roman" w:cs="Times New Roman"/>
      <w:b/>
      <w:bCs/>
      <w:i w:val="0"/>
      <w:iCs w:val="0"/>
      <w:smallCaps w:val="0"/>
      <w:strike w:val="0"/>
      <w:sz w:val="28"/>
      <w:szCs w:val="28"/>
      <w:u w:val="none"/>
    </w:rPr>
  </w:style>
  <w:style w:type="character" w:customStyle="1" w:styleId="BodyText63">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41">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style>
  <w:style w:type="character" w:customStyle="1" w:styleId="BodytextBold5">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510pt0">
    <w:name w:val="Body text (15) + 10 pt"/>
    <w:aliases w:val="Bold"/>
    <w:basedOn w:val="Bodytext15"/>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510pt1">
    <w:name w:val="Body text (15) + 10 pt"/>
    <w:basedOn w:val="Bodytext1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510pt2">
    <w:name w:val="Body text (15) + 10 pt"/>
    <w:basedOn w:val="Bodytext1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1pt">
    <w:name w:val="Body text + 11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style>
  <w:style w:type="character" w:customStyle="1" w:styleId="BodytextImpact">
    <w:name w:val="Body text + Impact"/>
    <w:aliases w:val="9 pt,Spacing 0 pt"/>
    <w:basedOn w:val="Bodytext"/>
    <w:rPr>
      <w:rFonts w:ascii="Impact" w:eastAsia="Impact" w:hAnsi="Impact" w:cs="Impact"/>
      <w:b w:val="0"/>
      <w:bCs w:val="0"/>
      <w:i w:val="0"/>
      <w:iCs w:val="0"/>
      <w:smallCaps w:val="0"/>
      <w:strike w:val="0"/>
      <w:color w:val="000000"/>
      <w:spacing w:val="10"/>
      <w:w w:val="100"/>
      <w:position w:val="0"/>
      <w:sz w:val="18"/>
      <w:szCs w:val="18"/>
      <w:u w:val="none"/>
    </w:rPr>
  </w:style>
  <w:style w:type="character" w:customStyle="1" w:styleId="Bodytext105pt">
    <w:name w:val="Body text + 10.5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05pt0">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4pt">
    <w:name w:val="Body text + 4 pt"/>
    <w:basedOn w:val="Bodytext"/>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510pt3">
    <w:name w:val="Body text (15) + 10 pt"/>
    <w:basedOn w:val="Bodytext1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rPr>
  </w:style>
  <w:style w:type="character" w:customStyle="1" w:styleId="Heading3313pt">
    <w:name w:val="Heading #3 (3) + 13 pt"/>
    <w:basedOn w:val="Heading33"/>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32Bold0">
    <w:name w:val="Heading #3 (2) + Bold"/>
    <w:basedOn w:val="Heading32"/>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6">
    <w:name w:val="Body text (16)_"/>
    <w:basedOn w:val="DefaultParagraphFont"/>
    <w:link w:val="Bodytext160"/>
    <w:rPr>
      <w:rFonts w:ascii="Times New Roman" w:eastAsia="Times New Roman" w:hAnsi="Times New Roman" w:cs="Times New Roman"/>
      <w:b w:val="0"/>
      <w:bCs w:val="0"/>
      <w:i/>
      <w:iCs/>
      <w:smallCaps w:val="0"/>
      <w:strike w:val="0"/>
      <w:sz w:val="25"/>
      <w:szCs w:val="25"/>
      <w:u w:val="none"/>
    </w:rPr>
  </w:style>
  <w:style w:type="character" w:customStyle="1" w:styleId="Bodytext16Bold">
    <w:name w:val="Body text (16) + Bold"/>
    <w:aliases w:val="Not Italic"/>
    <w:basedOn w:val="Bodytext16"/>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Bodytext16Bold0">
    <w:name w:val="Body text (16) + Bold"/>
    <w:basedOn w:val="Bodytext16"/>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4Bold2">
    <w:name w:val="Body text (14) + Bold"/>
    <w:basedOn w:val="Bodytext14"/>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174">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10pt0">
    <w:name w:val="Body text (4) + 10 pt"/>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410pt1">
    <w:name w:val="Body text (4) + 10 pt"/>
    <w:aliases w:val="Not Bold"/>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410pt2">
    <w:name w:val="Body text (4) + 10 pt"/>
    <w:aliases w:val="Not Bold"/>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00000"/>
      <w:spacing w:val="0"/>
      <w:w w:val="100"/>
      <w:position w:val="0"/>
      <w:sz w:val="33"/>
      <w:szCs w:val="33"/>
      <w:u w:val="none"/>
      <w:lang w:val="en-US"/>
    </w:rPr>
  </w:style>
  <w:style w:type="character" w:customStyle="1" w:styleId="Heading4Bold0">
    <w:name w:val="Heading #4 + Bold"/>
    <w:basedOn w:val="Heading4"/>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iCs/>
      <w:smallCaps w:val="0"/>
      <w:strike w:val="0"/>
      <w:sz w:val="20"/>
      <w:szCs w:val="20"/>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14pt">
    <w:name w:val="Body text (11) + 4 pt"/>
    <w:aliases w:val="Not Italic"/>
    <w:basedOn w:val="Bodytext11"/>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paragraph" w:customStyle="1" w:styleId="Bodytext120">
    <w:name w:val="Body text (12)"/>
    <w:basedOn w:val="Normal"/>
    <w:link w:val="Bodytext12"/>
    <w:pPr>
      <w:spacing w:line="403" w:lineRule="exact"/>
    </w:pPr>
    <w:rPr>
      <w:rFonts w:ascii="Times New Roman" w:eastAsia="Times New Roman" w:hAnsi="Times New Roman" w:cs="Times New Roman"/>
      <w:b/>
      <w:bCs/>
      <w:spacing w:val="-10"/>
      <w:sz w:val="41"/>
      <w:szCs w:val="41"/>
    </w:rPr>
  </w:style>
  <w:style w:type="paragraph" w:customStyle="1" w:styleId="Bodytext20">
    <w:name w:val="Body text (2)"/>
    <w:basedOn w:val="Normal"/>
    <w:link w:val="Bodytext2"/>
    <w:pPr>
      <w:spacing w:line="403" w:lineRule="exact"/>
    </w:pPr>
    <w:rPr>
      <w:rFonts w:ascii="Times New Roman" w:eastAsia="Times New Roman" w:hAnsi="Times New Roman" w:cs="Times New Roman"/>
      <w:b/>
      <w:bCs/>
      <w:spacing w:val="-10"/>
      <w:sz w:val="41"/>
      <w:szCs w:val="41"/>
    </w:rPr>
  </w:style>
  <w:style w:type="paragraph" w:customStyle="1" w:styleId="Bodytext170">
    <w:name w:val="Body text (17)"/>
    <w:basedOn w:val="Normal"/>
    <w:link w:val="Bodytext17"/>
    <w:pPr>
      <w:spacing w:line="211" w:lineRule="exact"/>
      <w:jc w:val="both"/>
    </w:pPr>
    <w:rPr>
      <w:rFonts w:ascii="Times New Roman" w:eastAsia="Times New Roman" w:hAnsi="Times New Roman" w:cs="Times New Roman"/>
      <w:i/>
      <w:iCs/>
      <w:sz w:val="17"/>
      <w:szCs w:val="17"/>
    </w:rPr>
  </w:style>
  <w:style w:type="paragraph" w:customStyle="1" w:styleId="Heading120">
    <w:name w:val="Heading #1 (2)"/>
    <w:basedOn w:val="Normal"/>
    <w:link w:val="Heading12"/>
    <w:pPr>
      <w:spacing w:line="403" w:lineRule="exact"/>
      <w:jc w:val="both"/>
      <w:outlineLvl w:val="0"/>
    </w:pPr>
    <w:rPr>
      <w:rFonts w:ascii="Times New Roman" w:eastAsia="Times New Roman" w:hAnsi="Times New Roman" w:cs="Times New Roman"/>
      <w:b/>
      <w:bCs/>
      <w:spacing w:val="-10"/>
      <w:sz w:val="41"/>
      <w:szCs w:val="41"/>
    </w:rPr>
  </w:style>
  <w:style w:type="paragraph" w:customStyle="1" w:styleId="Bodytext50">
    <w:name w:val="Body text (5)"/>
    <w:basedOn w:val="Normal"/>
    <w:link w:val="Bodytext5"/>
    <w:pPr>
      <w:spacing w:line="0" w:lineRule="atLeast"/>
    </w:pPr>
    <w:rPr>
      <w:rFonts w:ascii="Times New Roman" w:eastAsia="Times New Roman" w:hAnsi="Times New Roman" w:cs="Times New Roman"/>
      <w:b/>
      <w:bCs/>
      <w:sz w:val="26"/>
      <w:szCs w:val="26"/>
    </w:rPr>
  </w:style>
  <w:style w:type="paragraph" w:customStyle="1" w:styleId="Bodytext60">
    <w:name w:val="Body text (6)"/>
    <w:basedOn w:val="Normal"/>
    <w:link w:val="Bodytext6"/>
    <w:pPr>
      <w:spacing w:line="552" w:lineRule="exact"/>
      <w:jc w:val="both"/>
    </w:pPr>
    <w:rPr>
      <w:rFonts w:ascii="Times New Roman" w:eastAsia="Times New Roman" w:hAnsi="Times New Roman" w:cs="Times New Roman"/>
      <w:i/>
      <w:iCs/>
      <w:sz w:val="20"/>
      <w:szCs w:val="20"/>
    </w:rPr>
  </w:style>
  <w:style w:type="paragraph" w:customStyle="1" w:styleId="Bodytext180">
    <w:name w:val="Body text (18)"/>
    <w:basedOn w:val="Normal"/>
    <w:link w:val="Bodytext18"/>
    <w:pPr>
      <w:spacing w:line="552" w:lineRule="exact"/>
    </w:pPr>
    <w:rPr>
      <w:rFonts w:ascii="Times New Roman" w:eastAsia="Times New Roman" w:hAnsi="Times New Roman" w:cs="Times New Roman"/>
      <w:b/>
      <w:bCs/>
      <w:sz w:val="28"/>
      <w:szCs w:val="28"/>
    </w:rPr>
  </w:style>
  <w:style w:type="paragraph" w:customStyle="1" w:styleId="Bodytext140">
    <w:name w:val="Body text (14)"/>
    <w:basedOn w:val="Normal"/>
    <w:link w:val="Bodytext14"/>
    <w:pPr>
      <w:spacing w:line="0" w:lineRule="atLeast"/>
      <w:ind w:hanging="1160"/>
      <w:jc w:val="both"/>
    </w:pPr>
    <w:rPr>
      <w:rFonts w:ascii="Times New Roman" w:eastAsia="Times New Roman" w:hAnsi="Times New Roman" w:cs="Times New Roman"/>
      <w:sz w:val="25"/>
      <w:szCs w:val="25"/>
    </w:rPr>
  </w:style>
  <w:style w:type="paragraph" w:customStyle="1" w:styleId="BodyText8">
    <w:name w:val="Body Text8"/>
    <w:basedOn w:val="Normal"/>
    <w:link w:val="Bodytext"/>
    <w:pPr>
      <w:spacing w:line="245" w:lineRule="exact"/>
      <w:ind w:hanging="500"/>
      <w:jc w:val="both"/>
    </w:pPr>
    <w:rPr>
      <w:rFonts w:ascii="Times New Roman" w:eastAsia="Times New Roman" w:hAnsi="Times New Roman" w:cs="Times New Roman"/>
      <w:sz w:val="20"/>
      <w:szCs w:val="20"/>
    </w:rPr>
  </w:style>
  <w:style w:type="paragraph" w:customStyle="1" w:styleId="Heading40">
    <w:name w:val="Heading #4"/>
    <w:basedOn w:val="Normal"/>
    <w:link w:val="Heading4"/>
    <w:pPr>
      <w:spacing w:line="0" w:lineRule="atLeast"/>
      <w:jc w:val="both"/>
      <w:outlineLvl w:val="3"/>
    </w:pPr>
    <w:rPr>
      <w:rFonts w:ascii="Times New Roman" w:eastAsia="Times New Roman" w:hAnsi="Times New Roman" w:cs="Times New Roman"/>
      <w:sz w:val="25"/>
      <w:szCs w:val="25"/>
    </w:rPr>
  </w:style>
  <w:style w:type="paragraph" w:customStyle="1" w:styleId="Bodytext90">
    <w:name w:val="Body text (9)"/>
    <w:basedOn w:val="Normal"/>
    <w:link w:val="Bodytext9"/>
    <w:pPr>
      <w:spacing w:line="0" w:lineRule="atLeast"/>
      <w:ind w:hanging="460"/>
      <w:jc w:val="both"/>
    </w:pPr>
    <w:rPr>
      <w:rFonts w:ascii="Times New Roman" w:eastAsia="Times New Roman" w:hAnsi="Times New Roman" w:cs="Times New Roman"/>
      <w:sz w:val="16"/>
      <w:szCs w:val="16"/>
    </w:rPr>
  </w:style>
  <w:style w:type="paragraph" w:customStyle="1" w:styleId="Heading220">
    <w:name w:val="Heading #2 (2)"/>
    <w:basedOn w:val="Normal"/>
    <w:link w:val="Heading22"/>
    <w:pPr>
      <w:spacing w:line="0" w:lineRule="atLeast"/>
      <w:jc w:val="both"/>
      <w:outlineLvl w:val="1"/>
    </w:pPr>
    <w:rPr>
      <w:rFonts w:ascii="Times New Roman" w:eastAsia="Times New Roman" w:hAnsi="Times New Roman" w:cs="Times New Roman"/>
      <w:b/>
      <w:bCs/>
      <w:sz w:val="33"/>
      <w:szCs w:val="33"/>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sz w:val="18"/>
      <w:szCs w:val="18"/>
    </w:rPr>
  </w:style>
  <w:style w:type="paragraph" w:customStyle="1" w:styleId="Bodytext150">
    <w:name w:val="Body text (15)"/>
    <w:basedOn w:val="Normal"/>
    <w:link w:val="Bodytext15"/>
    <w:pPr>
      <w:spacing w:line="0" w:lineRule="atLeast"/>
      <w:ind w:hanging="460"/>
      <w:jc w:val="right"/>
    </w:pPr>
    <w:rPr>
      <w:rFonts w:ascii="Times New Roman" w:eastAsia="Times New Roman" w:hAnsi="Times New Roman" w:cs="Times New Roman"/>
      <w:sz w:val="17"/>
      <w:szCs w:val="17"/>
    </w:rPr>
  </w:style>
  <w:style w:type="paragraph" w:customStyle="1" w:styleId="Heading320">
    <w:name w:val="Heading #3 (2)"/>
    <w:basedOn w:val="Normal"/>
    <w:link w:val="Heading32"/>
    <w:pPr>
      <w:spacing w:line="0" w:lineRule="atLeast"/>
      <w:ind w:hanging="500"/>
      <w:jc w:val="both"/>
      <w:outlineLvl w:val="2"/>
    </w:pPr>
    <w:rPr>
      <w:rFonts w:ascii="Times New Roman" w:eastAsia="Times New Roman" w:hAnsi="Times New Roman" w:cs="Times New Roman"/>
      <w:sz w:val="25"/>
      <w:szCs w:val="25"/>
    </w:rPr>
  </w:style>
  <w:style w:type="paragraph" w:customStyle="1" w:styleId="Heading330">
    <w:name w:val="Heading #3 (3)"/>
    <w:basedOn w:val="Normal"/>
    <w:link w:val="Heading33"/>
    <w:pPr>
      <w:spacing w:line="302" w:lineRule="exact"/>
      <w:ind w:hanging="1180"/>
      <w:outlineLvl w:val="2"/>
    </w:pPr>
    <w:rPr>
      <w:rFonts w:ascii="Times New Roman" w:eastAsia="Times New Roman" w:hAnsi="Times New Roman" w:cs="Times New Roman"/>
      <w:b/>
      <w:bCs/>
      <w:sz w:val="28"/>
      <w:szCs w:val="28"/>
    </w:rPr>
  </w:style>
  <w:style w:type="paragraph" w:customStyle="1" w:styleId="Bodytext160">
    <w:name w:val="Body text (16)"/>
    <w:basedOn w:val="Normal"/>
    <w:link w:val="Bodytext16"/>
    <w:pPr>
      <w:spacing w:line="0" w:lineRule="atLeast"/>
      <w:jc w:val="both"/>
    </w:pPr>
    <w:rPr>
      <w:rFonts w:ascii="Times New Roman" w:eastAsia="Times New Roman" w:hAnsi="Times New Roman" w:cs="Times New Roman"/>
      <w:i/>
      <w:iCs/>
      <w:sz w:val="25"/>
      <w:szCs w:val="25"/>
    </w:rPr>
  </w:style>
  <w:style w:type="paragraph" w:customStyle="1" w:styleId="Bodytext110">
    <w:name w:val="Body text (11)"/>
    <w:basedOn w:val="Normal"/>
    <w:link w:val="Bodytext11"/>
    <w:pPr>
      <w:spacing w:line="278" w:lineRule="exact"/>
      <w:ind w:hanging="680"/>
    </w:pPr>
    <w:rPr>
      <w:rFonts w:ascii="Times New Roman" w:eastAsia="Times New Roman" w:hAnsi="Times New Roman" w:cs="Times New Roman"/>
      <w:i/>
      <w:iCs/>
      <w:sz w:val="20"/>
      <w:szCs w:val="20"/>
    </w:rPr>
  </w:style>
  <w:style w:type="paragraph" w:styleId="Header">
    <w:name w:val="header"/>
    <w:basedOn w:val="Normal"/>
    <w:link w:val="HeaderChar"/>
    <w:uiPriority w:val="99"/>
    <w:unhideWhenUsed/>
    <w:rsid w:val="00803446"/>
    <w:pPr>
      <w:tabs>
        <w:tab w:val="center" w:pos="4513"/>
        <w:tab w:val="right" w:pos="9026"/>
      </w:tabs>
    </w:pPr>
  </w:style>
  <w:style w:type="character" w:customStyle="1" w:styleId="HeaderChar">
    <w:name w:val="Header Char"/>
    <w:basedOn w:val="DefaultParagraphFont"/>
    <w:link w:val="Header"/>
    <w:uiPriority w:val="99"/>
    <w:rsid w:val="00803446"/>
    <w:rPr>
      <w:color w:val="000000"/>
    </w:rPr>
  </w:style>
  <w:style w:type="paragraph" w:styleId="Footer">
    <w:name w:val="footer"/>
    <w:basedOn w:val="Normal"/>
    <w:link w:val="FooterChar"/>
    <w:uiPriority w:val="99"/>
    <w:unhideWhenUsed/>
    <w:rsid w:val="00803446"/>
    <w:pPr>
      <w:tabs>
        <w:tab w:val="center" w:pos="4513"/>
        <w:tab w:val="right" w:pos="9026"/>
      </w:tabs>
    </w:pPr>
  </w:style>
  <w:style w:type="character" w:customStyle="1" w:styleId="FooterChar">
    <w:name w:val="Footer Char"/>
    <w:basedOn w:val="DefaultParagraphFont"/>
    <w:link w:val="Footer"/>
    <w:uiPriority w:val="99"/>
    <w:rsid w:val="00803446"/>
    <w:rPr>
      <w:color w:val="000000"/>
    </w:rPr>
  </w:style>
  <w:style w:type="character" w:styleId="CommentReference">
    <w:name w:val="annotation reference"/>
    <w:basedOn w:val="DefaultParagraphFont"/>
    <w:uiPriority w:val="99"/>
    <w:semiHidden/>
    <w:unhideWhenUsed/>
    <w:rsid w:val="00F21F52"/>
    <w:rPr>
      <w:sz w:val="16"/>
      <w:szCs w:val="16"/>
    </w:rPr>
  </w:style>
  <w:style w:type="paragraph" w:styleId="CommentText">
    <w:name w:val="annotation text"/>
    <w:basedOn w:val="Normal"/>
    <w:link w:val="CommentTextChar"/>
    <w:uiPriority w:val="99"/>
    <w:semiHidden/>
    <w:unhideWhenUsed/>
    <w:rsid w:val="00F21F52"/>
    <w:rPr>
      <w:sz w:val="20"/>
      <w:szCs w:val="20"/>
    </w:rPr>
  </w:style>
  <w:style w:type="character" w:customStyle="1" w:styleId="CommentTextChar">
    <w:name w:val="Comment Text Char"/>
    <w:basedOn w:val="DefaultParagraphFont"/>
    <w:link w:val="CommentText"/>
    <w:uiPriority w:val="99"/>
    <w:semiHidden/>
    <w:rsid w:val="00F21F52"/>
    <w:rPr>
      <w:color w:val="000000"/>
      <w:sz w:val="20"/>
      <w:szCs w:val="20"/>
    </w:rPr>
  </w:style>
  <w:style w:type="paragraph" w:styleId="CommentSubject">
    <w:name w:val="annotation subject"/>
    <w:basedOn w:val="CommentText"/>
    <w:next w:val="CommentText"/>
    <w:link w:val="CommentSubjectChar"/>
    <w:uiPriority w:val="99"/>
    <w:semiHidden/>
    <w:unhideWhenUsed/>
    <w:rsid w:val="00F21F52"/>
    <w:rPr>
      <w:b/>
      <w:bCs/>
    </w:rPr>
  </w:style>
  <w:style w:type="character" w:customStyle="1" w:styleId="CommentSubjectChar">
    <w:name w:val="Comment Subject Char"/>
    <w:basedOn w:val="CommentTextChar"/>
    <w:link w:val="CommentSubject"/>
    <w:uiPriority w:val="99"/>
    <w:semiHidden/>
    <w:rsid w:val="00F21F52"/>
    <w:rPr>
      <w:b/>
      <w:bCs/>
      <w:color w:val="000000"/>
      <w:sz w:val="20"/>
      <w:szCs w:val="20"/>
    </w:rPr>
  </w:style>
  <w:style w:type="paragraph" w:styleId="BalloonText">
    <w:name w:val="Balloon Text"/>
    <w:basedOn w:val="Normal"/>
    <w:link w:val="BalloonTextChar"/>
    <w:uiPriority w:val="99"/>
    <w:semiHidden/>
    <w:unhideWhenUsed/>
    <w:rsid w:val="00F21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52"/>
    <w:rPr>
      <w:rFonts w:ascii="Segoe UI" w:hAnsi="Segoe UI" w:cs="Segoe UI"/>
      <w:color w:val="000000"/>
      <w:sz w:val="18"/>
      <w:szCs w:val="18"/>
    </w:rPr>
  </w:style>
  <w:style w:type="paragraph" w:styleId="Revision">
    <w:name w:val="Revision"/>
    <w:hidden/>
    <w:uiPriority w:val="99"/>
    <w:semiHidden/>
    <w:rsid w:val="00D0203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1.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eader" Target="header13.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header" Target="header2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fontTable" Target="fontTable.xml"/><Relationship Id="rId8" Type="http://schemas.openxmlformats.org/officeDocument/2006/relationships/endnotes" Target="endnotes.xml"/><Relationship Id="rId51"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2844-E774-4DCC-BDD0-C3F24482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2019-10-05T03:07:00Z</dcterms:created>
  <dcterms:modified xsi:type="dcterms:W3CDTF">2019-11-19T04:20:00Z</dcterms:modified>
</cp:coreProperties>
</file>