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36F3" w14:textId="2C830F14" w:rsidR="00C33D8B" w:rsidRPr="00B3479A" w:rsidRDefault="006E4C8D" w:rsidP="00B3479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7924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7pt;height:82.5pt">
            <v:imagedata r:id="rId8" o:title=""/>
          </v:shape>
        </w:pict>
      </w:r>
    </w:p>
    <w:p w14:paraId="4729D262" w14:textId="77777777" w:rsidR="00D42241" w:rsidRPr="00B3479A" w:rsidRDefault="002D192E" w:rsidP="00B3479A">
      <w:pPr>
        <w:pStyle w:val="Bodytext20"/>
        <w:spacing w:before="960" w:line="240" w:lineRule="auto"/>
        <w:jc w:val="both"/>
        <w:rPr>
          <w:rStyle w:val="Bodytext21"/>
          <w:b/>
          <w:bCs/>
          <w:sz w:val="36"/>
          <w:szCs w:val="36"/>
        </w:rPr>
      </w:pPr>
      <w:r w:rsidRPr="00B3479A">
        <w:rPr>
          <w:rStyle w:val="Bodytext21"/>
          <w:b/>
          <w:bCs/>
          <w:sz w:val="36"/>
          <w:szCs w:val="36"/>
        </w:rPr>
        <w:t>Excise Tariff Amendment Act 1996</w:t>
      </w:r>
      <w:bookmarkStart w:id="0" w:name="_GoBack"/>
      <w:bookmarkEnd w:id="0"/>
    </w:p>
    <w:p w14:paraId="2A78C5BB" w14:textId="77777777" w:rsidR="00C33D8B" w:rsidRPr="006E4C8D" w:rsidRDefault="002D192E" w:rsidP="00B3479A">
      <w:pPr>
        <w:pStyle w:val="Bodytext20"/>
        <w:spacing w:before="960" w:line="240" w:lineRule="auto"/>
        <w:jc w:val="both"/>
        <w:rPr>
          <w:b w:val="0"/>
          <w:sz w:val="36"/>
          <w:szCs w:val="36"/>
        </w:rPr>
      </w:pPr>
      <w:r w:rsidRPr="006E4C8D">
        <w:rPr>
          <w:rStyle w:val="Bodytext21"/>
          <w:b/>
          <w:bCs/>
          <w:sz w:val="36"/>
          <w:szCs w:val="36"/>
        </w:rPr>
        <w:t>No. 5,</w:t>
      </w:r>
      <w:r w:rsidR="00D42241" w:rsidRPr="006E4C8D">
        <w:rPr>
          <w:rStyle w:val="Bodytext21"/>
          <w:b/>
          <w:bCs/>
          <w:sz w:val="36"/>
          <w:szCs w:val="36"/>
        </w:rPr>
        <w:t xml:space="preserve"> </w:t>
      </w:r>
      <w:r w:rsidRPr="006E4C8D">
        <w:rPr>
          <w:rStyle w:val="Bodytext21"/>
          <w:b/>
          <w:bCs/>
          <w:sz w:val="36"/>
          <w:szCs w:val="36"/>
        </w:rPr>
        <w:t>1996</w:t>
      </w:r>
    </w:p>
    <w:p w14:paraId="76465F63" w14:textId="77777777" w:rsidR="0078791C" w:rsidRPr="00B3479A" w:rsidRDefault="002D192E" w:rsidP="00B3479A">
      <w:pPr>
        <w:pStyle w:val="Bodytext30"/>
        <w:spacing w:before="960" w:line="240" w:lineRule="auto"/>
        <w:jc w:val="both"/>
        <w:rPr>
          <w:b w:val="0"/>
          <w:sz w:val="28"/>
          <w:szCs w:val="28"/>
        </w:rPr>
      </w:pPr>
      <w:r w:rsidRPr="00B3479A">
        <w:rPr>
          <w:rStyle w:val="Bodytext3NotItalic"/>
          <w:b/>
          <w:bCs/>
          <w:sz w:val="28"/>
          <w:szCs w:val="28"/>
        </w:rPr>
        <w:t xml:space="preserve">An Act to amend the </w:t>
      </w:r>
      <w:r w:rsidRPr="00B3479A">
        <w:rPr>
          <w:sz w:val="28"/>
          <w:szCs w:val="28"/>
        </w:rPr>
        <w:t>Excise Tariff Act 1921</w:t>
      </w:r>
    </w:p>
    <w:p w14:paraId="04C64B9C" w14:textId="77777777" w:rsidR="0078791C" w:rsidRPr="00B3479A" w:rsidRDefault="0078791C" w:rsidP="00B3479A">
      <w:pPr>
        <w:pStyle w:val="Bodytext30"/>
        <w:spacing w:line="240" w:lineRule="auto"/>
        <w:jc w:val="both"/>
        <w:rPr>
          <w:b w:val="0"/>
          <w:sz w:val="22"/>
          <w:szCs w:val="22"/>
        </w:rPr>
      </w:pPr>
    </w:p>
    <w:p w14:paraId="464F4FDA" w14:textId="77777777" w:rsidR="00697CF5" w:rsidRPr="00B3479A" w:rsidRDefault="00697CF5" w:rsidP="00B3479A">
      <w:pPr>
        <w:pStyle w:val="Bodytext30"/>
        <w:spacing w:line="240" w:lineRule="auto"/>
        <w:jc w:val="both"/>
        <w:rPr>
          <w:b w:val="0"/>
          <w:sz w:val="22"/>
          <w:szCs w:val="22"/>
        </w:rPr>
        <w:sectPr w:rsidR="00697CF5" w:rsidRPr="00B3479A" w:rsidSect="009C322B">
          <w:footerReference w:type="even" r:id="rId9"/>
          <w:footerReference w:type="default" r:id="rId10"/>
          <w:pgSz w:w="12240" w:h="15840" w:code="1"/>
          <w:pgMar w:top="1440" w:right="1440" w:bottom="1440" w:left="1440" w:header="0" w:footer="720" w:gutter="0"/>
          <w:cols w:space="720"/>
          <w:noEndnote/>
          <w:titlePg/>
          <w:docGrid w:linePitch="360"/>
        </w:sect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450"/>
        <w:gridCol w:w="7116"/>
        <w:gridCol w:w="274"/>
      </w:tblGrid>
      <w:tr w:rsidR="00C62938" w:rsidRPr="00B3479A" w14:paraId="5C65A123" w14:textId="77777777" w:rsidTr="00C62938">
        <w:trPr>
          <w:trHeight w:val="360"/>
        </w:trPr>
        <w:tc>
          <w:tcPr>
            <w:tcW w:w="821" w:type="pct"/>
            <w:vAlign w:val="bottom"/>
          </w:tcPr>
          <w:p w14:paraId="6BB7302A" w14:textId="77777777" w:rsidR="00C62938" w:rsidRPr="00B3479A" w:rsidRDefault="00C62938" w:rsidP="00B3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8D">
              <w:rPr>
                <w:rStyle w:val="Bodytext115pt"/>
                <w:rFonts w:eastAsia="Courier New"/>
                <w:b w:val="0"/>
                <w:sz w:val="28"/>
                <w:szCs w:val="28"/>
              </w:rPr>
              <w:lastRenderedPageBreak/>
              <w:t>Contents</w:t>
            </w:r>
          </w:p>
        </w:tc>
        <w:tc>
          <w:tcPr>
            <w:tcW w:w="240" w:type="pct"/>
          </w:tcPr>
          <w:p w14:paraId="6DBFB085" w14:textId="77777777" w:rsidR="00C62938" w:rsidRPr="00B3479A" w:rsidRDefault="00C62938" w:rsidP="00B3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pct"/>
            <w:vAlign w:val="bottom"/>
          </w:tcPr>
          <w:p w14:paraId="6DE3C27E" w14:textId="77777777" w:rsidR="00C62938" w:rsidRPr="00B3479A" w:rsidRDefault="00C62938" w:rsidP="00B3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" w:type="pct"/>
            <w:vAlign w:val="bottom"/>
          </w:tcPr>
          <w:p w14:paraId="55A9566E" w14:textId="77777777" w:rsidR="00C62938" w:rsidRPr="00B3479A" w:rsidRDefault="00C62938" w:rsidP="00B3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938" w:rsidRPr="006E4C8D" w14:paraId="5960DB23" w14:textId="77777777" w:rsidTr="00C62938">
        <w:trPr>
          <w:trHeight w:val="317"/>
        </w:trPr>
        <w:tc>
          <w:tcPr>
            <w:tcW w:w="821" w:type="pct"/>
            <w:vAlign w:val="bottom"/>
          </w:tcPr>
          <w:p w14:paraId="41E39A20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  <w:jc w:val="right"/>
            </w:pPr>
            <w:r w:rsidRPr="006E4C8D">
              <w:rPr>
                <w:rStyle w:val="BodytextCandara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" w:type="pct"/>
          </w:tcPr>
          <w:p w14:paraId="539C925E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  <w:rPr>
                <w:rStyle w:val="Bodytext8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38A80AB2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</w:pPr>
            <w:r w:rsidRPr="006E4C8D">
              <w:rPr>
                <w:rStyle w:val="Bodytext8pt"/>
                <w:sz w:val="20"/>
                <w:szCs w:val="20"/>
              </w:rPr>
              <w:t>Short title</w:t>
            </w:r>
            <w:r w:rsidRPr="006E4C8D">
              <w:rPr>
                <w:rStyle w:val="Bodytext8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21AF33BF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</w:pPr>
            <w:r w:rsidRPr="006E4C8D">
              <w:rPr>
                <w:rStyle w:val="Bodytext115pt"/>
                <w:b w:val="0"/>
                <w:sz w:val="20"/>
                <w:szCs w:val="20"/>
              </w:rPr>
              <w:t>1</w:t>
            </w:r>
          </w:p>
        </w:tc>
      </w:tr>
      <w:tr w:rsidR="00C62938" w:rsidRPr="006E4C8D" w14:paraId="189137CC" w14:textId="77777777" w:rsidTr="00C62938">
        <w:trPr>
          <w:trHeight w:val="317"/>
        </w:trPr>
        <w:tc>
          <w:tcPr>
            <w:tcW w:w="821" w:type="pct"/>
            <w:vAlign w:val="bottom"/>
          </w:tcPr>
          <w:p w14:paraId="73C3A2C1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  <w:jc w:val="right"/>
            </w:pPr>
            <w:r w:rsidRPr="006E4C8D">
              <w:rPr>
                <w:rStyle w:val="Bodytext115pt"/>
                <w:b w:val="0"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14:paraId="3347CC89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  <w:rPr>
                <w:rStyle w:val="Bodytext8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647E7883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</w:pPr>
            <w:r w:rsidRPr="006E4C8D">
              <w:rPr>
                <w:rStyle w:val="Bodytext8pt"/>
                <w:sz w:val="20"/>
                <w:szCs w:val="20"/>
              </w:rPr>
              <w:t>Commencement</w:t>
            </w:r>
            <w:r w:rsidRPr="006E4C8D">
              <w:rPr>
                <w:rStyle w:val="Bodytext8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62E22423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</w:pPr>
            <w:r w:rsidRPr="006E4C8D">
              <w:rPr>
                <w:rStyle w:val="Bodytext115pt"/>
                <w:b w:val="0"/>
                <w:sz w:val="20"/>
                <w:szCs w:val="20"/>
              </w:rPr>
              <w:t>1</w:t>
            </w:r>
          </w:p>
        </w:tc>
      </w:tr>
      <w:tr w:rsidR="00C62938" w:rsidRPr="006E4C8D" w14:paraId="7AEF702B" w14:textId="77777777" w:rsidTr="00C62938">
        <w:trPr>
          <w:trHeight w:val="317"/>
        </w:trPr>
        <w:tc>
          <w:tcPr>
            <w:tcW w:w="821" w:type="pct"/>
            <w:vAlign w:val="bottom"/>
          </w:tcPr>
          <w:p w14:paraId="161641DD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  <w:jc w:val="right"/>
            </w:pPr>
            <w:r w:rsidRPr="006E4C8D">
              <w:rPr>
                <w:rStyle w:val="Bodytext8pt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6EE969F7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  <w:rPr>
                <w:rStyle w:val="Bodytext8pt"/>
                <w:sz w:val="20"/>
                <w:szCs w:val="20"/>
              </w:rPr>
            </w:pPr>
          </w:p>
        </w:tc>
        <w:tc>
          <w:tcPr>
            <w:tcW w:w="3793" w:type="pct"/>
            <w:vAlign w:val="bottom"/>
          </w:tcPr>
          <w:p w14:paraId="0B9308CB" w14:textId="77777777" w:rsidR="00C62938" w:rsidRPr="006E4C8D" w:rsidRDefault="00C62938" w:rsidP="00B3479A">
            <w:pPr>
              <w:pStyle w:val="BodyText1"/>
              <w:tabs>
                <w:tab w:val="left" w:leader="dot" w:pos="7460"/>
              </w:tabs>
              <w:spacing w:line="240" w:lineRule="auto"/>
              <w:ind w:firstLine="0"/>
            </w:pPr>
            <w:r w:rsidRPr="006E4C8D">
              <w:rPr>
                <w:rStyle w:val="Bodytext8pt"/>
                <w:sz w:val="20"/>
                <w:szCs w:val="20"/>
              </w:rPr>
              <w:t>Schedule(s)</w:t>
            </w:r>
            <w:r w:rsidRPr="006E4C8D">
              <w:rPr>
                <w:rStyle w:val="Bodytext8pt"/>
                <w:sz w:val="20"/>
                <w:szCs w:val="20"/>
              </w:rPr>
              <w:tab/>
            </w:r>
          </w:p>
        </w:tc>
        <w:tc>
          <w:tcPr>
            <w:tcW w:w="146" w:type="pct"/>
            <w:vAlign w:val="bottom"/>
          </w:tcPr>
          <w:p w14:paraId="22C50221" w14:textId="77777777" w:rsidR="00C62938" w:rsidRPr="006E4C8D" w:rsidRDefault="00C62938" w:rsidP="00B3479A">
            <w:pPr>
              <w:pStyle w:val="BodyText1"/>
              <w:spacing w:line="240" w:lineRule="auto"/>
              <w:ind w:right="144" w:firstLine="0"/>
            </w:pPr>
            <w:r w:rsidRPr="006E4C8D">
              <w:rPr>
                <w:rStyle w:val="Bodytext115pt"/>
                <w:b w:val="0"/>
                <w:sz w:val="20"/>
                <w:szCs w:val="20"/>
              </w:rPr>
              <w:t>2</w:t>
            </w:r>
          </w:p>
        </w:tc>
      </w:tr>
      <w:tr w:rsidR="00C62938" w:rsidRPr="00B3479A" w14:paraId="6200CE03" w14:textId="77777777" w:rsidTr="00C62938">
        <w:trPr>
          <w:trHeight w:val="360"/>
        </w:trPr>
        <w:tc>
          <w:tcPr>
            <w:tcW w:w="4854" w:type="pct"/>
            <w:gridSpan w:val="3"/>
          </w:tcPr>
          <w:p w14:paraId="4EAF2D10" w14:textId="77777777" w:rsidR="00C62938" w:rsidRPr="00B3479A" w:rsidRDefault="00C62938" w:rsidP="00B3479A">
            <w:pPr>
              <w:pStyle w:val="BodyText1"/>
              <w:spacing w:before="120" w:line="240" w:lineRule="auto"/>
              <w:ind w:firstLine="0"/>
              <w:rPr>
                <w:sz w:val="22"/>
                <w:szCs w:val="22"/>
              </w:rPr>
            </w:pPr>
            <w:r w:rsidRPr="00B3479A">
              <w:rPr>
                <w:rStyle w:val="Bodytext115pt0"/>
                <w:sz w:val="22"/>
                <w:szCs w:val="22"/>
              </w:rPr>
              <w:t xml:space="preserve">Schedule </w:t>
            </w:r>
            <w:r w:rsidRPr="00B3479A">
              <w:rPr>
                <w:rStyle w:val="Bodytext115pt"/>
                <w:sz w:val="22"/>
                <w:szCs w:val="22"/>
              </w:rPr>
              <w:t>1</w:t>
            </w:r>
            <w:r w:rsidRPr="00B3479A">
              <w:rPr>
                <w:rStyle w:val="Bodytext115pt0"/>
                <w:sz w:val="22"/>
                <w:szCs w:val="22"/>
              </w:rPr>
              <w:t xml:space="preserve">— Amendment of the Excise Tariff Act </w:t>
            </w:r>
            <w:r w:rsidRPr="00B3479A">
              <w:rPr>
                <w:rStyle w:val="Bodytext115pt"/>
                <w:sz w:val="22"/>
                <w:szCs w:val="22"/>
              </w:rPr>
              <w:t>1921</w:t>
            </w:r>
          </w:p>
        </w:tc>
        <w:tc>
          <w:tcPr>
            <w:tcW w:w="146" w:type="pct"/>
            <w:vAlign w:val="bottom"/>
          </w:tcPr>
          <w:p w14:paraId="31609A00" w14:textId="77777777" w:rsidR="00C62938" w:rsidRPr="00B3479A" w:rsidRDefault="00C62938" w:rsidP="00B3479A">
            <w:pPr>
              <w:pStyle w:val="BodyText1"/>
              <w:spacing w:line="240" w:lineRule="auto"/>
              <w:ind w:right="144" w:firstLine="0"/>
              <w:rPr>
                <w:sz w:val="22"/>
                <w:szCs w:val="22"/>
              </w:rPr>
            </w:pPr>
            <w:r w:rsidRPr="00B3479A">
              <w:rPr>
                <w:rStyle w:val="Bodytext8pt"/>
                <w:sz w:val="22"/>
                <w:szCs w:val="22"/>
              </w:rPr>
              <w:t>3</w:t>
            </w:r>
          </w:p>
        </w:tc>
      </w:tr>
    </w:tbl>
    <w:p w14:paraId="53EC2507" w14:textId="77777777" w:rsidR="00697CF5" w:rsidRPr="00B3479A" w:rsidRDefault="00697CF5" w:rsidP="00B3479A">
      <w:pPr>
        <w:rPr>
          <w:rFonts w:ascii="Times New Roman" w:hAnsi="Times New Roman" w:cs="Times New Roman"/>
          <w:sz w:val="22"/>
          <w:szCs w:val="22"/>
        </w:rPr>
        <w:sectPr w:rsidR="00697CF5" w:rsidRPr="00B3479A" w:rsidSect="00FE1EAF">
          <w:footerReference w:type="even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25555283" w14:textId="77777777" w:rsidR="00526888" w:rsidRPr="00B3479A" w:rsidRDefault="00526888" w:rsidP="00B3479A">
      <w:pPr>
        <w:jc w:val="both"/>
        <w:rPr>
          <w:rFonts w:ascii="Times New Roman" w:hAnsi="Times New Roman" w:cs="Times New Roman"/>
          <w:sz w:val="22"/>
          <w:szCs w:val="22"/>
        </w:rPr>
        <w:sectPr w:rsidR="00526888" w:rsidRPr="00B3479A" w:rsidSect="007F7438">
          <w:footerReference w:type="default" r:id="rId14"/>
          <w:type w:val="continuous"/>
          <w:pgSz w:w="12240" w:h="15840" w:code="1"/>
          <w:pgMar w:top="1440" w:right="1440" w:bottom="1440" w:left="1440" w:header="0" w:footer="720" w:gutter="0"/>
          <w:cols w:space="720"/>
          <w:noEndnote/>
          <w:docGrid w:linePitch="360"/>
        </w:sectPr>
      </w:pPr>
    </w:p>
    <w:p w14:paraId="554B44AE" w14:textId="77777777" w:rsidR="007767BC" w:rsidRPr="00B3479A" w:rsidRDefault="00526888" w:rsidP="00B3479A">
      <w:pPr>
        <w:rPr>
          <w:rFonts w:ascii="Times New Roman" w:hAnsi="Times New Roman" w:cs="Times New Roman"/>
          <w:b/>
          <w:sz w:val="36"/>
          <w:szCs w:val="22"/>
        </w:rPr>
      </w:pPr>
      <w:bookmarkStart w:id="1" w:name="bookmark0"/>
      <w:r w:rsidRPr="00B3479A">
        <w:rPr>
          <w:rFonts w:ascii="Times New Roman" w:hAnsi="Times New Roman" w:cs="Times New Roman"/>
          <w:noProof/>
          <w:sz w:val="22"/>
          <w:szCs w:val="22"/>
          <w:lang w:val="en-AU" w:eastAsia="en-AU"/>
        </w:rPr>
        <w:lastRenderedPageBreak/>
        <w:drawing>
          <wp:inline distT="0" distB="0" distL="0" distR="0" wp14:anchorId="60FC1A13" wp14:editId="3AE6401E">
            <wp:extent cx="1788160" cy="12827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achin\OCR\media\imag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9FED" w14:textId="77777777" w:rsidR="00C33D8B" w:rsidRPr="00B3479A" w:rsidRDefault="002D192E" w:rsidP="00B3479A">
      <w:pPr>
        <w:spacing w:before="960"/>
        <w:rPr>
          <w:rFonts w:ascii="Times New Roman" w:hAnsi="Times New Roman" w:cs="Times New Roman"/>
          <w:b/>
          <w:sz w:val="36"/>
          <w:szCs w:val="22"/>
        </w:rPr>
      </w:pPr>
      <w:r w:rsidRPr="00B3479A">
        <w:rPr>
          <w:rFonts w:ascii="Times New Roman" w:hAnsi="Times New Roman" w:cs="Times New Roman"/>
          <w:b/>
          <w:sz w:val="36"/>
          <w:szCs w:val="22"/>
        </w:rPr>
        <w:t>Excise Tariff Amendment Act 1996</w:t>
      </w:r>
      <w:bookmarkEnd w:id="1"/>
    </w:p>
    <w:p w14:paraId="04822357" w14:textId="77777777" w:rsidR="00C33D8B" w:rsidRPr="00B3479A" w:rsidRDefault="002D192E" w:rsidP="00B3479A">
      <w:pPr>
        <w:pStyle w:val="Bodytext80"/>
        <w:spacing w:before="960" w:line="240" w:lineRule="auto"/>
        <w:rPr>
          <w:sz w:val="28"/>
          <w:szCs w:val="28"/>
        </w:rPr>
      </w:pPr>
      <w:r w:rsidRPr="00B3479A">
        <w:rPr>
          <w:sz w:val="28"/>
          <w:szCs w:val="28"/>
        </w:rPr>
        <w:t>No. 5,</w:t>
      </w:r>
      <w:r w:rsidR="00D42241" w:rsidRPr="00B3479A">
        <w:rPr>
          <w:sz w:val="28"/>
          <w:szCs w:val="28"/>
        </w:rPr>
        <w:t xml:space="preserve"> </w:t>
      </w:r>
      <w:r w:rsidRPr="00B3479A">
        <w:rPr>
          <w:sz w:val="28"/>
          <w:szCs w:val="28"/>
        </w:rPr>
        <w:t>1996</w:t>
      </w:r>
    </w:p>
    <w:p w14:paraId="0F9264B9" w14:textId="77777777" w:rsidR="00D41918" w:rsidRPr="00B3479A" w:rsidRDefault="00D41918" w:rsidP="00B3479A">
      <w:pPr>
        <w:pBdr>
          <w:bottom w:val="thickThinSmallGap" w:sz="24" w:space="1" w:color="auto"/>
        </w:pBdr>
        <w:spacing w:before="960"/>
        <w:rPr>
          <w:rStyle w:val="Heading23NotItalic"/>
          <w:rFonts w:eastAsia="Courier New"/>
          <w:i w:val="0"/>
          <w:iCs w:val="0"/>
          <w:sz w:val="28"/>
          <w:szCs w:val="28"/>
        </w:rPr>
      </w:pPr>
      <w:bookmarkStart w:id="2" w:name="bookmark1"/>
    </w:p>
    <w:p w14:paraId="7E2ED5CF" w14:textId="77777777" w:rsidR="00C33D8B" w:rsidRPr="00B3479A" w:rsidRDefault="002D192E" w:rsidP="00B3479A">
      <w:pPr>
        <w:spacing w:before="960"/>
        <w:rPr>
          <w:rFonts w:ascii="Times New Roman" w:hAnsi="Times New Roman" w:cs="Times New Roman"/>
          <w:sz w:val="28"/>
          <w:szCs w:val="28"/>
        </w:rPr>
      </w:pPr>
      <w:r w:rsidRPr="00B3479A">
        <w:rPr>
          <w:rStyle w:val="Heading23NotItalic"/>
          <w:rFonts w:eastAsia="Courier New"/>
          <w:i w:val="0"/>
          <w:iCs w:val="0"/>
          <w:sz w:val="28"/>
          <w:szCs w:val="28"/>
        </w:rPr>
        <w:t xml:space="preserve">An Act to amend the </w:t>
      </w:r>
      <w:r w:rsidRPr="00B3479A">
        <w:rPr>
          <w:rFonts w:ascii="Times New Roman" w:hAnsi="Times New Roman" w:cs="Times New Roman"/>
          <w:b/>
          <w:i/>
          <w:sz w:val="28"/>
          <w:szCs w:val="28"/>
        </w:rPr>
        <w:t>Excise Tariff Act 1921</w:t>
      </w:r>
      <w:bookmarkEnd w:id="2"/>
    </w:p>
    <w:p w14:paraId="65CD66C6" w14:textId="77777777" w:rsidR="00C33D8B" w:rsidRPr="00B3479A" w:rsidRDefault="002D192E" w:rsidP="00B3479A">
      <w:pPr>
        <w:pStyle w:val="Bodytext50"/>
        <w:spacing w:before="120" w:line="240" w:lineRule="auto"/>
        <w:rPr>
          <w:sz w:val="22"/>
          <w:szCs w:val="22"/>
        </w:rPr>
      </w:pPr>
      <w:r w:rsidRPr="00B3479A">
        <w:rPr>
          <w:i w:val="0"/>
          <w:sz w:val="22"/>
          <w:szCs w:val="22"/>
        </w:rPr>
        <w:t>[</w:t>
      </w:r>
      <w:r w:rsidRPr="00B3479A">
        <w:rPr>
          <w:sz w:val="22"/>
          <w:szCs w:val="22"/>
        </w:rPr>
        <w:t>Assented to 6 June 1996</w:t>
      </w:r>
      <w:r w:rsidRPr="00B3479A">
        <w:rPr>
          <w:i w:val="0"/>
          <w:sz w:val="22"/>
          <w:szCs w:val="22"/>
        </w:rPr>
        <w:t>]</w:t>
      </w:r>
    </w:p>
    <w:p w14:paraId="13ECAE72" w14:textId="77777777" w:rsidR="00C33D8B" w:rsidRPr="00B3479A" w:rsidRDefault="002D192E" w:rsidP="00B3479A">
      <w:pPr>
        <w:pStyle w:val="Bodytext90"/>
        <w:spacing w:before="120" w:line="240" w:lineRule="auto"/>
        <w:rPr>
          <w:b w:val="0"/>
          <w:sz w:val="22"/>
          <w:szCs w:val="22"/>
        </w:rPr>
      </w:pPr>
      <w:bookmarkStart w:id="3" w:name="bookmark2"/>
      <w:r w:rsidRPr="00B3479A">
        <w:rPr>
          <w:b w:val="0"/>
          <w:sz w:val="22"/>
          <w:szCs w:val="22"/>
        </w:rPr>
        <w:t>The Parliament of Australia enacts:</w:t>
      </w:r>
      <w:bookmarkEnd w:id="3"/>
    </w:p>
    <w:p w14:paraId="79ED1032" w14:textId="77777777" w:rsidR="00C33D8B" w:rsidRPr="00B3479A" w:rsidRDefault="004C6AA6" w:rsidP="00B3479A">
      <w:pPr>
        <w:pStyle w:val="Bodytext80"/>
        <w:tabs>
          <w:tab w:val="left" w:pos="360"/>
        </w:tabs>
        <w:spacing w:before="120" w:after="60" w:line="240" w:lineRule="auto"/>
        <w:rPr>
          <w:sz w:val="22"/>
          <w:szCs w:val="22"/>
        </w:rPr>
      </w:pPr>
      <w:r w:rsidRPr="00B3479A">
        <w:rPr>
          <w:sz w:val="22"/>
          <w:szCs w:val="22"/>
        </w:rPr>
        <w:t>1</w:t>
      </w:r>
      <w:r w:rsidR="00425E88" w:rsidRPr="00B3479A">
        <w:rPr>
          <w:sz w:val="22"/>
          <w:szCs w:val="22"/>
        </w:rPr>
        <w:t xml:space="preserve"> </w:t>
      </w:r>
      <w:r w:rsidR="002D192E" w:rsidRPr="00B3479A">
        <w:rPr>
          <w:sz w:val="22"/>
          <w:szCs w:val="22"/>
        </w:rPr>
        <w:t>Short title</w:t>
      </w:r>
    </w:p>
    <w:p w14:paraId="169344A1" w14:textId="77777777" w:rsidR="00C33D8B" w:rsidRPr="00B3479A" w:rsidRDefault="002D192E" w:rsidP="00B3479A">
      <w:pPr>
        <w:pStyle w:val="Bodytext50"/>
        <w:spacing w:before="120" w:line="240" w:lineRule="auto"/>
        <w:ind w:firstLine="999"/>
        <w:jc w:val="both"/>
        <w:rPr>
          <w:sz w:val="22"/>
          <w:szCs w:val="22"/>
        </w:rPr>
      </w:pPr>
      <w:r w:rsidRPr="00B3479A">
        <w:rPr>
          <w:rStyle w:val="Bodytext5NotItalic"/>
          <w:sz w:val="22"/>
          <w:szCs w:val="22"/>
        </w:rPr>
        <w:t xml:space="preserve">This Act may be cited as the </w:t>
      </w:r>
      <w:r w:rsidRPr="00B3479A">
        <w:rPr>
          <w:sz w:val="22"/>
          <w:szCs w:val="22"/>
        </w:rPr>
        <w:t>Excise Tariff Amendment Act 1996.</w:t>
      </w:r>
    </w:p>
    <w:p w14:paraId="2ABC8EB6" w14:textId="77777777" w:rsidR="00C33D8B" w:rsidRPr="00B3479A" w:rsidRDefault="007767BC" w:rsidP="00B3479A">
      <w:pPr>
        <w:pStyle w:val="Bodytext80"/>
        <w:tabs>
          <w:tab w:val="left" w:pos="360"/>
        </w:tabs>
        <w:spacing w:before="120" w:after="60" w:line="240" w:lineRule="auto"/>
        <w:rPr>
          <w:sz w:val="22"/>
          <w:szCs w:val="22"/>
        </w:rPr>
      </w:pPr>
      <w:r w:rsidRPr="00B3479A">
        <w:rPr>
          <w:sz w:val="22"/>
          <w:szCs w:val="22"/>
        </w:rPr>
        <w:t>2</w:t>
      </w:r>
      <w:r w:rsidR="00425E88" w:rsidRPr="00B3479A">
        <w:rPr>
          <w:sz w:val="22"/>
          <w:szCs w:val="22"/>
        </w:rPr>
        <w:t xml:space="preserve"> </w:t>
      </w:r>
      <w:r w:rsidR="002D192E" w:rsidRPr="00B3479A">
        <w:rPr>
          <w:sz w:val="22"/>
          <w:szCs w:val="22"/>
        </w:rPr>
        <w:t>Commencement</w:t>
      </w:r>
    </w:p>
    <w:p w14:paraId="1EBB94C4" w14:textId="77777777" w:rsidR="00C33D8B" w:rsidRPr="00B3479A" w:rsidRDefault="007767BC" w:rsidP="00B3479A">
      <w:pPr>
        <w:pStyle w:val="BodyText1"/>
        <w:spacing w:before="120" w:line="240" w:lineRule="auto"/>
        <w:ind w:left="1017" w:hanging="369"/>
        <w:jc w:val="both"/>
        <w:rPr>
          <w:sz w:val="22"/>
          <w:szCs w:val="22"/>
        </w:rPr>
      </w:pPr>
      <w:r w:rsidRPr="00B3479A">
        <w:rPr>
          <w:sz w:val="22"/>
          <w:szCs w:val="22"/>
        </w:rPr>
        <w:t xml:space="preserve">(1) </w:t>
      </w:r>
      <w:r w:rsidR="002D192E" w:rsidRPr="00B3479A">
        <w:rPr>
          <w:sz w:val="22"/>
          <w:szCs w:val="22"/>
        </w:rPr>
        <w:t>Subject to subsection (2), this Act commences on the day on which it receives the Royal Assent.</w:t>
      </w:r>
    </w:p>
    <w:p w14:paraId="1D46E2F8" w14:textId="77777777" w:rsidR="007767BC" w:rsidRPr="00B3479A" w:rsidRDefault="007767BC" w:rsidP="00B3479A">
      <w:pPr>
        <w:pStyle w:val="BodyText1"/>
        <w:spacing w:before="120" w:line="240" w:lineRule="auto"/>
        <w:ind w:left="1017" w:hanging="369"/>
        <w:jc w:val="both"/>
        <w:rPr>
          <w:sz w:val="22"/>
          <w:szCs w:val="22"/>
        </w:rPr>
      </w:pPr>
      <w:r w:rsidRPr="00B3479A">
        <w:rPr>
          <w:sz w:val="22"/>
          <w:szCs w:val="22"/>
        </w:rPr>
        <w:t xml:space="preserve">(2) </w:t>
      </w:r>
      <w:r w:rsidR="002D192E" w:rsidRPr="00B3479A">
        <w:rPr>
          <w:sz w:val="22"/>
          <w:szCs w:val="22"/>
        </w:rPr>
        <w:t>Item 2 of Schedule 1 is taken to have commenced on 1 July 1983.</w:t>
      </w:r>
    </w:p>
    <w:p w14:paraId="437E0DAC" w14:textId="77777777" w:rsidR="004459FD" w:rsidRPr="00B3479A" w:rsidRDefault="004459FD" w:rsidP="00B3479A">
      <w:pPr>
        <w:pStyle w:val="BodyText1"/>
        <w:tabs>
          <w:tab w:val="left" w:pos="1506"/>
        </w:tabs>
        <w:spacing w:before="120" w:line="240" w:lineRule="auto"/>
        <w:ind w:firstLine="0"/>
        <w:jc w:val="both"/>
        <w:rPr>
          <w:sz w:val="22"/>
          <w:szCs w:val="22"/>
        </w:rPr>
      </w:pPr>
    </w:p>
    <w:p w14:paraId="55DF678F" w14:textId="77777777" w:rsidR="007F7438" w:rsidRPr="00B3479A" w:rsidRDefault="007F7438" w:rsidP="00B3479A">
      <w:pPr>
        <w:pStyle w:val="BodyText1"/>
        <w:tabs>
          <w:tab w:val="left" w:pos="1506"/>
        </w:tabs>
        <w:spacing w:before="120" w:line="240" w:lineRule="auto"/>
        <w:ind w:firstLine="0"/>
        <w:jc w:val="both"/>
        <w:rPr>
          <w:sz w:val="22"/>
          <w:szCs w:val="22"/>
        </w:rPr>
        <w:sectPr w:rsidR="007F7438" w:rsidRPr="00B3479A" w:rsidSect="00447CB2">
          <w:head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0" w:footer="720" w:gutter="0"/>
          <w:cols w:space="720"/>
          <w:noEndnote/>
          <w:titlePg/>
          <w:docGrid w:linePitch="360"/>
        </w:sectPr>
      </w:pPr>
    </w:p>
    <w:p w14:paraId="7694BE40" w14:textId="77777777" w:rsidR="00C33D8B" w:rsidRPr="00B3479A" w:rsidRDefault="00873E5A" w:rsidP="00B3479A">
      <w:pPr>
        <w:pStyle w:val="Bodytext80"/>
        <w:spacing w:before="120" w:after="60" w:line="240" w:lineRule="auto"/>
        <w:rPr>
          <w:sz w:val="22"/>
          <w:szCs w:val="22"/>
        </w:rPr>
      </w:pPr>
      <w:bookmarkStart w:id="4" w:name="bookmark3"/>
      <w:r w:rsidRPr="00B3479A">
        <w:rPr>
          <w:sz w:val="22"/>
          <w:szCs w:val="22"/>
        </w:rPr>
        <w:lastRenderedPageBreak/>
        <w:t>3.</w:t>
      </w:r>
      <w:r w:rsidR="004C5FE1" w:rsidRPr="00B3479A">
        <w:rPr>
          <w:sz w:val="22"/>
          <w:szCs w:val="22"/>
        </w:rPr>
        <w:t xml:space="preserve"> </w:t>
      </w:r>
      <w:r w:rsidR="002D192E" w:rsidRPr="00B3479A">
        <w:rPr>
          <w:sz w:val="22"/>
          <w:szCs w:val="22"/>
        </w:rPr>
        <w:t>Schedule(s)</w:t>
      </w:r>
      <w:bookmarkEnd w:id="4"/>
    </w:p>
    <w:p w14:paraId="43538D45" w14:textId="77777777" w:rsidR="00D67ACD" w:rsidRPr="00B3479A" w:rsidRDefault="002D192E" w:rsidP="00B3479A">
      <w:pPr>
        <w:pStyle w:val="BodyText1"/>
        <w:spacing w:before="120" w:line="240" w:lineRule="auto"/>
        <w:ind w:left="1017" w:firstLine="0"/>
        <w:rPr>
          <w:sz w:val="22"/>
          <w:szCs w:val="22"/>
        </w:rPr>
      </w:pPr>
      <w:r w:rsidRPr="00B3479A">
        <w:rPr>
          <w:sz w:val="22"/>
          <w:szCs w:val="22"/>
        </w:rPr>
        <w:t>Subject to section 2, each Act that is specified in a Schedule to this Act is amended or repealed as set out in the applicable items in the Schedule concerned, and any other item in a Schedule to this Act has effect according to its terms.</w:t>
      </w:r>
    </w:p>
    <w:p w14:paraId="775F58D2" w14:textId="77777777" w:rsidR="00DF2526" w:rsidRPr="00B3479A" w:rsidRDefault="00DF2526" w:rsidP="00B3479A">
      <w:pPr>
        <w:pStyle w:val="BodyText1"/>
        <w:spacing w:before="120" w:line="240" w:lineRule="auto"/>
        <w:ind w:firstLine="0"/>
        <w:jc w:val="both"/>
        <w:rPr>
          <w:sz w:val="22"/>
          <w:szCs w:val="22"/>
        </w:rPr>
      </w:pPr>
    </w:p>
    <w:p w14:paraId="1FDF5871" w14:textId="77777777" w:rsidR="00DF2526" w:rsidRPr="00B3479A" w:rsidRDefault="00DF2526" w:rsidP="00B3479A">
      <w:pPr>
        <w:pStyle w:val="BodyText1"/>
        <w:spacing w:before="120" w:line="240" w:lineRule="auto"/>
        <w:ind w:firstLine="0"/>
        <w:jc w:val="both"/>
        <w:rPr>
          <w:sz w:val="22"/>
          <w:szCs w:val="22"/>
        </w:rPr>
        <w:sectPr w:rsidR="00DF2526" w:rsidRPr="00B3479A" w:rsidSect="004775EF">
          <w:headerReference w:type="even" r:id="rId19"/>
          <w:footerReference w:type="even" r:id="rId20"/>
          <w:headerReference w:type="first" r:id="rId21"/>
          <w:footerReference w:type="first" r:id="rId2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5650AD1C" w14:textId="77777777" w:rsidR="00C33D8B" w:rsidRPr="00B3479A" w:rsidRDefault="002D192E" w:rsidP="00B3479A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 w:rsidRPr="00B3479A">
        <w:rPr>
          <w:rFonts w:ascii="Times New Roman" w:hAnsi="Times New Roman" w:cs="Times New Roman"/>
          <w:b/>
          <w:sz w:val="28"/>
          <w:szCs w:val="28"/>
        </w:rPr>
        <w:lastRenderedPageBreak/>
        <w:t>Schedule 1— Amendment of the Excise Tariff Act 1921</w:t>
      </w:r>
      <w:bookmarkEnd w:id="5"/>
    </w:p>
    <w:p w14:paraId="700DDEA4" w14:textId="77777777" w:rsidR="00C33D8B" w:rsidRPr="00B3479A" w:rsidRDefault="007D6F87" w:rsidP="00B3479A">
      <w:pPr>
        <w:tabs>
          <w:tab w:val="left" w:pos="360"/>
        </w:tabs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6" w:name="bookmark5"/>
      <w:r w:rsidRPr="00B3479A">
        <w:rPr>
          <w:rFonts w:ascii="Times New Roman" w:hAnsi="Times New Roman" w:cs="Times New Roman"/>
          <w:b/>
          <w:sz w:val="22"/>
          <w:szCs w:val="22"/>
        </w:rPr>
        <w:t>1</w:t>
      </w:r>
      <w:r w:rsidR="004C5FE1" w:rsidRPr="00B347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192E" w:rsidRPr="00B3479A">
        <w:rPr>
          <w:rFonts w:ascii="Times New Roman" w:hAnsi="Times New Roman" w:cs="Times New Roman"/>
          <w:b/>
          <w:sz w:val="22"/>
          <w:szCs w:val="22"/>
        </w:rPr>
        <w:t>Subsection 6A</w:t>
      </w:r>
      <w:r w:rsidRPr="00B347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192E" w:rsidRPr="00B3479A">
        <w:rPr>
          <w:rFonts w:ascii="Times New Roman" w:hAnsi="Times New Roman" w:cs="Times New Roman"/>
          <w:b/>
          <w:sz w:val="22"/>
          <w:szCs w:val="22"/>
        </w:rPr>
        <w:t>(2)</w:t>
      </w:r>
      <w:bookmarkEnd w:id="6"/>
    </w:p>
    <w:p w14:paraId="5F2320C1" w14:textId="77777777" w:rsidR="00C33D8B" w:rsidRPr="00B3479A" w:rsidRDefault="002D192E" w:rsidP="00B3479A">
      <w:pPr>
        <w:pStyle w:val="BodyText1"/>
        <w:spacing w:before="120" w:line="240" w:lineRule="auto"/>
        <w:ind w:firstLine="738"/>
        <w:jc w:val="both"/>
        <w:rPr>
          <w:sz w:val="22"/>
          <w:szCs w:val="22"/>
        </w:rPr>
      </w:pPr>
      <w:r w:rsidRPr="00B3479A">
        <w:rPr>
          <w:sz w:val="22"/>
          <w:szCs w:val="22"/>
        </w:rPr>
        <w:t>After “him”, insert “or her”.</w:t>
      </w:r>
    </w:p>
    <w:p w14:paraId="61AC6A99" w14:textId="77777777" w:rsidR="00C33D8B" w:rsidRPr="00B3479A" w:rsidRDefault="007D6F87" w:rsidP="00B3479A">
      <w:pPr>
        <w:tabs>
          <w:tab w:val="left" w:pos="360"/>
        </w:tabs>
        <w:spacing w:before="120"/>
        <w:rPr>
          <w:rFonts w:ascii="Times New Roman" w:hAnsi="Times New Roman" w:cs="Times New Roman"/>
          <w:b/>
          <w:sz w:val="22"/>
          <w:szCs w:val="22"/>
        </w:rPr>
      </w:pPr>
      <w:bookmarkStart w:id="7" w:name="bookmark6"/>
      <w:r w:rsidRPr="00B3479A">
        <w:rPr>
          <w:rFonts w:ascii="Times New Roman" w:hAnsi="Times New Roman" w:cs="Times New Roman"/>
          <w:b/>
          <w:sz w:val="22"/>
          <w:szCs w:val="22"/>
        </w:rPr>
        <w:t>2</w:t>
      </w:r>
      <w:r w:rsidR="004C5FE1" w:rsidRPr="00B347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192E" w:rsidRPr="00B3479A">
        <w:rPr>
          <w:rFonts w:ascii="Times New Roman" w:hAnsi="Times New Roman" w:cs="Times New Roman"/>
          <w:b/>
          <w:sz w:val="22"/>
          <w:szCs w:val="22"/>
        </w:rPr>
        <w:t>Subsection 6B</w:t>
      </w:r>
      <w:r w:rsidRPr="00B347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192E" w:rsidRPr="00B3479A">
        <w:rPr>
          <w:rFonts w:ascii="Times New Roman" w:hAnsi="Times New Roman" w:cs="Times New Roman"/>
          <w:b/>
          <w:sz w:val="22"/>
          <w:szCs w:val="22"/>
        </w:rPr>
        <w:t xml:space="preserve">(1), (definition of </w:t>
      </w:r>
      <w:r w:rsidR="002D192E" w:rsidRPr="00B3479A">
        <w:rPr>
          <w:rStyle w:val="Heading33Italic"/>
          <w:rFonts w:ascii="Times New Roman" w:hAnsi="Times New Roman" w:cs="Times New Roman"/>
          <w:sz w:val="22"/>
          <w:szCs w:val="22"/>
        </w:rPr>
        <w:t>prescribed division)</w:t>
      </w:r>
      <w:bookmarkEnd w:id="7"/>
    </w:p>
    <w:p w14:paraId="2E824B4C" w14:textId="77777777" w:rsidR="00C33D8B" w:rsidRPr="00B3479A" w:rsidRDefault="002D192E" w:rsidP="00B3479A">
      <w:pPr>
        <w:pStyle w:val="BodyText1"/>
        <w:spacing w:before="120" w:line="240" w:lineRule="auto"/>
        <w:ind w:firstLine="738"/>
        <w:rPr>
          <w:sz w:val="22"/>
          <w:szCs w:val="22"/>
        </w:rPr>
      </w:pPr>
      <w:r w:rsidRPr="00B3479A">
        <w:rPr>
          <w:sz w:val="22"/>
          <w:szCs w:val="22"/>
        </w:rPr>
        <w:t>Repeal the definition, substitute:</w:t>
      </w:r>
    </w:p>
    <w:p w14:paraId="578F62AC" w14:textId="77777777" w:rsidR="00C33D8B" w:rsidRPr="00B3479A" w:rsidRDefault="008B2F6A" w:rsidP="00B3479A">
      <w:pPr>
        <w:pStyle w:val="BodyText1"/>
        <w:spacing w:before="120" w:line="240" w:lineRule="auto"/>
        <w:ind w:left="1179" w:firstLine="18"/>
        <w:rPr>
          <w:sz w:val="22"/>
          <w:szCs w:val="22"/>
        </w:rPr>
      </w:pPr>
      <w:r w:rsidRPr="00B3479A">
        <w:rPr>
          <w:rStyle w:val="BodytextItalic"/>
          <w:b/>
          <w:sz w:val="22"/>
          <w:szCs w:val="22"/>
        </w:rPr>
        <w:t>p</w:t>
      </w:r>
      <w:r w:rsidR="002D192E" w:rsidRPr="00B3479A">
        <w:rPr>
          <w:rStyle w:val="BodytextItalic"/>
          <w:b/>
          <w:sz w:val="22"/>
          <w:szCs w:val="22"/>
        </w:rPr>
        <w:t>rescribed division</w:t>
      </w:r>
      <w:r w:rsidR="002D192E" w:rsidRPr="006E4C8D">
        <w:rPr>
          <w:rStyle w:val="BodytextItalic"/>
          <w:i w:val="0"/>
          <w:sz w:val="22"/>
          <w:szCs w:val="22"/>
        </w:rPr>
        <w:t>,</w:t>
      </w:r>
      <w:r w:rsidR="002D192E" w:rsidRPr="006E4C8D">
        <w:rPr>
          <w:i/>
          <w:sz w:val="22"/>
          <w:szCs w:val="22"/>
        </w:rPr>
        <w:t xml:space="preserve"> </w:t>
      </w:r>
      <w:r w:rsidR="002D192E" w:rsidRPr="00B3479A">
        <w:rPr>
          <w:sz w:val="22"/>
          <w:szCs w:val="22"/>
        </w:rPr>
        <w:t>in relation to a financial year, means one of 36 divisions in that year made up of:</w:t>
      </w:r>
    </w:p>
    <w:p w14:paraId="32C945F0" w14:textId="77777777" w:rsidR="00C33D8B" w:rsidRPr="00B3479A" w:rsidRDefault="003C5109" w:rsidP="00B3479A">
      <w:pPr>
        <w:pStyle w:val="BodyText1"/>
        <w:spacing w:before="120" w:line="240" w:lineRule="auto"/>
        <w:ind w:left="1710" w:hanging="369"/>
        <w:rPr>
          <w:sz w:val="22"/>
          <w:szCs w:val="22"/>
        </w:rPr>
      </w:pPr>
      <w:r w:rsidRPr="00B3479A">
        <w:rPr>
          <w:sz w:val="22"/>
          <w:szCs w:val="22"/>
        </w:rPr>
        <w:t xml:space="preserve">(a) </w:t>
      </w:r>
      <w:r w:rsidR="002D192E" w:rsidRPr="00B3479A">
        <w:rPr>
          <w:sz w:val="22"/>
          <w:szCs w:val="22"/>
        </w:rPr>
        <w:t>3 divisions each of 10 days for the months of September, November, April and June; and</w:t>
      </w:r>
    </w:p>
    <w:p w14:paraId="6E8CDFC7" w14:textId="77777777" w:rsidR="00C33D8B" w:rsidRPr="00B3479A" w:rsidRDefault="003C5109" w:rsidP="00B3479A">
      <w:pPr>
        <w:pStyle w:val="BodyText1"/>
        <w:spacing w:before="120" w:line="240" w:lineRule="auto"/>
        <w:ind w:left="1710" w:hanging="369"/>
        <w:rPr>
          <w:sz w:val="22"/>
          <w:szCs w:val="22"/>
        </w:rPr>
      </w:pPr>
      <w:r w:rsidRPr="00B3479A">
        <w:rPr>
          <w:sz w:val="22"/>
          <w:szCs w:val="22"/>
        </w:rPr>
        <w:t xml:space="preserve">(b) </w:t>
      </w:r>
      <w:r w:rsidR="002D192E" w:rsidRPr="00B3479A">
        <w:rPr>
          <w:sz w:val="22"/>
          <w:szCs w:val="22"/>
        </w:rPr>
        <w:t>2 divisions each of 10 days and a third of 11 days for the months of July, August, October, December, January, March and May; and</w:t>
      </w:r>
    </w:p>
    <w:p w14:paraId="2D71BC19" w14:textId="77777777" w:rsidR="00C33D8B" w:rsidRPr="00B3479A" w:rsidRDefault="003C5109" w:rsidP="00B3479A">
      <w:pPr>
        <w:pStyle w:val="BodyText1"/>
        <w:spacing w:before="120" w:line="240" w:lineRule="auto"/>
        <w:ind w:left="1710" w:hanging="369"/>
        <w:rPr>
          <w:sz w:val="22"/>
          <w:szCs w:val="22"/>
        </w:rPr>
      </w:pPr>
      <w:r w:rsidRPr="00B3479A">
        <w:rPr>
          <w:sz w:val="22"/>
          <w:szCs w:val="22"/>
        </w:rPr>
        <w:t xml:space="preserve">(c) </w:t>
      </w:r>
      <w:r w:rsidR="002D192E" w:rsidRPr="00B3479A">
        <w:rPr>
          <w:sz w:val="22"/>
          <w:szCs w:val="22"/>
        </w:rPr>
        <w:t>2 divisions each of 10 days and a third of 8 or 9 days, as the case requ</w:t>
      </w:r>
      <w:r w:rsidR="00573213">
        <w:rPr>
          <w:sz w:val="22"/>
          <w:szCs w:val="22"/>
        </w:rPr>
        <w:t>ires, for the month of February.</w:t>
      </w:r>
    </w:p>
    <w:p w14:paraId="7F49C6A6" w14:textId="77777777" w:rsidR="00C33D8B" w:rsidRPr="006E4C8D" w:rsidRDefault="002D192E" w:rsidP="006E4C8D">
      <w:pPr>
        <w:pStyle w:val="Bodytext70"/>
        <w:spacing w:before="960" w:line="240" w:lineRule="auto"/>
        <w:rPr>
          <w:b w:val="0"/>
          <w:sz w:val="20"/>
          <w:szCs w:val="20"/>
        </w:rPr>
      </w:pPr>
      <w:r w:rsidRPr="006E4C8D">
        <w:rPr>
          <w:b w:val="0"/>
          <w:i w:val="0"/>
          <w:sz w:val="20"/>
          <w:szCs w:val="20"/>
        </w:rPr>
        <w:t>[</w:t>
      </w:r>
      <w:r w:rsidRPr="006E4C8D">
        <w:rPr>
          <w:b w:val="0"/>
          <w:sz w:val="20"/>
          <w:szCs w:val="20"/>
        </w:rPr>
        <w:t>Minister’s second reading speech made in</w:t>
      </w:r>
      <w:r w:rsidRPr="006E4C8D">
        <w:rPr>
          <w:rStyle w:val="Bodytext7FranklinGothicDemi"/>
          <w:rFonts w:ascii="Times New Roman" w:hAnsi="Times New Roman" w:cs="Times New Roman"/>
          <w:sz w:val="20"/>
          <w:szCs w:val="20"/>
        </w:rPr>
        <w:t>—</w:t>
      </w:r>
    </w:p>
    <w:p w14:paraId="4C56B7A7" w14:textId="77777777" w:rsidR="003C5109" w:rsidRPr="006E4C8D" w:rsidRDefault="002D192E" w:rsidP="006E2FC8">
      <w:pPr>
        <w:pStyle w:val="Bodytext70"/>
        <w:spacing w:line="240" w:lineRule="auto"/>
        <w:ind w:left="900"/>
        <w:rPr>
          <w:b w:val="0"/>
          <w:sz w:val="20"/>
          <w:szCs w:val="20"/>
        </w:rPr>
      </w:pPr>
      <w:r w:rsidRPr="006E4C8D">
        <w:rPr>
          <w:b w:val="0"/>
          <w:sz w:val="20"/>
          <w:szCs w:val="20"/>
        </w:rPr>
        <w:t>House of Representatives on 1 May 1996</w:t>
      </w:r>
    </w:p>
    <w:p w14:paraId="35D06A7E" w14:textId="77777777" w:rsidR="00C33D8B" w:rsidRPr="006E4C8D" w:rsidRDefault="002D192E" w:rsidP="006E2FC8">
      <w:pPr>
        <w:pStyle w:val="Bodytext70"/>
        <w:spacing w:line="240" w:lineRule="auto"/>
        <w:ind w:left="900"/>
        <w:rPr>
          <w:rStyle w:val="Bodytext7FranklinGothicDemi"/>
          <w:rFonts w:ascii="Times New Roman" w:hAnsi="Times New Roman" w:cs="Times New Roman"/>
          <w:sz w:val="20"/>
          <w:szCs w:val="20"/>
        </w:rPr>
      </w:pPr>
      <w:r w:rsidRPr="006E4C8D">
        <w:rPr>
          <w:b w:val="0"/>
          <w:sz w:val="20"/>
          <w:szCs w:val="20"/>
        </w:rPr>
        <w:t>Senate on 9 May 1996</w:t>
      </w:r>
      <w:r w:rsidRPr="006E4C8D">
        <w:rPr>
          <w:rStyle w:val="Bodytext7FranklinGothicDemi"/>
          <w:rFonts w:ascii="Times New Roman" w:hAnsi="Times New Roman" w:cs="Times New Roman"/>
          <w:sz w:val="20"/>
          <w:szCs w:val="20"/>
        </w:rPr>
        <w:t>]</w:t>
      </w:r>
    </w:p>
    <w:sectPr w:rsidR="00C33D8B" w:rsidRPr="006E4C8D" w:rsidSect="00447CB2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E66015" w15:done="0"/>
  <w15:commentEx w15:paraId="1D5518FA" w15:done="0"/>
  <w15:commentEx w15:paraId="0A8ECF4F" w15:done="0"/>
  <w15:commentEx w15:paraId="2A9A9921" w15:done="0"/>
  <w15:commentEx w15:paraId="46045F6C" w15:done="0"/>
  <w15:commentEx w15:paraId="2CF27372" w15:done="0"/>
  <w15:commentEx w15:paraId="248F244E" w15:done="0"/>
  <w15:commentEx w15:paraId="5A7CC3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E66015" w16cid:durableId="2141FFBE"/>
  <w16cid:commentId w16cid:paraId="1D5518FA" w16cid:durableId="2141FFD2"/>
  <w16cid:commentId w16cid:paraId="0A8ECF4F" w16cid:durableId="2141FFE5"/>
  <w16cid:commentId w16cid:paraId="2A9A9921" w16cid:durableId="2141FFED"/>
  <w16cid:commentId w16cid:paraId="46045F6C" w16cid:durableId="2141FFD8"/>
  <w16cid:commentId w16cid:paraId="2CF27372" w16cid:durableId="2141FFF9"/>
  <w16cid:commentId w16cid:paraId="248F244E" w16cid:durableId="21420021"/>
  <w16cid:commentId w16cid:paraId="5A7CC309" w16cid:durableId="214200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72BE4" w14:textId="77777777" w:rsidR="004064F1" w:rsidRDefault="004064F1">
      <w:r>
        <w:separator/>
      </w:r>
    </w:p>
  </w:endnote>
  <w:endnote w:type="continuationSeparator" w:id="0">
    <w:p w14:paraId="2A0CD880" w14:textId="77777777" w:rsidR="004064F1" w:rsidRDefault="0040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5013A" w14:textId="77777777" w:rsidR="00697CF5" w:rsidRDefault="00697CF5" w:rsidP="00697CF5">
    <w:pPr>
      <w:pStyle w:val="Footer"/>
      <w:tabs>
        <w:tab w:val="left" w:pos="540"/>
        <w:tab w:val="left" w:pos="3960"/>
      </w:tabs>
    </w:pPr>
    <w:r>
      <w:rPr>
        <w:rFonts w:ascii="Times New Roman" w:hAnsi="Times New Roman" w:cs="Times New Roman"/>
        <w:i/>
        <w:iCs/>
        <w:sz w:val="22"/>
        <w:szCs w:val="22"/>
      </w:rPr>
      <w:tab/>
    </w:r>
    <w:r w:rsidRPr="00E9784A">
      <w:rPr>
        <w:rFonts w:ascii="Times New Roman" w:hAnsi="Times New Roman" w:cs="Times New Roman"/>
        <w:i/>
        <w:iCs/>
        <w:sz w:val="22"/>
        <w:szCs w:val="22"/>
      </w:rPr>
      <w:t>Excise Tariff Amendment Act 1996</w:t>
    </w:r>
    <w:r>
      <w:rPr>
        <w:rFonts w:ascii="Times New Roman" w:hAnsi="Times New Roman" w:cs="Times New Roman"/>
        <w:i/>
        <w:iCs/>
        <w:sz w:val="22"/>
        <w:szCs w:val="22"/>
      </w:rPr>
      <w:tab/>
    </w:r>
    <w:r w:rsidRPr="00E9784A">
      <w:rPr>
        <w:rFonts w:ascii="Times New Roman" w:hAnsi="Times New Roman" w:cs="Times New Roman"/>
        <w:i/>
        <w:iCs/>
        <w:sz w:val="22"/>
        <w:szCs w:val="22"/>
      </w:rPr>
      <w:t>No.</w:t>
    </w:r>
    <w:r w:rsidRPr="00E9784A">
      <w:rPr>
        <w:rFonts w:ascii="Times New Roman" w:hAnsi="Times New Roman" w:cs="Times New Roman"/>
        <w:sz w:val="22"/>
        <w:szCs w:val="22"/>
      </w:rPr>
      <w:t xml:space="preserve"> 5, </w:t>
    </w:r>
    <w:r w:rsidRPr="00E9784A">
      <w:rPr>
        <w:rFonts w:ascii="Times New Roman" w:hAnsi="Times New Roman" w:cs="Times New Roman"/>
        <w:i/>
        <w:iCs/>
        <w:sz w:val="22"/>
        <w:szCs w:val="22"/>
      </w:rPr>
      <w:t>1996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B71A4" w14:textId="77777777" w:rsidR="000B7F07" w:rsidRPr="000B7F07" w:rsidRDefault="000B7F07" w:rsidP="00A73E6F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41038CC6" w14:textId="1E55EB6C" w:rsidR="000B7F07" w:rsidRPr="000B7F07" w:rsidRDefault="000B7F07" w:rsidP="000B7F07">
    <w:pPr>
      <w:pStyle w:val="Footer"/>
      <w:tabs>
        <w:tab w:val="clear" w:pos="4513"/>
        <w:tab w:val="clear" w:pos="9026"/>
      </w:tabs>
      <w:jc w:val="right"/>
      <w:rPr>
        <w:rFonts w:ascii="Times New Roman" w:hAnsi="Times New Roman" w:cs="Times New Roman"/>
        <w:sz w:val="22"/>
        <w:szCs w:val="22"/>
      </w:rPr>
    </w:pPr>
    <w:r w:rsidRPr="000B7F07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xcise Tariff Amendment Act 1996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0B7F07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</w:t>
    </w:r>
    <w:r w:rsidRPr="000B7F07">
      <w:rPr>
        <w:rFonts w:ascii="Times New Roman" w:hAnsi="Times New Roman" w:cs="Times New Roman"/>
        <w:color w:val="auto"/>
        <w:sz w:val="22"/>
        <w:szCs w:val="22"/>
        <w:lang w:val="en-IN"/>
      </w:rPr>
      <w:t xml:space="preserve">5, </w:t>
    </w:r>
    <w:r w:rsidRPr="000B7F07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1996</w:t>
    </w:r>
    <w:r w:rsidR="000D23B9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Pr="000B7F07">
      <w:rPr>
        <w:rFonts w:ascii="Times New Roman" w:hAnsi="Times New Roman" w:cs="Times New Roman"/>
        <w:iCs/>
        <w:color w:val="auto"/>
        <w:sz w:val="22"/>
        <w:szCs w:val="22"/>
        <w:lang w:val="en-IN"/>
      </w:rPr>
      <w:t>247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11841" w14:textId="77777777" w:rsidR="00697CF5" w:rsidRDefault="00697CF5" w:rsidP="00226717">
    <w:pPr>
      <w:pStyle w:val="Footer"/>
      <w:tabs>
        <w:tab w:val="clear" w:pos="4513"/>
        <w:tab w:val="clear" w:pos="9026"/>
        <w:tab w:val="left" w:pos="3510"/>
        <w:tab w:val="left" w:pos="4770"/>
      </w:tabs>
      <w:jc w:val="right"/>
    </w:pPr>
    <w:r w:rsidRPr="00E9784A">
      <w:rPr>
        <w:rFonts w:ascii="Times New Roman" w:hAnsi="Times New Roman" w:cs="Times New Roman"/>
        <w:i/>
        <w:iCs/>
        <w:sz w:val="22"/>
        <w:szCs w:val="22"/>
      </w:rPr>
      <w:t>Excise Tariff Amendment Act 1996</w:t>
    </w:r>
    <w:r>
      <w:rPr>
        <w:rFonts w:ascii="Times New Roman" w:hAnsi="Times New Roman" w:cs="Times New Roman"/>
        <w:i/>
        <w:iCs/>
        <w:sz w:val="22"/>
        <w:szCs w:val="22"/>
      </w:rPr>
      <w:tab/>
    </w:r>
    <w:r w:rsidRPr="00E9784A">
      <w:rPr>
        <w:rFonts w:ascii="Times New Roman" w:hAnsi="Times New Roman" w:cs="Times New Roman"/>
        <w:i/>
        <w:iCs/>
        <w:sz w:val="22"/>
        <w:szCs w:val="22"/>
      </w:rPr>
      <w:t>No.</w:t>
    </w:r>
    <w:r w:rsidRPr="00E9784A">
      <w:rPr>
        <w:rFonts w:ascii="Times New Roman" w:hAnsi="Times New Roman" w:cs="Times New Roman"/>
        <w:sz w:val="22"/>
        <w:szCs w:val="22"/>
      </w:rPr>
      <w:t xml:space="preserve"> 5, </w:t>
    </w:r>
    <w:r w:rsidRPr="00E9784A">
      <w:rPr>
        <w:rFonts w:ascii="Times New Roman" w:hAnsi="Times New Roman" w:cs="Times New Roman"/>
        <w:i/>
        <w:iCs/>
        <w:sz w:val="22"/>
        <w:szCs w:val="22"/>
      </w:rPr>
      <w:t>1996</w:t>
    </w:r>
    <w:r w:rsidR="00226717">
      <w:rPr>
        <w:rFonts w:ascii="Times New Roman" w:hAnsi="Times New Roman" w:cs="Times New Roman"/>
        <w:i/>
        <w:iCs/>
        <w:sz w:val="22"/>
        <w:szCs w:val="22"/>
      </w:rPr>
      <w:tab/>
    </w:r>
    <w:r w:rsidR="00226717" w:rsidRPr="00226717">
      <w:rPr>
        <w:rFonts w:ascii="Times New Roman" w:hAnsi="Times New Roman" w:cs="Times New Roman"/>
        <w:iCs/>
        <w:sz w:val="22"/>
        <w:szCs w:val="22"/>
      </w:rPr>
      <w:t>247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C0BE" w14:textId="77777777" w:rsidR="00417239" w:rsidRPr="00A73E6F" w:rsidRDefault="00417239" w:rsidP="00A73E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F8E25" w14:textId="77777777" w:rsidR="00A73E6F" w:rsidRDefault="00A73E6F" w:rsidP="00A73E6F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3A7D17AE" w14:textId="108D236F" w:rsidR="00A73E6F" w:rsidRPr="00A73E6F" w:rsidRDefault="00A73E6F" w:rsidP="00A73E6F">
    <w:pPr>
      <w:pStyle w:val="Footer"/>
      <w:tabs>
        <w:tab w:val="clear" w:pos="4513"/>
        <w:tab w:val="clear" w:pos="9026"/>
      </w:tabs>
      <w:ind w:left="540"/>
      <w:rPr>
        <w:rFonts w:ascii="Times New Roman" w:hAnsi="Times New Roman" w:cs="Times New Roman"/>
        <w:sz w:val="22"/>
        <w:szCs w:val="22"/>
      </w:rPr>
    </w:pP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xcise Tariff Amendment Act 1996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</w:t>
    </w:r>
    <w:r w:rsidRPr="00A73E6F">
      <w:rPr>
        <w:rFonts w:ascii="Times New Roman" w:hAnsi="Times New Roman" w:cs="Times New Roman"/>
        <w:color w:val="auto"/>
        <w:sz w:val="22"/>
        <w:szCs w:val="22"/>
        <w:lang w:val="en-IN"/>
      </w:rPr>
      <w:t xml:space="preserve">5, </w:t>
    </w: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1996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0C4F8" w14:textId="77777777" w:rsidR="007F7438" w:rsidRPr="00A73E6F" w:rsidRDefault="007F7438" w:rsidP="00A73E6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2627D" w14:textId="77777777" w:rsidR="00447CB2" w:rsidRDefault="00447CB2" w:rsidP="00A73E6F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60192DC0" w14:textId="1F7D561C" w:rsidR="00447CB2" w:rsidRPr="00A73E6F" w:rsidRDefault="00447CB2" w:rsidP="00447CB2">
    <w:pPr>
      <w:pStyle w:val="Footer"/>
      <w:tabs>
        <w:tab w:val="clear" w:pos="4513"/>
        <w:tab w:val="clear" w:pos="9026"/>
      </w:tabs>
      <w:ind w:right="540"/>
      <w:jc w:val="right"/>
      <w:rPr>
        <w:rFonts w:ascii="Times New Roman" w:hAnsi="Times New Roman" w:cs="Times New Roman"/>
        <w:sz w:val="22"/>
        <w:szCs w:val="22"/>
      </w:rPr>
    </w:pP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xcise Tariff Amendment Act 1996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</w:t>
    </w:r>
    <w:r w:rsidRPr="00A73E6F">
      <w:rPr>
        <w:rFonts w:ascii="Times New Roman" w:hAnsi="Times New Roman" w:cs="Times New Roman"/>
        <w:color w:val="auto"/>
        <w:sz w:val="22"/>
        <w:szCs w:val="22"/>
        <w:lang w:val="en-IN"/>
      </w:rPr>
      <w:t xml:space="preserve">5, </w:t>
    </w:r>
    <w:r w:rsidRPr="00A73E6F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1996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5CE92" w14:textId="77777777" w:rsidR="00417239" w:rsidRPr="00A73E6F" w:rsidRDefault="00417239" w:rsidP="00A73E6F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6D6A" w14:textId="77777777" w:rsidR="00447CB2" w:rsidRDefault="00447CB2" w:rsidP="00A73E6F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6CCE77F6" w14:textId="62047CBF" w:rsidR="00447CB2" w:rsidRPr="00447CB2" w:rsidRDefault="00447CB2" w:rsidP="00447CB2">
    <w:pPr>
      <w:pStyle w:val="Footer"/>
      <w:tabs>
        <w:tab w:val="clear" w:pos="4513"/>
        <w:tab w:val="clear" w:pos="9026"/>
      </w:tabs>
      <w:ind w:left="540" w:right="540"/>
      <w:rPr>
        <w:rFonts w:ascii="Times New Roman" w:hAnsi="Times New Roman" w:cs="Times New Roman"/>
        <w:sz w:val="22"/>
        <w:szCs w:val="22"/>
      </w:rPr>
    </w:pPr>
    <w:r w:rsidRPr="00447CB2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Excise Tariff Amendment Act 1996</w:t>
    </w:r>
    <w:r w:rsidR="006E4C8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447CB2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</w:t>
    </w:r>
    <w:r w:rsidRPr="00447CB2">
      <w:rPr>
        <w:rFonts w:ascii="Times New Roman" w:hAnsi="Times New Roman" w:cs="Times New Roman"/>
        <w:color w:val="auto"/>
        <w:sz w:val="22"/>
        <w:szCs w:val="22"/>
        <w:lang w:val="en-IN"/>
      </w:rPr>
      <w:t xml:space="preserve">5, </w:t>
    </w:r>
    <w:r w:rsidRPr="00447CB2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1996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88F93" w14:textId="77777777" w:rsidR="00417239" w:rsidRPr="00A73E6F" w:rsidRDefault="00417239" w:rsidP="00A73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8D98A" w14:textId="77777777" w:rsidR="004064F1" w:rsidRDefault="004064F1"/>
  </w:footnote>
  <w:footnote w:type="continuationSeparator" w:id="0">
    <w:p w14:paraId="4E3F9236" w14:textId="77777777" w:rsidR="004064F1" w:rsidRDefault="004064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5AC0" w14:textId="77777777" w:rsidR="00A73E6F" w:rsidRDefault="00A73E6F" w:rsidP="00A73E6F">
    <w:pPr>
      <w:pStyle w:val="Header"/>
      <w:rPr>
        <w:rFonts w:ascii="Times New Roman" w:hAnsi="Times New Roman" w:cs="Times New Roman"/>
        <w:sz w:val="22"/>
        <w:szCs w:val="22"/>
      </w:rPr>
    </w:pPr>
  </w:p>
  <w:p w14:paraId="0DAA4A40" w14:textId="77777777" w:rsidR="00FE1EAF" w:rsidRPr="00FE1EAF" w:rsidRDefault="00FE1EAF" w:rsidP="00FE1EA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64554" w14:textId="77777777" w:rsidR="00447CB2" w:rsidRPr="00A73E6F" w:rsidRDefault="00447CB2" w:rsidP="00A73E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4C8F" w14:textId="77777777" w:rsidR="00447CB2" w:rsidRPr="00A73E6F" w:rsidRDefault="00447CB2" w:rsidP="00A73E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CA050" w14:textId="77777777" w:rsidR="00447CB2" w:rsidRPr="00447CB2" w:rsidRDefault="00447CB2" w:rsidP="00A73E6F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DA267" w14:textId="77777777" w:rsidR="00447CB2" w:rsidRDefault="00447CB2" w:rsidP="00A73E6F">
    <w:pPr>
      <w:pStyle w:val="Header"/>
      <w:rPr>
        <w:rFonts w:ascii="Times New Roman" w:hAnsi="Times New Roman" w:cs="Times New Roman"/>
        <w:sz w:val="22"/>
        <w:szCs w:val="22"/>
      </w:rPr>
    </w:pPr>
  </w:p>
  <w:p w14:paraId="045C4B33" w14:textId="77777777" w:rsidR="004775EF" w:rsidRPr="004775EF" w:rsidRDefault="004775EF" w:rsidP="004775E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53E30" w14:textId="77777777" w:rsidR="00526888" w:rsidRDefault="00526888" w:rsidP="00526888">
    <w:pPr>
      <w:pStyle w:val="BodyText1"/>
      <w:spacing w:line="240" w:lineRule="auto"/>
      <w:ind w:firstLine="0"/>
      <w:jc w:val="right"/>
      <w:rPr>
        <w:b/>
        <w:sz w:val="22"/>
        <w:szCs w:val="22"/>
      </w:rPr>
    </w:pPr>
    <w:r w:rsidRPr="004E2B73">
      <w:rPr>
        <w:sz w:val="22"/>
        <w:szCs w:val="22"/>
      </w:rPr>
      <w:t xml:space="preserve">Amendment of the Excise Tariff Act 1921 </w:t>
    </w:r>
    <w:r w:rsidRPr="00DF2526">
      <w:rPr>
        <w:b/>
        <w:sz w:val="22"/>
        <w:szCs w:val="22"/>
      </w:rPr>
      <w:t>Schedule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631EE" w14:textId="77777777" w:rsidR="00447CB2" w:rsidRPr="00A73E6F" w:rsidRDefault="00447CB2" w:rsidP="00A73E6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8CF2" w14:textId="77777777" w:rsidR="00447CB2" w:rsidRDefault="00447CB2" w:rsidP="00447CB2">
    <w:pPr>
      <w:pStyle w:val="Header"/>
      <w:jc w:val="right"/>
      <w:rPr>
        <w:rFonts w:ascii="Times New Roman" w:hAnsi="Times New Roman" w:cs="Times New Roman"/>
        <w:b/>
        <w:color w:val="auto"/>
        <w:sz w:val="22"/>
        <w:szCs w:val="22"/>
        <w:lang w:val="en-IN"/>
      </w:rPr>
    </w:pPr>
    <w:r w:rsidRPr="00447CB2">
      <w:rPr>
        <w:rFonts w:ascii="Times New Roman" w:hAnsi="Times New Roman" w:cs="Times New Roman"/>
        <w:color w:val="auto"/>
        <w:sz w:val="22"/>
        <w:szCs w:val="22"/>
        <w:lang w:val="en-IN"/>
      </w:rPr>
      <w:t xml:space="preserve">Amendment of the Excise Tariff Act 1921 </w:t>
    </w:r>
    <w:r w:rsidRPr="00447CB2">
      <w:rPr>
        <w:rFonts w:ascii="Times New Roman" w:hAnsi="Times New Roman" w:cs="Times New Roman"/>
        <w:b/>
        <w:color w:val="auto"/>
        <w:sz w:val="22"/>
        <w:szCs w:val="22"/>
        <w:lang w:val="en-IN"/>
      </w:rPr>
      <w:t>Schedule 1</w:t>
    </w:r>
  </w:p>
  <w:p w14:paraId="587BD962" w14:textId="77777777" w:rsidR="00447CB2" w:rsidRPr="00447CB2" w:rsidRDefault="00447CB2" w:rsidP="00447CB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1E26"/>
    <w:multiLevelType w:val="multilevel"/>
    <w:tmpl w:val="B602E36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A0CA5"/>
    <w:multiLevelType w:val="multilevel"/>
    <w:tmpl w:val="B17E9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C6857"/>
    <w:multiLevelType w:val="multilevel"/>
    <w:tmpl w:val="5B58AC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6D4F29"/>
    <w:multiLevelType w:val="multilevel"/>
    <w:tmpl w:val="54468244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33D8B"/>
    <w:rsid w:val="000B4F26"/>
    <w:rsid w:val="000B7F07"/>
    <w:rsid w:val="000C32A4"/>
    <w:rsid w:val="000D23B9"/>
    <w:rsid w:val="00107681"/>
    <w:rsid w:val="00115F71"/>
    <w:rsid w:val="00226717"/>
    <w:rsid w:val="002D192E"/>
    <w:rsid w:val="003C5109"/>
    <w:rsid w:val="004064F1"/>
    <w:rsid w:val="00417239"/>
    <w:rsid w:val="00425E88"/>
    <w:rsid w:val="004459FD"/>
    <w:rsid w:val="00447CB2"/>
    <w:rsid w:val="004775EF"/>
    <w:rsid w:val="004C5FE1"/>
    <w:rsid w:val="004C6AA6"/>
    <w:rsid w:val="004E2B73"/>
    <w:rsid w:val="005207B3"/>
    <w:rsid w:val="00526888"/>
    <w:rsid w:val="00573213"/>
    <w:rsid w:val="005C41EF"/>
    <w:rsid w:val="005E4BA1"/>
    <w:rsid w:val="005E71D6"/>
    <w:rsid w:val="006006D6"/>
    <w:rsid w:val="00663ADD"/>
    <w:rsid w:val="00697CF5"/>
    <w:rsid w:val="006E2FC8"/>
    <w:rsid w:val="006E4C8D"/>
    <w:rsid w:val="006E61FF"/>
    <w:rsid w:val="007767BC"/>
    <w:rsid w:val="00785EA4"/>
    <w:rsid w:val="0078791C"/>
    <w:rsid w:val="007D6F87"/>
    <w:rsid w:val="007E09B0"/>
    <w:rsid w:val="007F7438"/>
    <w:rsid w:val="00802B9F"/>
    <w:rsid w:val="0080649D"/>
    <w:rsid w:val="00842392"/>
    <w:rsid w:val="008463C7"/>
    <w:rsid w:val="00873E5A"/>
    <w:rsid w:val="008A0E53"/>
    <w:rsid w:val="008B2F6A"/>
    <w:rsid w:val="008C5CF7"/>
    <w:rsid w:val="008F7B71"/>
    <w:rsid w:val="00974AA1"/>
    <w:rsid w:val="009C322B"/>
    <w:rsid w:val="00A557FA"/>
    <w:rsid w:val="00A73E6F"/>
    <w:rsid w:val="00A82E17"/>
    <w:rsid w:val="00A863C0"/>
    <w:rsid w:val="00B3479A"/>
    <w:rsid w:val="00BC4EC9"/>
    <w:rsid w:val="00C33D8B"/>
    <w:rsid w:val="00C62938"/>
    <w:rsid w:val="00CD4FB6"/>
    <w:rsid w:val="00D41918"/>
    <w:rsid w:val="00D42241"/>
    <w:rsid w:val="00D67ACD"/>
    <w:rsid w:val="00D9736D"/>
    <w:rsid w:val="00DE7C3C"/>
    <w:rsid w:val="00DF2526"/>
    <w:rsid w:val="00E61034"/>
    <w:rsid w:val="00E9784A"/>
    <w:rsid w:val="00EC2AAF"/>
    <w:rsid w:val="00F947DC"/>
    <w:rsid w:val="00FA65D0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3A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5pt">
    <w:name w:val="Body text + 11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Candara">
    <w:name w:val="Body text + Candara"/>
    <w:aliases w:val="12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8pt">
    <w:name w:val="Body text +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5pt0">
    <w:name w:val="Body text + 11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Heading22">
    <w:name w:val="Heading #2 (2)_"/>
    <w:basedOn w:val="DefaultParagraphFont"/>
    <w:link w:val="Heading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3">
    <w:name w:val="Heading #2 (3)_"/>
    <w:basedOn w:val="DefaultParagraphFont"/>
    <w:link w:val="Heading230"/>
    <w:rPr>
      <w:rFonts w:ascii="Times New Roman" w:eastAsia="Times New Roman" w:hAnsi="Times New Roman" w:cs="Times New Roman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Heading23NotItalic">
    <w:name w:val="Heading #2 (3) + Not Italic"/>
    <w:basedOn w:val="Heading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2">
    <w:name w:val="Heading #1 (2)_"/>
    <w:basedOn w:val="DefaultParagraphFont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3">
    <w:name w:val="Heading #3 (3)_"/>
    <w:basedOn w:val="DefaultParagraphFont"/>
    <w:link w:val="Heading3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3Italic">
    <w:name w:val="Heading #3 (3) + Italic"/>
    <w:basedOn w:val="Heading3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odytext7FranklinGothicDemi">
    <w:name w:val="Body text (7) + Franklin Gothic Demi"/>
    <w:aliases w:val="8 pt,Not Bold,Not Italic"/>
    <w:basedOn w:val="Bodytext7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Bodytext20">
    <w:name w:val="Body text (2)"/>
    <w:basedOn w:val="Normal"/>
    <w:link w:val="Bodytext2"/>
    <w:pPr>
      <w:spacing w:line="1200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0">
    <w:name w:val="Body text (3)"/>
    <w:basedOn w:val="Normal"/>
    <w:link w:val="Bodytext3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BodyText1">
    <w:name w:val="Body Text1"/>
    <w:basedOn w:val="Normal"/>
    <w:link w:val="Bodytext"/>
    <w:pPr>
      <w:spacing w:line="259" w:lineRule="exact"/>
      <w:ind w:hanging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al"/>
    <w:link w:val="Heading22"/>
    <w:pPr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80">
    <w:name w:val="Body text (8)"/>
    <w:basedOn w:val="Normal"/>
    <w:link w:val="Bodytext8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30">
    <w:name w:val="Heading #2 (3)"/>
    <w:basedOn w:val="Normal"/>
    <w:link w:val="Heading23"/>
    <w:pPr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90">
    <w:name w:val="Body text (9)"/>
    <w:basedOn w:val="Normal"/>
    <w:link w:val="Bodytext9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pPr>
      <w:spacing w:line="403" w:lineRule="exact"/>
      <w:ind w:hanging="12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30">
    <w:name w:val="Heading #3 (3)"/>
    <w:basedOn w:val="Normal"/>
    <w:link w:val="Heading33"/>
    <w:pPr>
      <w:spacing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70">
    <w:name w:val="Body text (7)"/>
    <w:basedOn w:val="Normal"/>
    <w:link w:val="Bodytext7"/>
    <w:pPr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697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CF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97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F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6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3C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3C0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E4C8D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33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7.xm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Hammond, Rhiannon</cp:lastModifiedBy>
  <cp:revision>3</cp:revision>
  <dcterms:created xsi:type="dcterms:W3CDTF">2019-10-04T07:30:00Z</dcterms:created>
  <dcterms:modified xsi:type="dcterms:W3CDTF">2019-11-16T23:50:00Z</dcterms:modified>
</cp:coreProperties>
</file>