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68529" w14:textId="7DC6CB92" w:rsidR="004618DF" w:rsidRPr="00EB405C" w:rsidRDefault="00AB5860" w:rsidP="00771D20">
      <w:pPr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r>
        <w:rPr>
          <w:rFonts w:ascii="Times New Roman" w:hAnsi="Times New Roman" w:cs="Times New Roman"/>
          <w:sz w:val="22"/>
          <w:szCs w:val="22"/>
        </w:rPr>
        <w:pict w14:anchorId="21163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2in;height:109.45pt">
            <v:imagedata r:id="rId9" o:title=""/>
          </v:shape>
        </w:pict>
      </w:r>
      <w:bookmarkEnd w:id="0"/>
    </w:p>
    <w:p w14:paraId="1B7F37C2" w14:textId="77777777" w:rsidR="004618DF" w:rsidRDefault="00EB405C" w:rsidP="00771D20">
      <w:pPr>
        <w:spacing w:before="96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1" w:name="bookmark0"/>
      <w:r w:rsidRPr="00EB405C">
        <w:rPr>
          <w:rFonts w:ascii="Times New Roman" w:hAnsi="Times New Roman" w:cs="Times New Roman"/>
          <w:b/>
          <w:sz w:val="36"/>
          <w:szCs w:val="36"/>
        </w:rPr>
        <w:t>Health and Other Services</w:t>
      </w:r>
      <w:r w:rsidR="005C6D7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B405C">
        <w:rPr>
          <w:rFonts w:ascii="Times New Roman" w:hAnsi="Times New Roman" w:cs="Times New Roman"/>
          <w:b/>
          <w:sz w:val="36"/>
          <w:szCs w:val="36"/>
        </w:rPr>
        <w:t>(Compensation) (Consequential</w:t>
      </w:r>
      <w:r w:rsidR="005C6D7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8162E" w:rsidRPr="00EB405C">
        <w:rPr>
          <w:rFonts w:ascii="Times New Roman" w:hAnsi="Times New Roman" w:cs="Times New Roman"/>
          <w:b/>
          <w:sz w:val="36"/>
          <w:szCs w:val="36"/>
        </w:rPr>
        <w:t>Amendments) Act 1995</w:t>
      </w:r>
      <w:bookmarkEnd w:id="1"/>
    </w:p>
    <w:p w14:paraId="7A8ADA5A" w14:textId="476CC1A4" w:rsidR="00EB405C" w:rsidRDefault="00A8162E" w:rsidP="00771D20">
      <w:pPr>
        <w:spacing w:before="96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" w:name="bookmark1"/>
      <w:r w:rsidRPr="00AB5860">
        <w:rPr>
          <w:rFonts w:ascii="Times New Roman" w:hAnsi="Times New Roman" w:cs="Times New Roman"/>
          <w:b/>
          <w:szCs w:val="22"/>
        </w:rPr>
        <w:t>No. 132 of 1995</w:t>
      </w:r>
      <w:bookmarkEnd w:id="2"/>
    </w:p>
    <w:p w14:paraId="3BE79679" w14:textId="77777777" w:rsidR="00946365" w:rsidRDefault="00946365" w:rsidP="00E35558">
      <w:pPr>
        <w:pBdr>
          <w:bottom w:val="thickThinLargeGap" w:sz="24" w:space="1" w:color="auto"/>
        </w:pBdr>
        <w:spacing w:before="9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E846976" w14:textId="77777777" w:rsidR="004618DF" w:rsidRPr="004606EF" w:rsidRDefault="00A8162E" w:rsidP="00771D20">
      <w:pPr>
        <w:spacing w:before="960"/>
        <w:jc w:val="center"/>
        <w:rPr>
          <w:rFonts w:ascii="Times New Roman" w:hAnsi="Times New Roman" w:cs="Times New Roman"/>
          <w:b/>
          <w:bCs/>
          <w:i/>
          <w:iCs/>
          <w:sz w:val="26"/>
          <w:szCs w:val="28"/>
        </w:rPr>
      </w:pPr>
      <w:bookmarkStart w:id="3" w:name="bookmark2"/>
      <w:r w:rsidRPr="004606EF">
        <w:rPr>
          <w:rFonts w:ascii="Times New Roman" w:hAnsi="Times New Roman" w:cs="Times New Roman"/>
          <w:b/>
          <w:sz w:val="26"/>
          <w:szCs w:val="28"/>
        </w:rPr>
        <w:t xml:space="preserve">An Act to make certain amendments relating to the </w:t>
      </w:r>
      <w:r w:rsidR="00EB405C" w:rsidRPr="004606EF">
        <w:rPr>
          <w:rStyle w:val="Heading2Italic"/>
          <w:rFonts w:eastAsia="Courier New"/>
          <w:sz w:val="26"/>
          <w:szCs w:val="28"/>
        </w:rPr>
        <w:t>Health</w:t>
      </w:r>
      <w:r w:rsidR="009632B5" w:rsidRPr="004606EF">
        <w:rPr>
          <w:rStyle w:val="Heading2Italic"/>
          <w:rFonts w:eastAsia="Courier New"/>
          <w:sz w:val="26"/>
          <w:szCs w:val="28"/>
        </w:rPr>
        <w:t xml:space="preserve"> </w:t>
      </w:r>
      <w:r w:rsidRPr="004606EF">
        <w:rPr>
          <w:rStyle w:val="Heading2Italic"/>
          <w:rFonts w:eastAsia="Courier New"/>
          <w:sz w:val="26"/>
          <w:szCs w:val="28"/>
        </w:rPr>
        <w:t>and Other Services (Compensation) Act 1995</w:t>
      </w:r>
      <w:bookmarkEnd w:id="3"/>
    </w:p>
    <w:p w14:paraId="78CEB4F9" w14:textId="77777777" w:rsidR="004618DF" w:rsidRPr="00EB405C" w:rsidRDefault="00EB405C" w:rsidP="00771D20">
      <w:pPr>
        <w:pStyle w:val="Bodytext20"/>
        <w:spacing w:before="120"/>
        <w:ind w:firstLine="6210"/>
        <w:jc w:val="both"/>
      </w:pPr>
      <w:r w:rsidRPr="00EB405C">
        <w:rPr>
          <w:i w:val="0"/>
        </w:rPr>
        <w:t>[</w:t>
      </w:r>
      <w:r>
        <w:t>Assented to 14 November 1995</w:t>
      </w:r>
      <w:r w:rsidRPr="00EB405C">
        <w:rPr>
          <w:i w:val="0"/>
        </w:rPr>
        <w:t>]</w:t>
      </w:r>
    </w:p>
    <w:p w14:paraId="2D019DE2" w14:textId="77777777" w:rsidR="004618DF" w:rsidRPr="00EB405C" w:rsidRDefault="00A8162E" w:rsidP="00771D20">
      <w:pPr>
        <w:pStyle w:val="BodyText1"/>
        <w:spacing w:before="120"/>
        <w:ind w:firstLine="360"/>
        <w:jc w:val="both"/>
      </w:pPr>
      <w:r w:rsidRPr="00EB405C">
        <w:t>The Parliament of Australia enacts:</w:t>
      </w:r>
    </w:p>
    <w:p w14:paraId="3212B075" w14:textId="77777777" w:rsidR="009806E9" w:rsidRDefault="00A8162E" w:rsidP="00771D20">
      <w:pPr>
        <w:spacing w:before="120" w:after="60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4" w:name="bookmark3"/>
      <w:r w:rsidRPr="00EB405C">
        <w:rPr>
          <w:rFonts w:ascii="Times New Roman" w:hAnsi="Times New Roman" w:cs="Times New Roman"/>
          <w:b/>
          <w:sz w:val="22"/>
          <w:szCs w:val="22"/>
        </w:rPr>
        <w:t>Short title</w:t>
      </w:r>
      <w:bookmarkEnd w:id="4"/>
    </w:p>
    <w:p w14:paraId="12084BAD" w14:textId="77777777" w:rsidR="00BB4DFD" w:rsidRDefault="009806E9" w:rsidP="00771D20">
      <w:pPr>
        <w:tabs>
          <w:tab w:val="left" w:pos="634"/>
        </w:tabs>
        <w:spacing w:before="120"/>
        <w:ind w:firstLine="27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E33E8">
        <w:rPr>
          <w:rStyle w:val="Bodytext2NotItalic"/>
          <w:rFonts w:eastAsia="Courier New"/>
          <w:b/>
          <w:i w:val="0"/>
        </w:rPr>
        <w:t>1.</w:t>
      </w:r>
      <w:r>
        <w:rPr>
          <w:rStyle w:val="Bodytext2NotItalic"/>
          <w:rFonts w:eastAsia="Courier New"/>
          <w:b/>
        </w:rPr>
        <w:tab/>
      </w:r>
      <w:r w:rsidR="00A8162E" w:rsidRPr="00EE33E8">
        <w:rPr>
          <w:rStyle w:val="Bodytext2NotItalic"/>
          <w:rFonts w:eastAsia="Courier New"/>
          <w:i w:val="0"/>
        </w:rPr>
        <w:t>This Act may be cited as th</w:t>
      </w:r>
      <w:r w:rsidR="00EE33E8">
        <w:rPr>
          <w:rStyle w:val="Bodytext2NotItalic"/>
          <w:rFonts w:eastAsia="Courier New"/>
          <w:i w:val="0"/>
        </w:rPr>
        <w:t xml:space="preserve">e </w:t>
      </w:r>
      <w:r w:rsidR="00A8162E" w:rsidRPr="00EE33E8">
        <w:rPr>
          <w:rFonts w:ascii="Times New Roman" w:hAnsi="Times New Roman" w:cs="Times New Roman"/>
          <w:i/>
          <w:sz w:val="22"/>
          <w:szCs w:val="22"/>
        </w:rPr>
        <w:t>Health and Other Services (Compensation) (Consequential Amendments) Act 1995.</w:t>
      </w:r>
    </w:p>
    <w:p w14:paraId="634BF726" w14:textId="77777777" w:rsidR="00BB4DFD" w:rsidRDefault="00BB4DFD" w:rsidP="00771D20">
      <w:pPr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br w:type="page"/>
      </w:r>
    </w:p>
    <w:p w14:paraId="74555BB2" w14:textId="41C8F9A0" w:rsidR="004618DF" w:rsidRPr="00946365" w:rsidRDefault="00A8162E" w:rsidP="00771D20">
      <w:pPr>
        <w:pStyle w:val="Bodytext30"/>
        <w:spacing w:before="120" w:after="60" w:line="240" w:lineRule="exact"/>
        <w:jc w:val="both"/>
        <w:rPr>
          <w:sz w:val="22"/>
          <w:szCs w:val="22"/>
        </w:rPr>
      </w:pPr>
      <w:r w:rsidRPr="00946365">
        <w:rPr>
          <w:sz w:val="22"/>
          <w:szCs w:val="22"/>
        </w:rPr>
        <w:lastRenderedPageBreak/>
        <w:t>Commencement</w:t>
      </w:r>
    </w:p>
    <w:p w14:paraId="09ABB547" w14:textId="77777777" w:rsidR="004618DF" w:rsidRPr="00BC3901" w:rsidRDefault="00946365" w:rsidP="00771D20">
      <w:pPr>
        <w:tabs>
          <w:tab w:val="left" w:pos="634"/>
        </w:tabs>
        <w:spacing w:before="120" w:after="60"/>
        <w:ind w:firstLine="274"/>
        <w:jc w:val="both"/>
        <w:rPr>
          <w:rFonts w:ascii="Times New Roman" w:hAnsi="Times New Roman" w:cs="Times New Roman"/>
          <w:sz w:val="22"/>
          <w:szCs w:val="22"/>
        </w:rPr>
      </w:pPr>
      <w:r w:rsidRPr="00BC3901">
        <w:rPr>
          <w:rFonts w:ascii="Times New Roman" w:hAnsi="Times New Roman" w:cs="Times New Roman"/>
          <w:b/>
          <w:sz w:val="22"/>
          <w:szCs w:val="22"/>
        </w:rPr>
        <w:t>2.</w:t>
      </w:r>
      <w:r w:rsidR="009806E9">
        <w:tab/>
      </w:r>
      <w:r w:rsidR="00A8162E" w:rsidRPr="00BC3901">
        <w:rPr>
          <w:rFonts w:ascii="Times New Roman" w:hAnsi="Times New Roman" w:cs="Times New Roman"/>
          <w:sz w:val="22"/>
          <w:szCs w:val="22"/>
        </w:rPr>
        <w:t xml:space="preserve">This Act commences on the day on which the </w:t>
      </w:r>
      <w:r w:rsidR="00A8162E" w:rsidRPr="00BC3901">
        <w:rPr>
          <w:rStyle w:val="BodytextItalic"/>
          <w:rFonts w:eastAsia="Courier New"/>
        </w:rPr>
        <w:t>Health and Other Services (Compensation) Act 1995</w:t>
      </w:r>
      <w:r w:rsidR="00A8162E" w:rsidRPr="00BC3901">
        <w:rPr>
          <w:rFonts w:ascii="Times New Roman" w:hAnsi="Times New Roman" w:cs="Times New Roman"/>
          <w:sz w:val="22"/>
          <w:szCs w:val="22"/>
        </w:rPr>
        <w:t xml:space="preserve"> commences.</w:t>
      </w:r>
    </w:p>
    <w:p w14:paraId="1B5610C7" w14:textId="77777777" w:rsidR="004618DF" w:rsidRPr="00946365" w:rsidRDefault="00A8162E" w:rsidP="00771D20">
      <w:pPr>
        <w:pStyle w:val="Bodytext30"/>
        <w:spacing w:before="120" w:after="60" w:line="240" w:lineRule="exact"/>
        <w:jc w:val="both"/>
        <w:rPr>
          <w:sz w:val="22"/>
          <w:szCs w:val="22"/>
        </w:rPr>
      </w:pPr>
      <w:r w:rsidRPr="00946365">
        <w:rPr>
          <w:sz w:val="22"/>
          <w:szCs w:val="22"/>
        </w:rPr>
        <w:t>Amendments of Acts</w:t>
      </w:r>
    </w:p>
    <w:p w14:paraId="4FCE6DAC" w14:textId="65F643F7" w:rsidR="00422713" w:rsidRPr="00BC3901" w:rsidRDefault="00946365" w:rsidP="00771D20">
      <w:pPr>
        <w:tabs>
          <w:tab w:val="left" w:pos="634"/>
        </w:tabs>
        <w:spacing w:before="120" w:after="60"/>
        <w:ind w:firstLine="274"/>
        <w:jc w:val="both"/>
        <w:rPr>
          <w:rFonts w:ascii="Times New Roman" w:hAnsi="Times New Roman" w:cs="Times New Roman"/>
          <w:sz w:val="22"/>
          <w:szCs w:val="22"/>
        </w:rPr>
      </w:pPr>
      <w:r w:rsidRPr="00BC3901">
        <w:rPr>
          <w:rFonts w:ascii="Times New Roman" w:hAnsi="Times New Roman" w:cs="Times New Roman"/>
          <w:b/>
          <w:sz w:val="22"/>
          <w:szCs w:val="22"/>
        </w:rPr>
        <w:t>3.</w:t>
      </w:r>
      <w:r w:rsidRPr="00BC3901">
        <w:rPr>
          <w:rFonts w:ascii="Times New Roman" w:hAnsi="Times New Roman" w:cs="Times New Roman"/>
          <w:sz w:val="22"/>
          <w:szCs w:val="22"/>
        </w:rPr>
        <w:tab/>
      </w:r>
      <w:r w:rsidR="00A8162E" w:rsidRPr="00BC3901">
        <w:rPr>
          <w:rFonts w:ascii="Times New Roman" w:hAnsi="Times New Roman" w:cs="Times New Roman"/>
          <w:sz w:val="22"/>
          <w:szCs w:val="22"/>
        </w:rPr>
        <w:t>The Acts referred to in the Schedule are ame</w:t>
      </w:r>
      <w:r w:rsidRPr="00BC3901">
        <w:rPr>
          <w:rFonts w:ascii="Times New Roman" w:hAnsi="Times New Roman" w:cs="Times New Roman"/>
          <w:sz w:val="22"/>
          <w:szCs w:val="22"/>
        </w:rPr>
        <w:t>nded as set out in t</w:t>
      </w:r>
      <w:r w:rsidR="009632B5" w:rsidRPr="00BC3901">
        <w:rPr>
          <w:rFonts w:ascii="Times New Roman" w:hAnsi="Times New Roman" w:cs="Times New Roman"/>
          <w:sz w:val="22"/>
          <w:szCs w:val="22"/>
        </w:rPr>
        <w:t>he Schedule</w:t>
      </w:r>
      <w:r w:rsidR="00AB5860">
        <w:rPr>
          <w:rFonts w:ascii="Times New Roman" w:hAnsi="Times New Roman" w:cs="Times New Roman"/>
          <w:sz w:val="22"/>
          <w:szCs w:val="22"/>
        </w:rPr>
        <w:t>.</w:t>
      </w:r>
    </w:p>
    <w:p w14:paraId="3D522EFC" w14:textId="77777777" w:rsidR="00BB4DFD" w:rsidRDefault="009632B5" w:rsidP="00771D20">
      <w:pPr>
        <w:pStyle w:val="BodyText1"/>
        <w:tabs>
          <w:tab w:val="left" w:pos="634"/>
        </w:tabs>
        <w:spacing w:before="120" w:line="264" w:lineRule="exact"/>
        <w:ind w:left="259" w:firstLine="274"/>
        <w:jc w:val="center"/>
      </w:pPr>
      <w:r>
        <w:t>———————</w:t>
      </w:r>
    </w:p>
    <w:p w14:paraId="14E148AD" w14:textId="77777777" w:rsidR="00BB4DFD" w:rsidRDefault="00BB4DFD" w:rsidP="00771D2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14:paraId="21ADC122" w14:textId="36C39F9D" w:rsidR="001E262C" w:rsidRPr="001E262C" w:rsidRDefault="00A8162E" w:rsidP="00294213">
      <w:pPr>
        <w:pStyle w:val="Bodytext40"/>
        <w:tabs>
          <w:tab w:val="right" w:pos="9360"/>
        </w:tabs>
        <w:spacing w:before="120"/>
        <w:ind w:firstLine="4050"/>
        <w:rPr>
          <w:rStyle w:val="Bodytext2NotItalic"/>
          <w:i w:val="0"/>
          <w:iCs w:val="0"/>
        </w:rPr>
      </w:pPr>
      <w:r w:rsidRPr="001E262C">
        <w:rPr>
          <w:rStyle w:val="Bodytext411pt"/>
          <w:b/>
        </w:rPr>
        <w:lastRenderedPageBreak/>
        <w:t>SCHEDULE</w:t>
      </w:r>
      <w:r w:rsidRPr="00EB405C">
        <w:rPr>
          <w:rStyle w:val="Bodytext411pt"/>
        </w:rPr>
        <w:tab/>
      </w:r>
      <w:r w:rsidR="001E262C" w:rsidRPr="00AB5860">
        <w:rPr>
          <w:sz w:val="20"/>
          <w:szCs w:val="22"/>
        </w:rPr>
        <w:t xml:space="preserve">Section </w:t>
      </w:r>
      <w:r w:rsidRPr="00AB5860">
        <w:rPr>
          <w:sz w:val="20"/>
          <w:szCs w:val="22"/>
        </w:rPr>
        <w:t>3</w:t>
      </w:r>
    </w:p>
    <w:p w14:paraId="21D6F63E" w14:textId="77777777" w:rsidR="001E262C" w:rsidRDefault="00A8162E" w:rsidP="00771D20">
      <w:pPr>
        <w:pStyle w:val="Bodytext20"/>
        <w:spacing w:before="120" w:line="466" w:lineRule="exact"/>
        <w:ind w:firstLine="0"/>
        <w:jc w:val="center"/>
        <w:rPr>
          <w:rStyle w:val="Bodytext2NotItalic"/>
        </w:rPr>
      </w:pPr>
      <w:r w:rsidRPr="00EB405C">
        <w:rPr>
          <w:rStyle w:val="Bodytext2NotItalic"/>
        </w:rPr>
        <w:t>AMENDMENTS OF ACTS</w:t>
      </w:r>
    </w:p>
    <w:p w14:paraId="4EB1678A" w14:textId="77777777" w:rsidR="004618DF" w:rsidRPr="001E262C" w:rsidRDefault="00A8162E" w:rsidP="00771D20">
      <w:pPr>
        <w:pStyle w:val="Bodytext20"/>
        <w:spacing w:before="120" w:line="466" w:lineRule="exact"/>
        <w:ind w:firstLine="0"/>
        <w:jc w:val="center"/>
        <w:rPr>
          <w:b/>
        </w:rPr>
      </w:pPr>
      <w:r w:rsidRPr="001E262C">
        <w:rPr>
          <w:b/>
        </w:rPr>
        <w:t>Health Insurance Act 1973</w:t>
      </w:r>
    </w:p>
    <w:p w14:paraId="06DDE9C2" w14:textId="77777777" w:rsidR="004618DF" w:rsidRPr="00EB405C" w:rsidRDefault="001E262C" w:rsidP="00C058B9">
      <w:pPr>
        <w:pStyle w:val="BodyText1"/>
        <w:spacing w:before="120" w:line="466" w:lineRule="exact"/>
        <w:ind w:firstLine="0"/>
        <w:jc w:val="both"/>
      </w:pPr>
      <w:r w:rsidRPr="001E262C">
        <w:rPr>
          <w:b/>
        </w:rPr>
        <w:t>1.</w:t>
      </w:r>
      <w:r w:rsidR="00C058B9">
        <w:rPr>
          <w:b/>
        </w:rPr>
        <w:t xml:space="preserve"> </w:t>
      </w:r>
      <w:r w:rsidR="00A8162E" w:rsidRPr="001E262C">
        <w:rPr>
          <w:b/>
        </w:rPr>
        <w:t>Subsection 18(4):</w:t>
      </w:r>
    </w:p>
    <w:p w14:paraId="0A5D7C0A" w14:textId="77777777" w:rsidR="004618DF" w:rsidRPr="00EB405C" w:rsidRDefault="00A8162E" w:rsidP="00771D20">
      <w:pPr>
        <w:pStyle w:val="BodyText1"/>
        <w:spacing w:before="120" w:line="220" w:lineRule="exact"/>
        <w:ind w:firstLine="274"/>
        <w:jc w:val="both"/>
      </w:pPr>
      <w:r w:rsidRPr="00EB405C">
        <w:t>Omit “Where”, substitute “Subject to subsection (4A), where”.</w:t>
      </w:r>
    </w:p>
    <w:p w14:paraId="3F6C46D4" w14:textId="77777777" w:rsidR="004618DF" w:rsidRPr="00EB405C" w:rsidRDefault="001E262C" w:rsidP="00C058B9">
      <w:pPr>
        <w:pStyle w:val="BodyText1"/>
        <w:spacing w:before="120" w:line="220" w:lineRule="exact"/>
        <w:ind w:firstLine="0"/>
        <w:jc w:val="both"/>
      </w:pPr>
      <w:r w:rsidRPr="001E262C">
        <w:rPr>
          <w:b/>
        </w:rPr>
        <w:t>2.</w:t>
      </w:r>
      <w:r w:rsidR="00C058B9">
        <w:rPr>
          <w:b/>
        </w:rPr>
        <w:t xml:space="preserve"> </w:t>
      </w:r>
      <w:r w:rsidR="00A8162E" w:rsidRPr="001E262C">
        <w:rPr>
          <w:b/>
        </w:rPr>
        <w:t>After subsection 18(4):</w:t>
      </w:r>
    </w:p>
    <w:p w14:paraId="37E5F986" w14:textId="77777777" w:rsidR="004618DF" w:rsidRPr="00EB405C" w:rsidRDefault="00A8162E" w:rsidP="00771D20">
      <w:pPr>
        <w:pStyle w:val="BodyText1"/>
        <w:spacing w:before="120" w:line="220" w:lineRule="exact"/>
        <w:ind w:firstLine="274"/>
        <w:jc w:val="both"/>
      </w:pPr>
      <w:r w:rsidRPr="00EB405C">
        <w:t>Insert:</w:t>
      </w:r>
    </w:p>
    <w:p w14:paraId="0CA2609A" w14:textId="77777777" w:rsidR="004618DF" w:rsidRPr="00EB405C" w:rsidRDefault="00A8162E" w:rsidP="00771D20">
      <w:pPr>
        <w:pStyle w:val="BodyText1"/>
        <w:spacing w:before="120" w:line="220" w:lineRule="exact"/>
        <w:ind w:firstLine="274"/>
        <w:jc w:val="both"/>
      </w:pPr>
      <w:r w:rsidRPr="00EB405C">
        <w:t xml:space="preserve">“(4A) A direction under subsection (4) cannot be made on or after the day on which the </w:t>
      </w:r>
      <w:r w:rsidRPr="00EB405C">
        <w:rPr>
          <w:rStyle w:val="BodytextItalic"/>
        </w:rPr>
        <w:t xml:space="preserve">Health and Other Services (Compensation) Act 1995 </w:t>
      </w:r>
      <w:r w:rsidRPr="00EB405C">
        <w:t>commences.”.</w:t>
      </w:r>
    </w:p>
    <w:p w14:paraId="4C609C08" w14:textId="77777777" w:rsidR="004618DF" w:rsidRPr="001E262C" w:rsidRDefault="00F93C1B" w:rsidP="00F93C1B">
      <w:pPr>
        <w:pStyle w:val="BodyText1"/>
        <w:spacing w:before="120" w:line="220" w:lineRule="exact"/>
        <w:ind w:firstLine="0"/>
        <w:jc w:val="both"/>
        <w:rPr>
          <w:b/>
        </w:rPr>
      </w:pPr>
      <w:r>
        <w:rPr>
          <w:b/>
        </w:rPr>
        <w:t xml:space="preserve">3. </w:t>
      </w:r>
      <w:r w:rsidR="00A8162E" w:rsidRPr="001E262C">
        <w:rPr>
          <w:b/>
        </w:rPr>
        <w:t>Subsection 130(25) (definition of “officer”):</w:t>
      </w:r>
    </w:p>
    <w:p w14:paraId="314EBF91" w14:textId="77777777" w:rsidR="004618DF" w:rsidRPr="00EB405C" w:rsidRDefault="00A8162E" w:rsidP="00771D20">
      <w:pPr>
        <w:pStyle w:val="BodyText1"/>
        <w:spacing w:before="120" w:line="220" w:lineRule="exact"/>
        <w:ind w:firstLine="274"/>
        <w:jc w:val="both"/>
      </w:pPr>
      <w:r w:rsidRPr="00EB405C">
        <w:t xml:space="preserve">Omit “under, or in relation to, this Act”, substitute “, under or in relation to this Act or the </w:t>
      </w:r>
      <w:r w:rsidRPr="00EB405C">
        <w:rPr>
          <w:rStyle w:val="BodytextItalic"/>
        </w:rPr>
        <w:t>Health Insurance Commission Act 1973</w:t>
      </w:r>
      <w:r w:rsidRPr="00EB405C">
        <w:t>”</w:t>
      </w:r>
      <w:r w:rsidRPr="00EB405C">
        <w:rPr>
          <w:rStyle w:val="BodytextItalic"/>
        </w:rPr>
        <w:t>.</w:t>
      </w:r>
    </w:p>
    <w:p w14:paraId="3517DD4A" w14:textId="77777777" w:rsidR="004618DF" w:rsidRPr="00730249" w:rsidRDefault="00A8162E" w:rsidP="00F93C1B">
      <w:pPr>
        <w:pStyle w:val="Bodytext20"/>
        <w:spacing w:before="120" w:line="220" w:lineRule="exact"/>
        <w:ind w:firstLine="0"/>
        <w:jc w:val="center"/>
        <w:rPr>
          <w:b/>
        </w:rPr>
      </w:pPr>
      <w:r w:rsidRPr="00730249">
        <w:rPr>
          <w:b/>
        </w:rPr>
        <w:t>Health Insurance Commission Act 1973</w:t>
      </w:r>
    </w:p>
    <w:p w14:paraId="6F9141E3" w14:textId="77777777" w:rsidR="004618DF" w:rsidRPr="00730249" w:rsidRDefault="00F93C1B" w:rsidP="00F93C1B">
      <w:pPr>
        <w:pStyle w:val="BodyText1"/>
        <w:spacing w:before="120" w:line="220" w:lineRule="exact"/>
        <w:ind w:firstLine="0"/>
        <w:jc w:val="both"/>
        <w:rPr>
          <w:b/>
        </w:rPr>
      </w:pPr>
      <w:r>
        <w:rPr>
          <w:b/>
        </w:rPr>
        <w:t xml:space="preserve">4. </w:t>
      </w:r>
      <w:r w:rsidR="00A8162E" w:rsidRPr="00730249">
        <w:rPr>
          <w:b/>
        </w:rPr>
        <w:t>After paragraph 3A(l)(b):</w:t>
      </w:r>
    </w:p>
    <w:p w14:paraId="329991C9" w14:textId="77777777" w:rsidR="004618DF" w:rsidRPr="00EB405C" w:rsidRDefault="00A8162E" w:rsidP="00771D20">
      <w:pPr>
        <w:pStyle w:val="BodyText1"/>
        <w:spacing w:before="120" w:line="220" w:lineRule="exact"/>
        <w:ind w:firstLine="274"/>
        <w:jc w:val="both"/>
      </w:pPr>
      <w:r w:rsidRPr="00EB405C">
        <w:t>Insert:</w:t>
      </w:r>
    </w:p>
    <w:p w14:paraId="487A8A49" w14:textId="559CCEB0" w:rsidR="004618DF" w:rsidRPr="00EB405C" w:rsidRDefault="00A8162E" w:rsidP="00771D20">
      <w:pPr>
        <w:pStyle w:val="BodyText1"/>
        <w:spacing w:before="120" w:line="220" w:lineRule="exact"/>
        <w:ind w:firstLine="274"/>
        <w:jc w:val="both"/>
      </w:pPr>
      <w:r w:rsidRPr="00F93C1B">
        <w:rPr>
          <w:rStyle w:val="Bodytext2NotItalic"/>
          <w:i w:val="0"/>
        </w:rPr>
        <w:t>“(ba)</w:t>
      </w:r>
      <w:r w:rsidRPr="00EB405C">
        <w:rPr>
          <w:rStyle w:val="Bodytext2NotItalic"/>
        </w:rPr>
        <w:t xml:space="preserve"> </w:t>
      </w:r>
      <w:r w:rsidRPr="00F93C1B">
        <w:rPr>
          <w:rStyle w:val="Bodytext2NotItalic"/>
          <w:i w:val="0"/>
        </w:rPr>
        <w:t>an offence against the</w:t>
      </w:r>
      <w:r w:rsidRPr="00EB405C">
        <w:rPr>
          <w:rStyle w:val="Bodytext2NotItalic"/>
        </w:rPr>
        <w:t xml:space="preserve"> </w:t>
      </w:r>
      <w:r w:rsidRPr="00F93C1B">
        <w:rPr>
          <w:i/>
        </w:rPr>
        <w:t>Health and Other Services (Compensation) Act 1995</w:t>
      </w:r>
      <w:r w:rsidRPr="00AB5860">
        <w:t>;</w:t>
      </w:r>
      <w:r w:rsidRPr="00F93C1B">
        <w:rPr>
          <w:rStyle w:val="Bodytext2NotItalic"/>
          <w:i w:val="0"/>
        </w:rPr>
        <w:t xml:space="preserve"> or”.</w:t>
      </w:r>
    </w:p>
    <w:p w14:paraId="2017EA30" w14:textId="77777777" w:rsidR="004618DF" w:rsidRPr="00730249" w:rsidRDefault="00F93C1B" w:rsidP="00F93C1B">
      <w:pPr>
        <w:pStyle w:val="BodyText1"/>
        <w:spacing w:before="120" w:line="220" w:lineRule="exact"/>
        <w:ind w:firstLine="0"/>
        <w:jc w:val="both"/>
        <w:rPr>
          <w:b/>
        </w:rPr>
      </w:pPr>
      <w:r>
        <w:rPr>
          <w:b/>
        </w:rPr>
        <w:t xml:space="preserve">5. </w:t>
      </w:r>
      <w:r w:rsidR="00A8162E" w:rsidRPr="00730249">
        <w:rPr>
          <w:b/>
        </w:rPr>
        <w:t>Paragraph 3A(l)(c):</w:t>
      </w:r>
    </w:p>
    <w:p w14:paraId="507FFAD8" w14:textId="77777777" w:rsidR="004618DF" w:rsidRPr="00FA7203" w:rsidRDefault="00A8162E" w:rsidP="00771D20">
      <w:pPr>
        <w:pStyle w:val="BodyText1"/>
        <w:spacing w:before="120" w:line="220" w:lineRule="exact"/>
        <w:ind w:firstLine="274"/>
        <w:jc w:val="both"/>
        <w:rPr>
          <w:i/>
        </w:rPr>
      </w:pPr>
      <w:r w:rsidRPr="00FA7203">
        <w:rPr>
          <w:rStyle w:val="Bodytext2NotItalic"/>
          <w:i w:val="0"/>
        </w:rPr>
        <w:t xml:space="preserve">Omit “or Part VII of </w:t>
      </w:r>
      <w:r w:rsidRPr="00EB405C">
        <w:t xml:space="preserve">the </w:t>
      </w:r>
      <w:r w:rsidRPr="00FA7203">
        <w:rPr>
          <w:i/>
        </w:rPr>
        <w:t>National Health Act 1953</w:t>
      </w:r>
      <w:r w:rsidRPr="00FA7203">
        <w:rPr>
          <w:rStyle w:val="Bodytext2NotItalic"/>
          <w:i w:val="0"/>
        </w:rPr>
        <w:t>”,</w:t>
      </w:r>
      <w:r w:rsidRPr="00EB405C">
        <w:rPr>
          <w:rStyle w:val="Bodytext2NotItalic"/>
        </w:rPr>
        <w:t xml:space="preserve"> </w:t>
      </w:r>
      <w:r w:rsidRPr="00FA7203">
        <w:rPr>
          <w:rStyle w:val="Bodytext2NotItalic"/>
          <w:i w:val="0"/>
        </w:rPr>
        <w:t>substitute “</w:t>
      </w:r>
      <w:r w:rsidRPr="00EB405C">
        <w:rPr>
          <w:rStyle w:val="Bodytext2NotItalic"/>
        </w:rPr>
        <w:t xml:space="preserve">, </w:t>
      </w:r>
      <w:r w:rsidRPr="00FA7203">
        <w:rPr>
          <w:rStyle w:val="Bodytext2NotItalic"/>
          <w:i w:val="0"/>
        </w:rPr>
        <w:t>Part VII of the</w:t>
      </w:r>
      <w:r w:rsidRPr="00EB405C">
        <w:rPr>
          <w:rStyle w:val="Bodytext2NotItalic"/>
        </w:rPr>
        <w:t xml:space="preserve"> </w:t>
      </w:r>
      <w:r w:rsidRPr="00FA7203">
        <w:rPr>
          <w:i/>
        </w:rPr>
        <w:t>National Health Act 1953</w:t>
      </w:r>
      <w:r w:rsidRPr="00FA7203">
        <w:rPr>
          <w:rStyle w:val="Bodytext2NotItalic"/>
          <w:i w:val="0"/>
        </w:rPr>
        <w:t xml:space="preserve"> or the </w:t>
      </w:r>
      <w:r w:rsidRPr="00FA7203">
        <w:rPr>
          <w:i/>
        </w:rPr>
        <w:t>Health and Other Services (Compensation) Act 1995</w:t>
      </w:r>
      <w:r w:rsidRPr="00FA7203">
        <w:rPr>
          <w:rStyle w:val="Bodytext2NotItalic"/>
          <w:i w:val="0"/>
        </w:rPr>
        <w:t>”</w:t>
      </w:r>
      <w:r w:rsidRPr="00FA7203">
        <w:rPr>
          <w:i/>
        </w:rPr>
        <w:t>.</w:t>
      </w:r>
    </w:p>
    <w:p w14:paraId="58C70E47" w14:textId="77777777" w:rsidR="004618DF" w:rsidRPr="00730249" w:rsidRDefault="00FA7203" w:rsidP="00FA7203">
      <w:pPr>
        <w:pStyle w:val="BodyText1"/>
        <w:spacing w:before="120" w:line="220" w:lineRule="exact"/>
        <w:ind w:firstLine="0"/>
        <w:jc w:val="both"/>
        <w:rPr>
          <w:b/>
        </w:rPr>
      </w:pPr>
      <w:r>
        <w:rPr>
          <w:b/>
        </w:rPr>
        <w:t xml:space="preserve">6. </w:t>
      </w:r>
      <w:r w:rsidR="00A8162E" w:rsidRPr="00730249">
        <w:rPr>
          <w:b/>
        </w:rPr>
        <w:t>Subsection 3A(2):</w:t>
      </w:r>
    </w:p>
    <w:p w14:paraId="677BA384" w14:textId="77777777" w:rsidR="004618DF" w:rsidRPr="00EB405C" w:rsidRDefault="00A8162E" w:rsidP="00771D20">
      <w:pPr>
        <w:pStyle w:val="BodyText1"/>
        <w:spacing w:before="120" w:line="220" w:lineRule="exact"/>
        <w:ind w:firstLine="274"/>
        <w:jc w:val="both"/>
      </w:pPr>
      <w:r w:rsidRPr="00EB405C">
        <w:t>Omit “Divisions 2 and 3”, substitute “Division 2”.</w:t>
      </w:r>
    </w:p>
    <w:p w14:paraId="0D3CE41C" w14:textId="77777777" w:rsidR="004618DF" w:rsidRPr="00BB6DCA" w:rsidRDefault="00FA7203" w:rsidP="00771D20">
      <w:pPr>
        <w:pStyle w:val="BodyText1"/>
        <w:tabs>
          <w:tab w:val="left" w:pos="360"/>
        </w:tabs>
        <w:spacing w:before="120" w:line="220" w:lineRule="exact"/>
        <w:ind w:firstLine="0"/>
        <w:jc w:val="both"/>
        <w:rPr>
          <w:b/>
        </w:rPr>
      </w:pPr>
      <w:r>
        <w:rPr>
          <w:b/>
        </w:rPr>
        <w:t xml:space="preserve">7. </w:t>
      </w:r>
      <w:r w:rsidR="00A8162E" w:rsidRPr="00BB6DCA">
        <w:rPr>
          <w:b/>
        </w:rPr>
        <w:t>After subsection 3A(2):</w:t>
      </w:r>
    </w:p>
    <w:p w14:paraId="7407C1E3" w14:textId="77777777" w:rsidR="004618DF" w:rsidRPr="00EB405C" w:rsidRDefault="00A8162E" w:rsidP="00771D20">
      <w:pPr>
        <w:pStyle w:val="BodyText1"/>
        <w:spacing w:before="120" w:line="220" w:lineRule="exact"/>
        <w:ind w:firstLine="274"/>
        <w:jc w:val="both"/>
      </w:pPr>
      <w:r w:rsidRPr="00EB405C">
        <w:t>Insert:</w:t>
      </w:r>
    </w:p>
    <w:p w14:paraId="68A618C0" w14:textId="77777777" w:rsidR="004618DF" w:rsidRPr="00EB405C" w:rsidRDefault="00A8162E" w:rsidP="00771D20">
      <w:pPr>
        <w:pStyle w:val="BodyText1"/>
        <w:spacing w:before="120" w:line="220" w:lineRule="exact"/>
        <w:ind w:firstLine="274"/>
        <w:jc w:val="both"/>
      </w:pPr>
      <w:r w:rsidRPr="00EB405C">
        <w:t>“(2A) For the purposes of Division 3 of Part IID, a relevant offence is:</w:t>
      </w:r>
    </w:p>
    <w:p w14:paraId="47105E2F" w14:textId="6F603EA2" w:rsidR="004618DF" w:rsidRPr="00EB405C" w:rsidRDefault="00730249" w:rsidP="00771D20">
      <w:pPr>
        <w:pStyle w:val="BodyText1"/>
        <w:spacing w:before="120" w:line="220" w:lineRule="exact"/>
        <w:ind w:left="558" w:hanging="288"/>
        <w:jc w:val="both"/>
      </w:pPr>
      <w:r>
        <w:t>(a)</w:t>
      </w:r>
      <w:r w:rsidR="009632B5">
        <w:t xml:space="preserve"> </w:t>
      </w:r>
      <w:r w:rsidR="00A8162E" w:rsidRPr="00EB405C">
        <w:t>an offence against section 128A, 128B, 129,</w:t>
      </w:r>
      <w:r w:rsidR="00AB5860">
        <w:t xml:space="preserve"> </w:t>
      </w:r>
      <w:r w:rsidR="00A8162E" w:rsidRPr="00EB405C">
        <w:t xml:space="preserve">129AA or 129AAA of the </w:t>
      </w:r>
      <w:r w:rsidR="00A8162E" w:rsidRPr="00EB405C">
        <w:rPr>
          <w:rStyle w:val="BodytextItalic"/>
        </w:rPr>
        <w:t>Health Insurance Act 1973</w:t>
      </w:r>
      <w:r w:rsidR="00A8162E" w:rsidRPr="00AB5860">
        <w:rPr>
          <w:rStyle w:val="BodytextItalic"/>
          <w:i w:val="0"/>
        </w:rPr>
        <w:t>;</w:t>
      </w:r>
      <w:r w:rsidR="00A8162E" w:rsidRPr="00EB405C">
        <w:t xml:space="preserve"> or</w:t>
      </w:r>
    </w:p>
    <w:p w14:paraId="59FA0225" w14:textId="5983817C" w:rsidR="004618DF" w:rsidRPr="00EB405C" w:rsidRDefault="009632B5" w:rsidP="00771D20">
      <w:pPr>
        <w:pStyle w:val="BodyText1"/>
        <w:spacing w:before="120" w:line="220" w:lineRule="exact"/>
        <w:ind w:left="630" w:hanging="360"/>
        <w:jc w:val="both"/>
      </w:pPr>
      <w:r>
        <w:t xml:space="preserve">(b) </w:t>
      </w:r>
      <w:r w:rsidR="00A8162E" w:rsidRPr="00EB405C">
        <w:t xml:space="preserve">an offence against subsection 84L(1) or (2) or section 103 of the </w:t>
      </w:r>
      <w:r w:rsidR="00A8162E" w:rsidRPr="00EB405C">
        <w:rPr>
          <w:rStyle w:val="BodytextItalic"/>
        </w:rPr>
        <w:t>National Health Act 1953</w:t>
      </w:r>
      <w:r w:rsidR="00A8162E" w:rsidRPr="00AB5860">
        <w:rPr>
          <w:rStyle w:val="BodytextItalic"/>
          <w:i w:val="0"/>
        </w:rPr>
        <w:t>;</w:t>
      </w:r>
      <w:r w:rsidR="00A8162E" w:rsidRPr="00AB5860">
        <w:rPr>
          <w:i/>
        </w:rPr>
        <w:t xml:space="preserve"> </w:t>
      </w:r>
      <w:r w:rsidR="00A8162E" w:rsidRPr="00EB405C">
        <w:t>or</w:t>
      </w:r>
    </w:p>
    <w:p w14:paraId="673133CF" w14:textId="4B3F78FA" w:rsidR="00BB4DFD" w:rsidRDefault="007C766B" w:rsidP="00771D20">
      <w:pPr>
        <w:pStyle w:val="BodyText1"/>
        <w:spacing w:before="120" w:line="220" w:lineRule="exact"/>
        <w:ind w:left="630" w:hanging="360"/>
        <w:jc w:val="both"/>
        <w:rPr>
          <w:rStyle w:val="Bodytext2NotItalic"/>
        </w:rPr>
      </w:pPr>
      <w:r w:rsidRPr="007C766B">
        <w:rPr>
          <w:rStyle w:val="Bodytext2NotItalic"/>
          <w:i w:val="0"/>
        </w:rPr>
        <w:t>(c)</w:t>
      </w:r>
      <w:r w:rsidR="009632B5">
        <w:rPr>
          <w:rStyle w:val="Bodytext2NotItalic"/>
        </w:rPr>
        <w:t xml:space="preserve"> </w:t>
      </w:r>
      <w:r w:rsidR="00A8162E" w:rsidRPr="00415498">
        <w:rPr>
          <w:rStyle w:val="Bodytext2NotItalic"/>
          <w:i w:val="0"/>
        </w:rPr>
        <w:t>an offence against the</w:t>
      </w:r>
      <w:r w:rsidR="00A8162E" w:rsidRPr="00EB405C">
        <w:rPr>
          <w:rStyle w:val="Bodytext2NotItalic"/>
        </w:rPr>
        <w:t xml:space="preserve"> </w:t>
      </w:r>
      <w:r w:rsidR="00A8162E" w:rsidRPr="00415498">
        <w:rPr>
          <w:i/>
        </w:rPr>
        <w:t>Health and Other Services (Compensation) Act 1995</w:t>
      </w:r>
      <w:r w:rsidR="00A8162E" w:rsidRPr="00AB5860">
        <w:t>;</w:t>
      </w:r>
      <w:r w:rsidR="00A8162E" w:rsidRPr="00EB405C">
        <w:rPr>
          <w:rStyle w:val="Bodytext2NotItalic"/>
        </w:rPr>
        <w:t xml:space="preserve"> </w:t>
      </w:r>
      <w:r w:rsidR="00A8162E" w:rsidRPr="00415498">
        <w:rPr>
          <w:rStyle w:val="Bodytext2NotItalic"/>
          <w:i w:val="0"/>
        </w:rPr>
        <w:t>or</w:t>
      </w:r>
    </w:p>
    <w:p w14:paraId="659D7B64" w14:textId="77777777" w:rsidR="00BB4DFD" w:rsidRDefault="00BB4DFD" w:rsidP="00771D20">
      <w:pPr>
        <w:jc w:val="both"/>
        <w:rPr>
          <w:rStyle w:val="Bodytext2NotItalic"/>
          <w:rFonts w:eastAsia="Courier New"/>
        </w:rPr>
      </w:pPr>
      <w:r>
        <w:rPr>
          <w:rStyle w:val="Bodytext2NotItalic"/>
          <w:rFonts w:eastAsia="Courier New"/>
        </w:rPr>
        <w:br w:type="page"/>
      </w:r>
    </w:p>
    <w:p w14:paraId="65939A72" w14:textId="77777777" w:rsidR="004618DF" w:rsidRPr="00EB405C" w:rsidRDefault="00A8162E" w:rsidP="00DE6B73">
      <w:pPr>
        <w:pStyle w:val="BodyText1"/>
        <w:spacing w:line="220" w:lineRule="exact"/>
        <w:ind w:firstLine="0"/>
        <w:jc w:val="center"/>
      </w:pPr>
      <w:r w:rsidRPr="007C766B">
        <w:rPr>
          <w:b/>
        </w:rPr>
        <w:lastRenderedPageBreak/>
        <w:t>SCHEDULE</w:t>
      </w:r>
      <w:r w:rsidRPr="00EB405C">
        <w:t>—continued</w:t>
      </w:r>
    </w:p>
    <w:p w14:paraId="6A98EF90" w14:textId="77777777" w:rsidR="004618DF" w:rsidRPr="00EB405C" w:rsidRDefault="009632B5" w:rsidP="00771D20">
      <w:pPr>
        <w:pStyle w:val="BodyText1"/>
        <w:spacing w:before="120" w:line="220" w:lineRule="exact"/>
        <w:ind w:left="594" w:hanging="320"/>
        <w:jc w:val="both"/>
      </w:pPr>
      <w:r>
        <w:t xml:space="preserve">(d) </w:t>
      </w:r>
      <w:r w:rsidR="00A8162E" w:rsidRPr="00EB405C">
        <w:t xml:space="preserve">an offence against section 6, 7 or 7A or paragraph 86(1)(a) of the </w:t>
      </w:r>
      <w:r w:rsidR="00A8162E" w:rsidRPr="00EB405C">
        <w:rPr>
          <w:rStyle w:val="BodytextItalic"/>
        </w:rPr>
        <w:t>Crimes Act 1914</w:t>
      </w:r>
      <w:r w:rsidR="00A8162E" w:rsidRPr="00EB405C">
        <w:t xml:space="preserve"> that relates to an offence referred to in paragraph (a), (b) or (c); or</w:t>
      </w:r>
    </w:p>
    <w:p w14:paraId="082B5396" w14:textId="77777777" w:rsidR="004618DF" w:rsidRPr="00EB405C" w:rsidRDefault="009632B5" w:rsidP="00771D20">
      <w:pPr>
        <w:pStyle w:val="BodyText1"/>
        <w:spacing w:before="120" w:line="220" w:lineRule="exact"/>
        <w:ind w:left="594" w:hanging="320"/>
        <w:jc w:val="both"/>
      </w:pPr>
      <w:r>
        <w:t xml:space="preserve">(e) </w:t>
      </w:r>
      <w:r w:rsidR="00A8162E" w:rsidRPr="00EB405C">
        <w:t xml:space="preserve">an offence against subsection 29A(1) or (2), section 29B, 29C, 29D or 30, paragraph 67(b) or (e) or section 86A of the </w:t>
      </w:r>
      <w:r w:rsidR="00A8162E" w:rsidRPr="00EB405C">
        <w:rPr>
          <w:rStyle w:val="BodytextItalic"/>
        </w:rPr>
        <w:t xml:space="preserve">Crimes Act 1914 </w:t>
      </w:r>
      <w:r w:rsidR="00A8162E" w:rsidRPr="00EB405C">
        <w:t>that is an offence relating to a claim for payment in respect of the rendering of a professional service; or</w:t>
      </w:r>
    </w:p>
    <w:p w14:paraId="01326708" w14:textId="77777777" w:rsidR="004618DF" w:rsidRPr="00EB405C" w:rsidRDefault="009632B5" w:rsidP="00771D20">
      <w:pPr>
        <w:pStyle w:val="BodyText1"/>
        <w:spacing w:before="120" w:line="220" w:lineRule="exact"/>
        <w:ind w:left="594" w:hanging="320"/>
        <w:jc w:val="both"/>
      </w:pPr>
      <w:r>
        <w:t xml:space="preserve">(f) </w:t>
      </w:r>
      <w:r w:rsidR="00A8162E" w:rsidRPr="00EB405C">
        <w:t xml:space="preserve">an offence against section 6, 7 or 7A of the </w:t>
      </w:r>
      <w:r w:rsidR="00A8162E" w:rsidRPr="00EB405C">
        <w:rPr>
          <w:rStyle w:val="BodytextItalic"/>
        </w:rPr>
        <w:t>Crimes Act 1914</w:t>
      </w:r>
      <w:r w:rsidR="00A8162E" w:rsidRPr="00EB405C">
        <w:t xml:space="preserve"> that relates to an offence referred to in paragraph (e).”.</w:t>
      </w:r>
    </w:p>
    <w:p w14:paraId="05A7409A" w14:textId="77777777" w:rsidR="004618DF" w:rsidRPr="00BB6DCA" w:rsidRDefault="00FA7203" w:rsidP="00FA7203">
      <w:pPr>
        <w:pStyle w:val="BodyText1"/>
        <w:spacing w:before="120" w:line="220" w:lineRule="exact"/>
        <w:ind w:firstLine="0"/>
        <w:jc w:val="both"/>
        <w:rPr>
          <w:b/>
        </w:rPr>
      </w:pPr>
      <w:r>
        <w:rPr>
          <w:b/>
        </w:rPr>
        <w:t xml:space="preserve">8. </w:t>
      </w:r>
      <w:r w:rsidR="00A8162E" w:rsidRPr="00BB6DCA">
        <w:rPr>
          <w:b/>
        </w:rPr>
        <w:t>Subsection 3A(3):</w:t>
      </w:r>
    </w:p>
    <w:p w14:paraId="7C660B3D" w14:textId="77777777" w:rsidR="004618DF" w:rsidRPr="00EB405C" w:rsidRDefault="00A8162E" w:rsidP="0013492F">
      <w:pPr>
        <w:pStyle w:val="BodyText1"/>
        <w:spacing w:before="120" w:line="220" w:lineRule="exact"/>
        <w:ind w:firstLine="274"/>
        <w:jc w:val="both"/>
      </w:pPr>
      <w:r w:rsidRPr="00EB405C">
        <w:t>Omit “paragraph (2)(d)”, substitute “paragraphs (2)(d) and (2A)(e)”.</w:t>
      </w:r>
    </w:p>
    <w:p w14:paraId="71CA30CE" w14:textId="77777777" w:rsidR="004618DF" w:rsidRPr="00BB6DCA" w:rsidRDefault="00FA7203" w:rsidP="00FA7203">
      <w:pPr>
        <w:pStyle w:val="BodyText1"/>
        <w:spacing w:before="120" w:line="220" w:lineRule="exact"/>
        <w:ind w:firstLine="0"/>
        <w:jc w:val="both"/>
        <w:rPr>
          <w:b/>
        </w:rPr>
      </w:pPr>
      <w:r>
        <w:rPr>
          <w:b/>
        </w:rPr>
        <w:t xml:space="preserve">9. </w:t>
      </w:r>
      <w:r w:rsidR="00A8162E" w:rsidRPr="00BB6DCA">
        <w:rPr>
          <w:b/>
        </w:rPr>
        <w:t>After section 8C:</w:t>
      </w:r>
    </w:p>
    <w:p w14:paraId="74BF4359" w14:textId="77777777" w:rsidR="004618DF" w:rsidRPr="00EB405C" w:rsidRDefault="00A8162E" w:rsidP="0013492F">
      <w:pPr>
        <w:pStyle w:val="BodyText1"/>
        <w:spacing w:before="120" w:line="220" w:lineRule="exact"/>
        <w:ind w:firstLine="274"/>
        <w:jc w:val="both"/>
      </w:pPr>
      <w:r w:rsidRPr="00EB405C">
        <w:t>Insert:</w:t>
      </w:r>
    </w:p>
    <w:p w14:paraId="6887988D" w14:textId="77777777" w:rsidR="004618DF" w:rsidRPr="007C766B" w:rsidRDefault="00A8162E" w:rsidP="00771D20">
      <w:pPr>
        <w:pStyle w:val="Bodytext50"/>
        <w:spacing w:before="120"/>
        <w:rPr>
          <w:sz w:val="22"/>
          <w:szCs w:val="22"/>
        </w:rPr>
      </w:pPr>
      <w:r w:rsidRPr="007C766B">
        <w:rPr>
          <w:rStyle w:val="Bodytext5Bold"/>
          <w:sz w:val="22"/>
          <w:szCs w:val="22"/>
        </w:rPr>
        <w:t xml:space="preserve">Administration of the </w:t>
      </w:r>
      <w:r w:rsidRPr="00266C2B">
        <w:rPr>
          <w:b/>
          <w:sz w:val="22"/>
          <w:szCs w:val="22"/>
        </w:rPr>
        <w:t>Health and Other Services (Compensation) Act 1995</w:t>
      </w:r>
      <w:r w:rsidRPr="007C766B">
        <w:rPr>
          <w:rStyle w:val="Bodytext5Bold"/>
          <w:sz w:val="22"/>
          <w:szCs w:val="22"/>
        </w:rPr>
        <w:t xml:space="preserve"> etc.</w:t>
      </w:r>
    </w:p>
    <w:p w14:paraId="34F456BB" w14:textId="32E1BD69" w:rsidR="004618DF" w:rsidRDefault="00A8162E" w:rsidP="00771D20">
      <w:pPr>
        <w:pStyle w:val="Bodytext20"/>
        <w:spacing w:before="120" w:line="259" w:lineRule="exact"/>
        <w:ind w:firstLine="270"/>
        <w:jc w:val="both"/>
      </w:pPr>
      <w:r w:rsidRPr="00EB405C">
        <w:rPr>
          <w:rStyle w:val="Bodytext2NotItalic"/>
        </w:rPr>
        <w:t xml:space="preserve">“8D. The functions of the Commission include administering the </w:t>
      </w:r>
      <w:r w:rsidRPr="00EB405C">
        <w:t>Health and Other Services (Compensation) Act 1995</w:t>
      </w:r>
      <w:r w:rsidRPr="00AB5860">
        <w:rPr>
          <w:i w:val="0"/>
        </w:rPr>
        <w:t>,</w:t>
      </w:r>
      <w:r w:rsidRPr="00AB5860">
        <w:rPr>
          <w:rStyle w:val="Bodytext2NotItalic"/>
          <w:i/>
        </w:rPr>
        <w:t xml:space="preserve"> </w:t>
      </w:r>
      <w:r w:rsidRPr="00EB405C">
        <w:rPr>
          <w:rStyle w:val="Bodytext2NotItalic"/>
        </w:rPr>
        <w:t xml:space="preserve">the </w:t>
      </w:r>
      <w:r w:rsidRPr="00EB405C">
        <w:t>Health and Other Services (Compensation) Care Charges Act 1995</w:t>
      </w:r>
      <w:r w:rsidRPr="00EB405C">
        <w:rPr>
          <w:rStyle w:val="Bodytext2NotItalic"/>
        </w:rPr>
        <w:t xml:space="preserve"> and </w:t>
      </w:r>
      <w:r w:rsidRPr="00AB5860">
        <w:rPr>
          <w:i w:val="0"/>
        </w:rPr>
        <w:t>the</w:t>
      </w:r>
      <w:r w:rsidRPr="00EB405C">
        <w:t xml:space="preserve"> Health and Other Services (Compensation) Administration Fee Act 1995</w:t>
      </w:r>
      <w:r w:rsidR="00AB5860" w:rsidRPr="00AB5860">
        <w:rPr>
          <w:i w:val="0"/>
        </w:rPr>
        <w:t>.</w:t>
      </w:r>
      <w:r w:rsidRPr="00AB5860">
        <w:rPr>
          <w:i w:val="0"/>
        </w:rPr>
        <w:t>”.</w:t>
      </w:r>
    </w:p>
    <w:p w14:paraId="1CB000ED" w14:textId="77777777" w:rsidR="004618DF" w:rsidRPr="00BB6DCA" w:rsidRDefault="0013492F" w:rsidP="0013492F">
      <w:pPr>
        <w:pStyle w:val="BodyText1"/>
        <w:spacing w:before="120" w:line="220" w:lineRule="exact"/>
        <w:ind w:firstLine="0"/>
        <w:jc w:val="both"/>
        <w:rPr>
          <w:b/>
        </w:rPr>
      </w:pPr>
      <w:r>
        <w:rPr>
          <w:b/>
        </w:rPr>
        <w:t xml:space="preserve">10. </w:t>
      </w:r>
      <w:r w:rsidR="00A8162E" w:rsidRPr="00BB6DCA">
        <w:rPr>
          <w:b/>
        </w:rPr>
        <w:t>Subsection 41B(1):</w:t>
      </w:r>
    </w:p>
    <w:p w14:paraId="27205865" w14:textId="79FA8D01" w:rsidR="004618DF" w:rsidRPr="00EB405C" w:rsidRDefault="009632B5" w:rsidP="00771D20">
      <w:pPr>
        <w:pStyle w:val="BodyText1"/>
        <w:spacing w:before="120" w:line="220" w:lineRule="exact"/>
        <w:ind w:left="594" w:hanging="320"/>
        <w:jc w:val="both"/>
      </w:pPr>
      <w:r>
        <w:t xml:space="preserve">(a) </w:t>
      </w:r>
      <w:r w:rsidR="00A8162E" w:rsidRPr="00EB405C">
        <w:t xml:space="preserve">After “Part IIB” insert “of this Act or section 40 of the </w:t>
      </w:r>
      <w:r w:rsidR="00A8162E" w:rsidRPr="00EB405C">
        <w:rPr>
          <w:rStyle w:val="BodytextItalic"/>
        </w:rPr>
        <w:t>Health and Other Services (Compensation) Act 1995</w:t>
      </w:r>
      <w:r w:rsidR="00A8162E" w:rsidRPr="00AB5860">
        <w:rPr>
          <w:rStyle w:val="BodytextItalic"/>
          <w:i w:val="0"/>
        </w:rPr>
        <w:t>".</w:t>
      </w:r>
    </w:p>
    <w:p w14:paraId="1EEBDB6F" w14:textId="77777777" w:rsidR="004618DF" w:rsidRPr="00EB405C" w:rsidRDefault="009632B5" w:rsidP="00771D20">
      <w:pPr>
        <w:pStyle w:val="BodyText1"/>
        <w:spacing w:before="120" w:line="220" w:lineRule="exact"/>
        <w:ind w:left="594" w:hanging="320"/>
        <w:jc w:val="both"/>
      </w:pPr>
      <w:r>
        <w:t xml:space="preserve">(b) </w:t>
      </w:r>
      <w:r w:rsidR="00A8162E" w:rsidRPr="00EB405C">
        <w:t>After “section 42” insert “of this Act”.</w:t>
      </w:r>
    </w:p>
    <w:p w14:paraId="594DE267" w14:textId="77777777" w:rsidR="004618DF" w:rsidRPr="00DB28CE" w:rsidRDefault="00A8162E" w:rsidP="0013492F">
      <w:pPr>
        <w:pStyle w:val="Bodytext50"/>
        <w:spacing w:before="120" w:line="240" w:lineRule="exact"/>
        <w:jc w:val="center"/>
        <w:rPr>
          <w:b/>
          <w:sz w:val="22"/>
          <w:szCs w:val="22"/>
        </w:rPr>
      </w:pPr>
      <w:r w:rsidRPr="00DB28CE">
        <w:rPr>
          <w:b/>
          <w:sz w:val="22"/>
          <w:szCs w:val="22"/>
        </w:rPr>
        <w:t>National Health Act 1953</w:t>
      </w:r>
    </w:p>
    <w:p w14:paraId="1BF36249" w14:textId="77777777" w:rsidR="004618DF" w:rsidRPr="00DB28CE" w:rsidRDefault="0013492F" w:rsidP="00771D20">
      <w:pPr>
        <w:pStyle w:val="Bodytext30"/>
        <w:tabs>
          <w:tab w:val="left" w:pos="360"/>
          <w:tab w:val="left" w:pos="630"/>
        </w:tabs>
        <w:spacing w:before="120"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A8162E" w:rsidRPr="00DB28CE">
        <w:rPr>
          <w:sz w:val="22"/>
          <w:szCs w:val="22"/>
        </w:rPr>
        <w:t>Subsection 59(4):</w:t>
      </w:r>
    </w:p>
    <w:p w14:paraId="630E4E54" w14:textId="77777777" w:rsidR="004618DF" w:rsidRPr="00EB405C" w:rsidRDefault="00A8162E" w:rsidP="0013492F">
      <w:pPr>
        <w:pStyle w:val="BodyText1"/>
        <w:spacing w:before="120" w:line="220" w:lineRule="exact"/>
        <w:ind w:firstLine="274"/>
        <w:jc w:val="both"/>
      </w:pPr>
      <w:r w:rsidRPr="00EB405C">
        <w:t>Omit “Where”, substitute “Subject to subsection (4A), where”.</w:t>
      </w:r>
    </w:p>
    <w:p w14:paraId="36DFD51E" w14:textId="77777777" w:rsidR="004618DF" w:rsidRPr="00DB28CE" w:rsidRDefault="0013492F" w:rsidP="00771D20">
      <w:pPr>
        <w:pStyle w:val="Bodytext30"/>
        <w:tabs>
          <w:tab w:val="left" w:pos="360"/>
        </w:tabs>
        <w:spacing w:before="120"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A8162E" w:rsidRPr="00DB28CE">
        <w:rPr>
          <w:sz w:val="22"/>
          <w:szCs w:val="22"/>
        </w:rPr>
        <w:t>After subsection 59(4):</w:t>
      </w:r>
    </w:p>
    <w:p w14:paraId="43FFA941" w14:textId="77777777" w:rsidR="00DB28CE" w:rsidRPr="00EB405C" w:rsidRDefault="00A8162E" w:rsidP="0013492F">
      <w:pPr>
        <w:pStyle w:val="BodyText1"/>
        <w:spacing w:before="120" w:line="220" w:lineRule="exact"/>
        <w:ind w:firstLine="274"/>
        <w:jc w:val="both"/>
      </w:pPr>
      <w:r w:rsidRPr="00EB405C">
        <w:t>Insert:</w:t>
      </w:r>
    </w:p>
    <w:p w14:paraId="420CF5C9" w14:textId="77777777" w:rsidR="0098614B" w:rsidRDefault="00A8162E" w:rsidP="00771D20">
      <w:pPr>
        <w:pStyle w:val="BodyText1"/>
        <w:spacing w:before="120" w:line="220" w:lineRule="exact"/>
        <w:ind w:firstLine="274"/>
        <w:jc w:val="both"/>
      </w:pPr>
      <w:r w:rsidRPr="00EB405C">
        <w:t xml:space="preserve">“(4A) A direction under subsection (4) cannot be made on or after the day on which the </w:t>
      </w:r>
      <w:r w:rsidRPr="00EB405C">
        <w:rPr>
          <w:rStyle w:val="BodytextItalic"/>
        </w:rPr>
        <w:t xml:space="preserve">Health and Other Services (Compensation) Act 1995 </w:t>
      </w:r>
      <w:r w:rsidRPr="00EB405C">
        <w:t>commences.”.</w:t>
      </w:r>
    </w:p>
    <w:p w14:paraId="063DEB54" w14:textId="77777777" w:rsidR="0098614B" w:rsidRDefault="0098614B" w:rsidP="00771D2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14:paraId="107997B0" w14:textId="77777777" w:rsidR="004618DF" w:rsidRPr="00AB5860" w:rsidRDefault="00A8162E" w:rsidP="00D24D94">
      <w:pPr>
        <w:pStyle w:val="Bodytext60"/>
        <w:spacing w:before="120" w:line="240" w:lineRule="auto"/>
        <w:jc w:val="both"/>
        <w:rPr>
          <w:b w:val="0"/>
          <w:sz w:val="20"/>
          <w:szCs w:val="22"/>
        </w:rPr>
      </w:pPr>
      <w:r w:rsidRPr="00AB5860">
        <w:rPr>
          <w:b w:val="0"/>
          <w:i w:val="0"/>
          <w:sz w:val="20"/>
          <w:szCs w:val="22"/>
        </w:rPr>
        <w:lastRenderedPageBreak/>
        <w:t>[</w:t>
      </w:r>
      <w:r w:rsidRPr="00AB5860">
        <w:rPr>
          <w:b w:val="0"/>
          <w:sz w:val="20"/>
          <w:szCs w:val="22"/>
        </w:rPr>
        <w:t>Minister’s second reading speech made in</w:t>
      </w:r>
      <w:r w:rsidRPr="00AB5860">
        <w:rPr>
          <w:rStyle w:val="Bodytext6FranklinGothicDemi"/>
          <w:rFonts w:ascii="Times New Roman" w:hAnsi="Times New Roman" w:cs="Times New Roman"/>
          <w:sz w:val="20"/>
          <w:szCs w:val="22"/>
        </w:rPr>
        <w:t>—</w:t>
      </w:r>
    </w:p>
    <w:p w14:paraId="23BCE7D2" w14:textId="736ED3DD" w:rsidR="004618DF" w:rsidRPr="00EB405C" w:rsidRDefault="00A8162E" w:rsidP="001E56D2">
      <w:pPr>
        <w:pStyle w:val="Bodytext60"/>
        <w:spacing w:line="240" w:lineRule="auto"/>
        <w:ind w:left="900" w:right="4230"/>
        <w:jc w:val="both"/>
        <w:rPr>
          <w:b w:val="0"/>
          <w:sz w:val="22"/>
          <w:szCs w:val="22"/>
          <w:lang w:val="en-IN"/>
        </w:rPr>
      </w:pPr>
      <w:r w:rsidRPr="00AB5860">
        <w:rPr>
          <w:b w:val="0"/>
          <w:sz w:val="20"/>
          <w:szCs w:val="22"/>
        </w:rPr>
        <w:t>House of Rep</w:t>
      </w:r>
      <w:r w:rsidR="00E50965" w:rsidRPr="00AB5860">
        <w:rPr>
          <w:b w:val="0"/>
          <w:sz w:val="20"/>
          <w:szCs w:val="22"/>
        </w:rPr>
        <w:t>resentatives on 9 December 1994</w:t>
      </w:r>
      <w:r w:rsidR="00E17C85" w:rsidRPr="00AB5860">
        <w:rPr>
          <w:b w:val="0"/>
          <w:sz w:val="20"/>
          <w:szCs w:val="22"/>
        </w:rPr>
        <w:t xml:space="preserve"> </w:t>
      </w:r>
      <w:r w:rsidRPr="00AB5860">
        <w:rPr>
          <w:b w:val="0"/>
          <w:sz w:val="20"/>
          <w:szCs w:val="22"/>
        </w:rPr>
        <w:t>Senate on 1 February 1995</w:t>
      </w:r>
      <w:r w:rsidR="009E5318" w:rsidRPr="00AB5860">
        <w:rPr>
          <w:rStyle w:val="Bodytext6FranklinGothicDemi"/>
          <w:rFonts w:ascii="Times New Roman" w:hAnsi="Times New Roman" w:cs="Times New Roman"/>
          <w:sz w:val="20"/>
          <w:szCs w:val="22"/>
        </w:rPr>
        <w:t>]</w:t>
      </w:r>
    </w:p>
    <w:sectPr w:rsidR="004618DF" w:rsidRPr="00EB405C" w:rsidSect="00CF13B8">
      <w:headerReference w:type="default" r:id="rId10"/>
      <w:pgSz w:w="12240" w:h="15840" w:code="1"/>
      <w:pgMar w:top="1440" w:right="1440" w:bottom="1440" w:left="1440" w:header="720" w:footer="0" w:gutter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2FD92A" w15:done="0"/>
  <w15:commentEx w15:paraId="4F1005CD" w15:done="0"/>
  <w15:commentEx w15:paraId="720A2AB0" w15:done="0"/>
  <w15:commentEx w15:paraId="435C7DFD" w15:done="0"/>
  <w15:commentEx w15:paraId="1DC7E940" w15:done="0"/>
  <w15:commentEx w15:paraId="11FF077E" w15:done="0"/>
  <w15:commentEx w15:paraId="58BE6892" w15:done="0"/>
  <w15:commentEx w15:paraId="33313D35" w15:done="0"/>
  <w15:commentEx w15:paraId="6B6259B5" w15:done="0"/>
  <w15:commentEx w15:paraId="1E8E2D32" w15:done="0"/>
  <w15:commentEx w15:paraId="75CF0297" w15:done="0"/>
  <w15:commentEx w15:paraId="541FD63F" w15:done="0"/>
  <w15:commentEx w15:paraId="29FFF575" w15:done="0"/>
  <w15:commentEx w15:paraId="1376960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2FD92A" w16cid:durableId="21358F8E"/>
  <w16cid:commentId w16cid:paraId="4F1005CD" w16cid:durableId="21358FB0"/>
  <w16cid:commentId w16cid:paraId="720A2AB0" w16cid:durableId="21358FCD"/>
  <w16cid:commentId w16cid:paraId="435C7DFD" w16cid:durableId="21358FDE"/>
  <w16cid:commentId w16cid:paraId="1DC7E940" w16cid:durableId="21358FFB"/>
  <w16cid:commentId w16cid:paraId="11FF077E" w16cid:durableId="2135900C"/>
  <w16cid:commentId w16cid:paraId="58BE6892" w16cid:durableId="21359016"/>
  <w16cid:commentId w16cid:paraId="33313D35" w16cid:durableId="21359022"/>
  <w16cid:commentId w16cid:paraId="6B6259B5" w16cid:durableId="21359028"/>
  <w16cid:commentId w16cid:paraId="1E8E2D32" w16cid:durableId="21359046"/>
  <w16cid:commentId w16cid:paraId="75CF0297" w16cid:durableId="21359054"/>
  <w16cid:commentId w16cid:paraId="541FD63F" w16cid:durableId="21359060"/>
  <w16cid:commentId w16cid:paraId="29FFF575" w16cid:durableId="2135906A"/>
  <w16cid:commentId w16cid:paraId="13769603" w16cid:durableId="2135907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2616C" w14:textId="77777777" w:rsidR="00B30D5B" w:rsidRDefault="00B30D5B">
      <w:r>
        <w:separator/>
      </w:r>
    </w:p>
  </w:endnote>
  <w:endnote w:type="continuationSeparator" w:id="0">
    <w:p w14:paraId="40DB9D49" w14:textId="77777777" w:rsidR="00B30D5B" w:rsidRDefault="00B3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1AF36" w14:textId="77777777" w:rsidR="00B30D5B" w:rsidRDefault="00B30D5B"/>
  </w:footnote>
  <w:footnote w:type="continuationSeparator" w:id="0">
    <w:p w14:paraId="6336C536" w14:textId="77777777" w:rsidR="00B30D5B" w:rsidRDefault="00B30D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0340D" w14:textId="77777777" w:rsidR="00FA7203" w:rsidRPr="00CF13B8" w:rsidRDefault="00FA7203" w:rsidP="00CF13B8">
    <w:pPr>
      <w:widowControl/>
      <w:autoSpaceDE w:val="0"/>
      <w:autoSpaceDN w:val="0"/>
      <w:adjustRightInd w:val="0"/>
      <w:jc w:val="center"/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</w:pPr>
    <w:r w:rsidRPr="00CF13B8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Health and Other Services (Compensation)</w:t>
    </w:r>
  </w:p>
  <w:p w14:paraId="399995D0" w14:textId="35C42B96" w:rsidR="00FA7203" w:rsidRPr="00CF13B8" w:rsidRDefault="00FA7203" w:rsidP="00CF13B8">
    <w:pPr>
      <w:pStyle w:val="Header"/>
      <w:jc w:val="center"/>
      <w:rPr>
        <w:sz w:val="22"/>
        <w:szCs w:val="22"/>
      </w:rPr>
    </w:pPr>
    <w:r w:rsidRPr="00CF13B8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(Consequential Amendments) </w:t>
    </w:r>
    <w:r w:rsidR="00AB5860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   </w:t>
    </w:r>
    <w:r w:rsidRPr="00CF13B8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No. £32, 1995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D50"/>
    <w:multiLevelType w:val="hybridMultilevel"/>
    <w:tmpl w:val="2E001392"/>
    <w:lvl w:ilvl="0" w:tplc="8276497A">
      <w:start w:val="1"/>
      <w:numFmt w:val="decimal"/>
      <w:lvlText w:val="%1."/>
      <w:lvlJc w:val="left"/>
      <w:pPr>
        <w:ind w:left="634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354" w:hanging="360"/>
      </w:pPr>
    </w:lvl>
    <w:lvl w:ilvl="2" w:tplc="4009001B" w:tentative="1">
      <w:start w:val="1"/>
      <w:numFmt w:val="lowerRoman"/>
      <w:lvlText w:val="%3."/>
      <w:lvlJc w:val="right"/>
      <w:pPr>
        <w:ind w:left="2074" w:hanging="180"/>
      </w:pPr>
    </w:lvl>
    <w:lvl w:ilvl="3" w:tplc="4009000F" w:tentative="1">
      <w:start w:val="1"/>
      <w:numFmt w:val="decimal"/>
      <w:lvlText w:val="%4."/>
      <w:lvlJc w:val="left"/>
      <w:pPr>
        <w:ind w:left="2794" w:hanging="360"/>
      </w:pPr>
    </w:lvl>
    <w:lvl w:ilvl="4" w:tplc="40090019" w:tentative="1">
      <w:start w:val="1"/>
      <w:numFmt w:val="lowerLetter"/>
      <w:lvlText w:val="%5."/>
      <w:lvlJc w:val="left"/>
      <w:pPr>
        <w:ind w:left="3514" w:hanging="360"/>
      </w:pPr>
    </w:lvl>
    <w:lvl w:ilvl="5" w:tplc="4009001B" w:tentative="1">
      <w:start w:val="1"/>
      <w:numFmt w:val="lowerRoman"/>
      <w:lvlText w:val="%6."/>
      <w:lvlJc w:val="right"/>
      <w:pPr>
        <w:ind w:left="4234" w:hanging="180"/>
      </w:pPr>
    </w:lvl>
    <w:lvl w:ilvl="6" w:tplc="4009000F" w:tentative="1">
      <w:start w:val="1"/>
      <w:numFmt w:val="decimal"/>
      <w:lvlText w:val="%7."/>
      <w:lvlJc w:val="left"/>
      <w:pPr>
        <w:ind w:left="4954" w:hanging="360"/>
      </w:pPr>
    </w:lvl>
    <w:lvl w:ilvl="7" w:tplc="40090019" w:tentative="1">
      <w:start w:val="1"/>
      <w:numFmt w:val="lowerLetter"/>
      <w:lvlText w:val="%8."/>
      <w:lvlJc w:val="left"/>
      <w:pPr>
        <w:ind w:left="5674" w:hanging="360"/>
      </w:pPr>
    </w:lvl>
    <w:lvl w:ilvl="8" w:tplc="40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">
    <w:nsid w:val="194F1EAC"/>
    <w:multiLevelType w:val="hybridMultilevel"/>
    <w:tmpl w:val="29B684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72597"/>
    <w:multiLevelType w:val="multilevel"/>
    <w:tmpl w:val="A00C6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067E1E"/>
    <w:multiLevelType w:val="multilevel"/>
    <w:tmpl w:val="2AB84BD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262038"/>
    <w:multiLevelType w:val="multilevel"/>
    <w:tmpl w:val="66B80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A33702"/>
    <w:multiLevelType w:val="multilevel"/>
    <w:tmpl w:val="00AAD8D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900E79"/>
    <w:multiLevelType w:val="hybridMultilevel"/>
    <w:tmpl w:val="87C879D6"/>
    <w:lvl w:ilvl="0" w:tplc="BDE2406A">
      <w:start w:val="1"/>
      <w:numFmt w:val="decimal"/>
      <w:lvlText w:val="%1."/>
      <w:lvlJc w:val="left"/>
      <w:pPr>
        <w:ind w:left="634" w:hanging="360"/>
      </w:pPr>
      <w:rPr>
        <w:rFonts w:hint="default"/>
        <w:b w:val="0"/>
        <w:i/>
      </w:rPr>
    </w:lvl>
    <w:lvl w:ilvl="1" w:tplc="40090019" w:tentative="1">
      <w:start w:val="1"/>
      <w:numFmt w:val="lowerLetter"/>
      <w:lvlText w:val="%2."/>
      <w:lvlJc w:val="left"/>
      <w:pPr>
        <w:ind w:left="1354" w:hanging="360"/>
      </w:pPr>
    </w:lvl>
    <w:lvl w:ilvl="2" w:tplc="4009001B" w:tentative="1">
      <w:start w:val="1"/>
      <w:numFmt w:val="lowerRoman"/>
      <w:lvlText w:val="%3."/>
      <w:lvlJc w:val="right"/>
      <w:pPr>
        <w:ind w:left="2074" w:hanging="180"/>
      </w:pPr>
    </w:lvl>
    <w:lvl w:ilvl="3" w:tplc="4009000F" w:tentative="1">
      <w:start w:val="1"/>
      <w:numFmt w:val="decimal"/>
      <w:lvlText w:val="%4."/>
      <w:lvlJc w:val="left"/>
      <w:pPr>
        <w:ind w:left="2794" w:hanging="360"/>
      </w:pPr>
    </w:lvl>
    <w:lvl w:ilvl="4" w:tplc="40090019" w:tentative="1">
      <w:start w:val="1"/>
      <w:numFmt w:val="lowerLetter"/>
      <w:lvlText w:val="%5."/>
      <w:lvlJc w:val="left"/>
      <w:pPr>
        <w:ind w:left="3514" w:hanging="360"/>
      </w:pPr>
    </w:lvl>
    <w:lvl w:ilvl="5" w:tplc="4009001B" w:tentative="1">
      <w:start w:val="1"/>
      <w:numFmt w:val="lowerRoman"/>
      <w:lvlText w:val="%6."/>
      <w:lvlJc w:val="right"/>
      <w:pPr>
        <w:ind w:left="4234" w:hanging="180"/>
      </w:pPr>
    </w:lvl>
    <w:lvl w:ilvl="6" w:tplc="4009000F" w:tentative="1">
      <w:start w:val="1"/>
      <w:numFmt w:val="decimal"/>
      <w:lvlText w:val="%7."/>
      <w:lvlJc w:val="left"/>
      <w:pPr>
        <w:ind w:left="4954" w:hanging="360"/>
      </w:pPr>
    </w:lvl>
    <w:lvl w:ilvl="7" w:tplc="40090019" w:tentative="1">
      <w:start w:val="1"/>
      <w:numFmt w:val="lowerLetter"/>
      <w:lvlText w:val="%8."/>
      <w:lvlJc w:val="left"/>
      <w:pPr>
        <w:ind w:left="5674" w:hanging="360"/>
      </w:pPr>
    </w:lvl>
    <w:lvl w:ilvl="8" w:tplc="4009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618DF"/>
    <w:rsid w:val="00091E23"/>
    <w:rsid w:val="0013492F"/>
    <w:rsid w:val="00197109"/>
    <w:rsid w:val="001E262C"/>
    <w:rsid w:val="001E56D2"/>
    <w:rsid w:val="002258E1"/>
    <w:rsid w:val="00266C2B"/>
    <w:rsid w:val="00270ED1"/>
    <w:rsid w:val="00294213"/>
    <w:rsid w:val="002F7B1B"/>
    <w:rsid w:val="003003A0"/>
    <w:rsid w:val="003B3822"/>
    <w:rsid w:val="003C7037"/>
    <w:rsid w:val="003D160D"/>
    <w:rsid w:val="003F562D"/>
    <w:rsid w:val="00415498"/>
    <w:rsid w:val="00422713"/>
    <w:rsid w:val="004606EF"/>
    <w:rsid w:val="004618DF"/>
    <w:rsid w:val="004C3B99"/>
    <w:rsid w:val="004E1179"/>
    <w:rsid w:val="004E6678"/>
    <w:rsid w:val="005C6D77"/>
    <w:rsid w:val="0066574F"/>
    <w:rsid w:val="00672250"/>
    <w:rsid w:val="00730249"/>
    <w:rsid w:val="007572EC"/>
    <w:rsid w:val="00771D20"/>
    <w:rsid w:val="007A6FA4"/>
    <w:rsid w:val="007C766B"/>
    <w:rsid w:val="0080190B"/>
    <w:rsid w:val="00840415"/>
    <w:rsid w:val="00936808"/>
    <w:rsid w:val="00946365"/>
    <w:rsid w:val="009632B5"/>
    <w:rsid w:val="009806E9"/>
    <w:rsid w:val="0098614B"/>
    <w:rsid w:val="009E5318"/>
    <w:rsid w:val="00A54868"/>
    <w:rsid w:val="00A8162E"/>
    <w:rsid w:val="00A96467"/>
    <w:rsid w:val="00AB5860"/>
    <w:rsid w:val="00AC0B0A"/>
    <w:rsid w:val="00B30D5B"/>
    <w:rsid w:val="00BB4DFD"/>
    <w:rsid w:val="00BB6DCA"/>
    <w:rsid w:val="00BC3901"/>
    <w:rsid w:val="00C058B9"/>
    <w:rsid w:val="00C42D1A"/>
    <w:rsid w:val="00C43834"/>
    <w:rsid w:val="00C674AA"/>
    <w:rsid w:val="00CD3486"/>
    <w:rsid w:val="00CF13B8"/>
    <w:rsid w:val="00D20862"/>
    <w:rsid w:val="00D24D94"/>
    <w:rsid w:val="00DB28CE"/>
    <w:rsid w:val="00DE6B73"/>
    <w:rsid w:val="00E17C85"/>
    <w:rsid w:val="00E3506E"/>
    <w:rsid w:val="00E35558"/>
    <w:rsid w:val="00E50965"/>
    <w:rsid w:val="00E5494F"/>
    <w:rsid w:val="00E61BAD"/>
    <w:rsid w:val="00EB405C"/>
    <w:rsid w:val="00EC39FD"/>
    <w:rsid w:val="00EE33E8"/>
    <w:rsid w:val="00F67425"/>
    <w:rsid w:val="00F93C1B"/>
    <w:rsid w:val="00FA7203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8B0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Heading22">
    <w:name w:val="Heading #2 (2)_"/>
    <w:basedOn w:val="DefaultParagraphFont"/>
    <w:link w:val="Heading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2Italic">
    <w:name w:val="Heading #2 + Italic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NotItalic">
    <w:name w:val="Body text (2) + Not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11pt">
    <w:name w:val="Body text (4) + 11 p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5Bold">
    <w:name w:val="Body text (5) + Bold"/>
    <w:aliases w:val="Not Italic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6FranklinGothicDemi">
    <w:name w:val="Body text (6) + Franklin Gothic Demi"/>
    <w:aliases w:val="Not Bold,Not Italic"/>
    <w:basedOn w:val="Bodytext6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Heading10">
    <w:name w:val="Heading #1"/>
    <w:basedOn w:val="Normal"/>
    <w:link w:val="Heading1"/>
    <w:pPr>
      <w:spacing w:line="44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Heading220">
    <w:name w:val="Heading #2 (2)"/>
    <w:basedOn w:val="Normal"/>
    <w:link w:val="Heading22"/>
    <w:pPr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Heading20">
    <w:name w:val="Heading #2"/>
    <w:basedOn w:val="Normal"/>
    <w:link w:val="Heading2"/>
    <w:pPr>
      <w:spacing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20">
    <w:name w:val="Body text (2)"/>
    <w:basedOn w:val="Normal"/>
    <w:link w:val="Bodytext2"/>
    <w:pPr>
      <w:spacing w:line="422" w:lineRule="exact"/>
      <w:ind w:hanging="440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1">
    <w:name w:val="Body Text1"/>
    <w:basedOn w:val="Normal"/>
    <w:link w:val="Bodytext"/>
    <w:pPr>
      <w:spacing w:line="422" w:lineRule="exact"/>
      <w:ind w:hanging="4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pPr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"/>
    <w:link w:val="Bodytext4"/>
    <w:pPr>
      <w:spacing w:line="466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50">
    <w:name w:val="Body text (5)"/>
    <w:basedOn w:val="Normal"/>
    <w:link w:val="Bodytext5"/>
    <w:pPr>
      <w:spacing w:line="25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Bodytext60">
    <w:name w:val="Body text (6)"/>
    <w:basedOn w:val="Normal"/>
    <w:link w:val="Bodytext6"/>
    <w:pPr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ListParagraph">
    <w:name w:val="List Paragraph"/>
    <w:basedOn w:val="Normal"/>
    <w:uiPriority w:val="34"/>
    <w:qFormat/>
    <w:rsid w:val="003B38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2B5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3B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B9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C3B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B99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70E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E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ED1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E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ED1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AB5860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0F8FB-B4B3-43FD-82E2-2CCBD955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3</cp:revision>
  <dcterms:created xsi:type="dcterms:W3CDTF">2019-09-24T21:06:00Z</dcterms:created>
  <dcterms:modified xsi:type="dcterms:W3CDTF">2019-11-15T03:28:00Z</dcterms:modified>
</cp:coreProperties>
</file>