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0BE61" w14:textId="2EAE8E50" w:rsidR="00DD741B" w:rsidRDefault="006B25ED" w:rsidP="00CE0B4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51675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7.5pt;height:91pt">
            <v:imagedata r:id="rId9" o:title=""/>
          </v:shape>
        </w:pict>
      </w:r>
    </w:p>
    <w:p w14:paraId="48145AC4" w14:textId="77777777" w:rsidR="00DD741B" w:rsidRDefault="00FB7B98" w:rsidP="000114A5">
      <w:pPr>
        <w:spacing w:before="960"/>
        <w:jc w:val="center"/>
        <w:rPr>
          <w:rFonts w:ascii="Times New Roman" w:hAnsi="Times New Roman" w:cs="Times New Roman"/>
          <w:b/>
          <w:sz w:val="36"/>
          <w:szCs w:val="22"/>
        </w:rPr>
      </w:pPr>
      <w:bookmarkStart w:id="0" w:name="bookmark0"/>
      <w:r w:rsidRPr="007824C4">
        <w:rPr>
          <w:rFonts w:ascii="Times New Roman" w:hAnsi="Times New Roman" w:cs="Times New Roman"/>
          <w:b/>
          <w:sz w:val="36"/>
          <w:szCs w:val="22"/>
        </w:rPr>
        <w:t xml:space="preserve">Vocational Education and </w:t>
      </w:r>
      <w:bookmarkStart w:id="1" w:name="_GoBack"/>
      <w:bookmarkEnd w:id="1"/>
      <w:r w:rsidRPr="007824C4">
        <w:rPr>
          <w:rFonts w:ascii="Times New Roman" w:hAnsi="Times New Roman" w:cs="Times New Roman"/>
          <w:b/>
          <w:sz w:val="36"/>
          <w:szCs w:val="22"/>
        </w:rPr>
        <w:t>Training Funding Amendment Act 1995</w:t>
      </w:r>
      <w:bookmarkEnd w:id="0"/>
    </w:p>
    <w:p w14:paraId="4FEAEEA3" w14:textId="662F08B6" w:rsidR="00DD741B" w:rsidRPr="002C557A" w:rsidRDefault="00FB7B98" w:rsidP="000114A5">
      <w:pPr>
        <w:spacing w:before="9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bookmark1"/>
      <w:r w:rsidRPr="006B25ED">
        <w:rPr>
          <w:rFonts w:ascii="Times New Roman" w:hAnsi="Times New Roman" w:cs="Times New Roman"/>
          <w:b/>
          <w:szCs w:val="22"/>
        </w:rPr>
        <w:t>No. 129 of 1995</w:t>
      </w:r>
      <w:bookmarkEnd w:id="2"/>
    </w:p>
    <w:p w14:paraId="02D1D077" w14:textId="77777777" w:rsidR="00DD741B" w:rsidRPr="007824C4" w:rsidRDefault="00FB7B98" w:rsidP="000114A5">
      <w:pPr>
        <w:pStyle w:val="Bodytext20"/>
        <w:spacing w:before="960" w:line="240" w:lineRule="auto"/>
        <w:rPr>
          <w:b/>
          <w:sz w:val="22"/>
          <w:szCs w:val="22"/>
        </w:rPr>
      </w:pPr>
      <w:r w:rsidRPr="007824C4">
        <w:rPr>
          <w:b/>
          <w:sz w:val="22"/>
          <w:szCs w:val="22"/>
        </w:rPr>
        <w:t>CONTENTS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8470"/>
      </w:tblGrid>
      <w:tr w:rsidR="00DD741B" w:rsidRPr="00506948" w14:paraId="10B81865" w14:textId="77777777" w:rsidTr="007824C4">
        <w:trPr>
          <w:trHeight w:val="221"/>
        </w:trPr>
        <w:tc>
          <w:tcPr>
            <w:tcW w:w="485" w:type="pct"/>
          </w:tcPr>
          <w:p w14:paraId="46371243" w14:textId="77777777" w:rsidR="00DD741B" w:rsidRPr="00506948" w:rsidRDefault="00FB7B98" w:rsidP="00CE0B45">
            <w:pPr>
              <w:pStyle w:val="BodyText21"/>
              <w:spacing w:line="240" w:lineRule="auto"/>
              <w:jc w:val="both"/>
              <w:rPr>
                <w:sz w:val="22"/>
                <w:szCs w:val="22"/>
              </w:rPr>
            </w:pPr>
            <w:r w:rsidRPr="00506948">
              <w:rPr>
                <w:rStyle w:val="Bodytext95pt"/>
                <w:sz w:val="22"/>
                <w:szCs w:val="22"/>
              </w:rPr>
              <w:t>Section</w:t>
            </w:r>
          </w:p>
        </w:tc>
        <w:tc>
          <w:tcPr>
            <w:tcW w:w="4515" w:type="pct"/>
          </w:tcPr>
          <w:p w14:paraId="49C4748D" w14:textId="77777777" w:rsidR="00DD741B" w:rsidRPr="00506948" w:rsidRDefault="00DD741B" w:rsidP="00CE0B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741B" w:rsidRPr="00506948" w14:paraId="36B274DE" w14:textId="77777777" w:rsidTr="007824C4">
        <w:trPr>
          <w:trHeight w:val="264"/>
        </w:trPr>
        <w:tc>
          <w:tcPr>
            <w:tcW w:w="485" w:type="pct"/>
          </w:tcPr>
          <w:p w14:paraId="018CA600" w14:textId="77777777" w:rsidR="00DD741B" w:rsidRPr="00506948" w:rsidRDefault="00FB7B98" w:rsidP="00CE0B45">
            <w:pPr>
              <w:pStyle w:val="BodyText21"/>
              <w:spacing w:line="240" w:lineRule="auto"/>
              <w:jc w:val="both"/>
              <w:rPr>
                <w:sz w:val="22"/>
                <w:szCs w:val="22"/>
              </w:rPr>
            </w:pPr>
            <w:r w:rsidRPr="00506948">
              <w:rPr>
                <w:rStyle w:val="BodytextGaramond"/>
                <w:rFonts w:ascii="Times New Roman" w:hAnsi="Times New Roman" w:cs="Times New Roman"/>
                <w:sz w:val="22"/>
                <w:szCs w:val="22"/>
              </w:rPr>
              <w:t>1</w:t>
            </w:r>
            <w:r w:rsidRPr="00506948">
              <w:rPr>
                <w:rStyle w:val="BodytextMSReferenceSansSerif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15" w:type="pct"/>
          </w:tcPr>
          <w:p w14:paraId="0BC8F02C" w14:textId="77777777" w:rsidR="00DD741B" w:rsidRPr="00506948" w:rsidRDefault="00FB7B98" w:rsidP="00CE0B45">
            <w:pPr>
              <w:pStyle w:val="BodyText21"/>
              <w:spacing w:line="240" w:lineRule="auto"/>
              <w:jc w:val="both"/>
              <w:rPr>
                <w:sz w:val="22"/>
                <w:szCs w:val="22"/>
              </w:rPr>
            </w:pPr>
            <w:r w:rsidRPr="00506948">
              <w:rPr>
                <w:rStyle w:val="Bodytext95pt"/>
                <w:sz w:val="22"/>
                <w:szCs w:val="22"/>
              </w:rPr>
              <w:t>Short title</w:t>
            </w:r>
          </w:p>
        </w:tc>
      </w:tr>
      <w:tr w:rsidR="00DD741B" w:rsidRPr="00506948" w14:paraId="1F5B5158" w14:textId="77777777" w:rsidTr="007824C4">
        <w:trPr>
          <w:trHeight w:val="163"/>
        </w:trPr>
        <w:tc>
          <w:tcPr>
            <w:tcW w:w="485" w:type="pct"/>
          </w:tcPr>
          <w:p w14:paraId="773A466B" w14:textId="77777777" w:rsidR="00DD741B" w:rsidRPr="00506948" w:rsidRDefault="00FB7B98" w:rsidP="00CE0B45">
            <w:pPr>
              <w:pStyle w:val="BodyText21"/>
              <w:spacing w:line="240" w:lineRule="auto"/>
              <w:jc w:val="both"/>
              <w:rPr>
                <w:sz w:val="22"/>
                <w:szCs w:val="22"/>
              </w:rPr>
            </w:pPr>
            <w:r w:rsidRPr="00506948">
              <w:rPr>
                <w:rStyle w:val="Bodytext95pt"/>
                <w:sz w:val="22"/>
                <w:szCs w:val="22"/>
              </w:rPr>
              <w:t>2.</w:t>
            </w:r>
          </w:p>
        </w:tc>
        <w:tc>
          <w:tcPr>
            <w:tcW w:w="4515" w:type="pct"/>
          </w:tcPr>
          <w:p w14:paraId="11AC7042" w14:textId="77777777" w:rsidR="00DD741B" w:rsidRPr="00506948" w:rsidRDefault="00FB7B98" w:rsidP="00CE0B45">
            <w:pPr>
              <w:pStyle w:val="BodyText21"/>
              <w:spacing w:line="240" w:lineRule="auto"/>
              <w:jc w:val="both"/>
              <w:rPr>
                <w:sz w:val="22"/>
                <w:szCs w:val="22"/>
              </w:rPr>
            </w:pPr>
            <w:r w:rsidRPr="00506948">
              <w:rPr>
                <w:rStyle w:val="Bodytext95pt"/>
                <w:sz w:val="22"/>
                <w:szCs w:val="22"/>
              </w:rPr>
              <w:t>Commencement</w:t>
            </w:r>
          </w:p>
        </w:tc>
      </w:tr>
      <w:tr w:rsidR="00DD741B" w:rsidRPr="00506948" w14:paraId="4ABD9BA1" w14:textId="77777777" w:rsidTr="007824C4">
        <w:trPr>
          <w:trHeight w:val="240"/>
        </w:trPr>
        <w:tc>
          <w:tcPr>
            <w:tcW w:w="485" w:type="pct"/>
          </w:tcPr>
          <w:p w14:paraId="0D4C6DBF" w14:textId="77777777" w:rsidR="00DD741B" w:rsidRPr="00506948" w:rsidRDefault="00FB7B98" w:rsidP="00CE0B45">
            <w:pPr>
              <w:pStyle w:val="BodyText21"/>
              <w:spacing w:line="240" w:lineRule="auto"/>
              <w:jc w:val="both"/>
              <w:rPr>
                <w:sz w:val="22"/>
                <w:szCs w:val="22"/>
              </w:rPr>
            </w:pPr>
            <w:r w:rsidRPr="00506948">
              <w:rPr>
                <w:rStyle w:val="Bodytext95pt"/>
                <w:sz w:val="22"/>
                <w:szCs w:val="22"/>
              </w:rPr>
              <w:t>3.</w:t>
            </w:r>
          </w:p>
        </w:tc>
        <w:tc>
          <w:tcPr>
            <w:tcW w:w="4515" w:type="pct"/>
          </w:tcPr>
          <w:p w14:paraId="481AE485" w14:textId="77777777" w:rsidR="00DD741B" w:rsidRPr="00506948" w:rsidRDefault="00FB7B98" w:rsidP="00CE0B45">
            <w:pPr>
              <w:pStyle w:val="BodyText21"/>
              <w:spacing w:line="240" w:lineRule="auto"/>
              <w:jc w:val="both"/>
              <w:rPr>
                <w:sz w:val="22"/>
                <w:szCs w:val="22"/>
              </w:rPr>
            </w:pPr>
            <w:r w:rsidRPr="00506948">
              <w:rPr>
                <w:rStyle w:val="Bodytext95pt"/>
                <w:sz w:val="22"/>
                <w:szCs w:val="22"/>
              </w:rPr>
              <w:t>Schedule</w:t>
            </w:r>
          </w:p>
        </w:tc>
      </w:tr>
    </w:tbl>
    <w:p w14:paraId="67085D1B" w14:textId="77777777" w:rsidR="00DD741B" w:rsidRPr="00506948" w:rsidRDefault="00FB7B98" w:rsidP="00CE0B45">
      <w:pPr>
        <w:pStyle w:val="Bodytext20"/>
        <w:spacing w:before="120" w:line="240" w:lineRule="auto"/>
        <w:rPr>
          <w:sz w:val="22"/>
          <w:szCs w:val="22"/>
        </w:rPr>
      </w:pPr>
      <w:r w:rsidRPr="00506948">
        <w:rPr>
          <w:sz w:val="22"/>
          <w:szCs w:val="22"/>
        </w:rPr>
        <w:t>SCHEDULE</w:t>
      </w:r>
    </w:p>
    <w:p w14:paraId="46E8CB0C" w14:textId="77777777" w:rsidR="007824C4" w:rsidRDefault="00FB7B98" w:rsidP="00CE0B45">
      <w:pPr>
        <w:pStyle w:val="Bodytext20"/>
        <w:spacing w:before="120" w:line="240" w:lineRule="auto"/>
        <w:rPr>
          <w:sz w:val="22"/>
          <w:szCs w:val="22"/>
        </w:rPr>
      </w:pPr>
      <w:r w:rsidRPr="00506948">
        <w:rPr>
          <w:sz w:val="22"/>
          <w:szCs w:val="22"/>
        </w:rPr>
        <w:t>AMENDMENT OF THE VOCATIONAL EDUCATION AND TRAINING FUNDING ACT 1992</w:t>
      </w:r>
    </w:p>
    <w:p w14:paraId="6BC256F6" w14:textId="77777777" w:rsidR="007824C4" w:rsidRDefault="007824C4" w:rsidP="00CE0B45">
      <w:pPr>
        <w:rPr>
          <w:sz w:val="22"/>
          <w:szCs w:val="22"/>
        </w:rPr>
        <w:sectPr w:rsidR="007824C4" w:rsidSect="003309BF">
          <w:headerReference w:type="default" r:id="rId10"/>
          <w:type w:val="continuous"/>
          <w:pgSz w:w="12240" w:h="15840" w:code="1"/>
          <w:pgMar w:top="1440" w:right="1440" w:bottom="1440" w:left="1440" w:header="720" w:footer="0" w:gutter="0"/>
          <w:cols w:space="720"/>
          <w:noEndnote/>
          <w:titlePg/>
          <w:docGrid w:linePitch="360"/>
        </w:sectPr>
      </w:pPr>
    </w:p>
    <w:p w14:paraId="198EFFC6" w14:textId="53E8F011" w:rsidR="00DD741B" w:rsidRPr="00506948" w:rsidRDefault="006B25ED" w:rsidP="00CE0B4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 w14:anchorId="05803419">
          <v:shape id="_x0000_i1026" type="#_x0000_t75" alt="Commonwealth Coat of Arms of Australia" style="width:113.45pt;height:91pt">
            <v:imagedata r:id="rId11" o:title=""/>
          </v:shape>
        </w:pict>
      </w:r>
    </w:p>
    <w:p w14:paraId="1DF711B1" w14:textId="77777777" w:rsidR="00DD741B" w:rsidRDefault="00FB7B98" w:rsidP="001A53B6">
      <w:pPr>
        <w:spacing w:before="960"/>
        <w:jc w:val="center"/>
        <w:rPr>
          <w:rFonts w:ascii="Times New Roman" w:hAnsi="Times New Roman" w:cs="Times New Roman"/>
          <w:b/>
          <w:sz w:val="36"/>
          <w:szCs w:val="22"/>
        </w:rPr>
      </w:pPr>
      <w:bookmarkStart w:id="3" w:name="bookmark2"/>
      <w:r w:rsidRPr="00195CAE">
        <w:rPr>
          <w:rFonts w:ascii="Times New Roman" w:hAnsi="Times New Roman" w:cs="Times New Roman"/>
          <w:b/>
          <w:sz w:val="36"/>
          <w:szCs w:val="22"/>
        </w:rPr>
        <w:t>Vocational Education and Training Funding Amendment Act 1995</w:t>
      </w:r>
      <w:bookmarkEnd w:id="3"/>
    </w:p>
    <w:p w14:paraId="2A6E8712" w14:textId="2E8B20A7" w:rsidR="00DD741B" w:rsidRPr="002C557A" w:rsidRDefault="00FB7B98" w:rsidP="001A53B6">
      <w:pPr>
        <w:spacing w:before="9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bookmark3"/>
      <w:r w:rsidRPr="006B25ED">
        <w:rPr>
          <w:rFonts w:ascii="Times New Roman" w:hAnsi="Times New Roman" w:cs="Times New Roman"/>
          <w:b/>
          <w:szCs w:val="22"/>
        </w:rPr>
        <w:t>No. 129 of 1995</w:t>
      </w:r>
      <w:bookmarkEnd w:id="4"/>
    </w:p>
    <w:p w14:paraId="6D409A39" w14:textId="77777777" w:rsidR="001A53B6" w:rsidRDefault="001A53B6" w:rsidP="001A53B6">
      <w:pPr>
        <w:pBdr>
          <w:bottom w:val="thickThinLargeGap" w:sz="24" w:space="1" w:color="auto"/>
        </w:pBdr>
        <w:spacing w:before="960"/>
        <w:jc w:val="center"/>
        <w:rPr>
          <w:rFonts w:ascii="Times New Roman" w:hAnsi="Times New Roman" w:cs="Times New Roman"/>
          <w:b/>
          <w:sz w:val="28"/>
          <w:szCs w:val="22"/>
        </w:rPr>
      </w:pPr>
    </w:p>
    <w:p w14:paraId="626970FE" w14:textId="77777777" w:rsidR="00DD741B" w:rsidRPr="003309BF" w:rsidRDefault="00FB7B98" w:rsidP="001A53B6">
      <w:pPr>
        <w:spacing w:before="960"/>
        <w:jc w:val="center"/>
        <w:rPr>
          <w:rStyle w:val="Heading21"/>
          <w:rFonts w:eastAsia="Courier New"/>
          <w:sz w:val="26"/>
          <w:szCs w:val="26"/>
        </w:rPr>
      </w:pPr>
      <w:bookmarkStart w:id="5" w:name="bookmark4"/>
      <w:r w:rsidRPr="003309BF">
        <w:rPr>
          <w:rStyle w:val="Heading2NotItalic"/>
          <w:rFonts w:eastAsia="Courier New"/>
          <w:i w:val="0"/>
          <w:iCs w:val="0"/>
          <w:sz w:val="26"/>
          <w:szCs w:val="26"/>
        </w:rPr>
        <w:t xml:space="preserve">An Act to amend the </w:t>
      </w:r>
      <w:r w:rsidRPr="003309BF">
        <w:rPr>
          <w:rStyle w:val="Heading21"/>
          <w:rFonts w:eastAsia="Courier New"/>
          <w:sz w:val="26"/>
          <w:szCs w:val="26"/>
        </w:rPr>
        <w:t>Vocational Education and Training Funding Act 1992</w:t>
      </w:r>
      <w:bookmarkEnd w:id="5"/>
    </w:p>
    <w:p w14:paraId="0220BCE2" w14:textId="77777777" w:rsidR="00DD741B" w:rsidRPr="00506948" w:rsidRDefault="00FB7B98" w:rsidP="00CE0B45">
      <w:pPr>
        <w:pStyle w:val="Bodytext30"/>
        <w:spacing w:before="120" w:line="240" w:lineRule="auto"/>
        <w:rPr>
          <w:sz w:val="22"/>
          <w:szCs w:val="22"/>
        </w:rPr>
      </w:pPr>
      <w:r w:rsidRPr="00CE0B45">
        <w:rPr>
          <w:i w:val="0"/>
          <w:sz w:val="22"/>
          <w:szCs w:val="22"/>
        </w:rPr>
        <w:t>[</w:t>
      </w:r>
      <w:r w:rsidRPr="00506948">
        <w:rPr>
          <w:sz w:val="22"/>
          <w:szCs w:val="22"/>
        </w:rPr>
        <w:t>Assented to 14 November 1995</w:t>
      </w:r>
      <w:r w:rsidRPr="00CE0B45">
        <w:rPr>
          <w:i w:val="0"/>
          <w:sz w:val="22"/>
          <w:szCs w:val="22"/>
        </w:rPr>
        <w:t>]</w:t>
      </w:r>
    </w:p>
    <w:p w14:paraId="3CFAE033" w14:textId="77777777" w:rsidR="00DD741B" w:rsidRPr="00506948" w:rsidRDefault="00FB7B98" w:rsidP="00CE0B45">
      <w:pPr>
        <w:pStyle w:val="BodyText21"/>
        <w:spacing w:before="120" w:line="240" w:lineRule="auto"/>
        <w:ind w:firstLine="274"/>
        <w:jc w:val="both"/>
        <w:rPr>
          <w:sz w:val="22"/>
          <w:szCs w:val="22"/>
        </w:rPr>
      </w:pPr>
      <w:r w:rsidRPr="00506948">
        <w:rPr>
          <w:sz w:val="22"/>
          <w:szCs w:val="22"/>
        </w:rPr>
        <w:t>The Parliament of Australia enacts:</w:t>
      </w:r>
    </w:p>
    <w:p w14:paraId="7F77E3E9" w14:textId="77777777" w:rsidR="00DD741B" w:rsidRPr="00506948" w:rsidRDefault="00FB7B98" w:rsidP="00CE0B45">
      <w:pPr>
        <w:pStyle w:val="Bodytext40"/>
        <w:spacing w:before="120" w:after="60" w:line="240" w:lineRule="auto"/>
        <w:jc w:val="both"/>
        <w:rPr>
          <w:sz w:val="22"/>
          <w:szCs w:val="22"/>
        </w:rPr>
      </w:pPr>
      <w:bookmarkStart w:id="6" w:name="bookmark5"/>
      <w:r w:rsidRPr="00506948">
        <w:rPr>
          <w:rStyle w:val="Bodytext41"/>
          <w:b/>
          <w:bCs/>
          <w:sz w:val="22"/>
          <w:szCs w:val="22"/>
        </w:rPr>
        <w:t>Short title</w:t>
      </w:r>
      <w:bookmarkEnd w:id="6"/>
    </w:p>
    <w:p w14:paraId="356F5B41" w14:textId="77777777" w:rsidR="00DD741B" w:rsidRDefault="00CE0B45" w:rsidP="00AC5F09">
      <w:pPr>
        <w:pStyle w:val="BodyText21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755667">
        <w:rPr>
          <w:rStyle w:val="Bodytext3NotItalic"/>
          <w:b/>
          <w:i w:val="0"/>
          <w:sz w:val="22"/>
          <w:szCs w:val="22"/>
        </w:rPr>
        <w:t>1</w:t>
      </w:r>
      <w:r w:rsidRPr="00755667">
        <w:rPr>
          <w:rStyle w:val="Bodytext3NotItalic"/>
          <w:b/>
          <w:sz w:val="22"/>
          <w:szCs w:val="22"/>
        </w:rPr>
        <w:t>.</w:t>
      </w:r>
      <w:r>
        <w:rPr>
          <w:rStyle w:val="Bodytext3NotItalic"/>
          <w:sz w:val="22"/>
          <w:szCs w:val="22"/>
        </w:rPr>
        <w:tab/>
      </w:r>
      <w:r w:rsidR="00FB7B98" w:rsidRPr="00506948">
        <w:rPr>
          <w:rStyle w:val="Bodytext3NotItalic"/>
          <w:i w:val="0"/>
          <w:iCs w:val="0"/>
          <w:sz w:val="22"/>
          <w:szCs w:val="22"/>
        </w:rPr>
        <w:t xml:space="preserve">This Act may be cited as the </w:t>
      </w:r>
      <w:r w:rsidR="00FB7B98" w:rsidRPr="00EC6B4F">
        <w:rPr>
          <w:i/>
          <w:sz w:val="22"/>
          <w:szCs w:val="22"/>
        </w:rPr>
        <w:t>Vocational Education and Training Funding Amendment Act 1995</w:t>
      </w:r>
      <w:r w:rsidR="00FB7B98" w:rsidRPr="00506948">
        <w:rPr>
          <w:sz w:val="22"/>
          <w:szCs w:val="22"/>
        </w:rPr>
        <w:t>.</w:t>
      </w:r>
    </w:p>
    <w:p w14:paraId="0C0C9EF7" w14:textId="77777777" w:rsidR="0005070D" w:rsidRDefault="0005070D" w:rsidP="00AC5F09">
      <w:pPr>
        <w:pStyle w:val="BodyText21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</w:p>
    <w:p w14:paraId="5B3B0EBE" w14:textId="77777777" w:rsidR="00AC5F09" w:rsidRDefault="00AC5F09" w:rsidP="002405F8">
      <w:pPr>
        <w:pStyle w:val="BodyText21"/>
        <w:spacing w:before="120" w:line="240" w:lineRule="auto"/>
        <w:jc w:val="both"/>
        <w:rPr>
          <w:sz w:val="22"/>
          <w:szCs w:val="22"/>
        </w:rPr>
        <w:sectPr w:rsidR="00AC5F09" w:rsidSect="00015EBB">
          <w:pgSz w:w="12240" w:h="15840" w:code="1"/>
          <w:pgMar w:top="1440" w:right="1440" w:bottom="1440" w:left="1440" w:header="0" w:footer="0" w:gutter="0"/>
          <w:cols w:space="720"/>
          <w:noEndnote/>
          <w:titlePg/>
          <w:docGrid w:linePitch="360"/>
        </w:sectPr>
      </w:pPr>
    </w:p>
    <w:p w14:paraId="03B184E4" w14:textId="5975B84F" w:rsidR="00DD741B" w:rsidRPr="00506948" w:rsidRDefault="00FB7B98" w:rsidP="003309BF">
      <w:pPr>
        <w:pStyle w:val="Bodytext40"/>
        <w:spacing w:before="120" w:after="60" w:line="240" w:lineRule="auto"/>
        <w:jc w:val="both"/>
        <w:rPr>
          <w:sz w:val="22"/>
          <w:szCs w:val="22"/>
        </w:rPr>
      </w:pPr>
      <w:r w:rsidRPr="00506948">
        <w:rPr>
          <w:rStyle w:val="Bodytext41"/>
          <w:b/>
          <w:bCs/>
          <w:sz w:val="22"/>
          <w:szCs w:val="22"/>
        </w:rPr>
        <w:lastRenderedPageBreak/>
        <w:t>Commencement</w:t>
      </w:r>
    </w:p>
    <w:p w14:paraId="4C43C797" w14:textId="77777777" w:rsidR="00AC5F09" w:rsidRDefault="00AC5F09" w:rsidP="003309BF">
      <w:pPr>
        <w:pStyle w:val="BodyText21"/>
        <w:tabs>
          <w:tab w:val="left" w:pos="634"/>
        </w:tabs>
        <w:spacing w:before="120" w:line="240" w:lineRule="auto"/>
        <w:ind w:firstLine="274"/>
        <w:jc w:val="both"/>
        <w:rPr>
          <w:rStyle w:val="BodyText1"/>
          <w:sz w:val="22"/>
          <w:szCs w:val="22"/>
        </w:rPr>
      </w:pPr>
      <w:r w:rsidRPr="00755667">
        <w:rPr>
          <w:rStyle w:val="BodyText1"/>
          <w:b/>
          <w:sz w:val="22"/>
          <w:szCs w:val="22"/>
        </w:rPr>
        <w:t>2.</w:t>
      </w:r>
      <w:r>
        <w:rPr>
          <w:rStyle w:val="BodyText1"/>
          <w:sz w:val="22"/>
          <w:szCs w:val="22"/>
        </w:rPr>
        <w:tab/>
      </w:r>
      <w:r w:rsidR="00FB7B98" w:rsidRPr="00506948">
        <w:rPr>
          <w:rStyle w:val="BodyText1"/>
          <w:sz w:val="22"/>
          <w:szCs w:val="22"/>
        </w:rPr>
        <w:t>This Act commences on the day on which it receives the Royal Assent.</w:t>
      </w:r>
    </w:p>
    <w:p w14:paraId="5F4CBE80" w14:textId="77777777" w:rsidR="00DD741B" w:rsidRPr="00506948" w:rsidRDefault="00FB7B98" w:rsidP="003309BF">
      <w:pPr>
        <w:pStyle w:val="BodyText21"/>
        <w:tabs>
          <w:tab w:val="left" w:pos="634"/>
        </w:tabs>
        <w:spacing w:before="120" w:after="60" w:line="240" w:lineRule="auto"/>
        <w:jc w:val="both"/>
        <w:rPr>
          <w:sz w:val="22"/>
          <w:szCs w:val="22"/>
        </w:rPr>
      </w:pPr>
      <w:r w:rsidRPr="00506948">
        <w:rPr>
          <w:rStyle w:val="BodytextBold"/>
          <w:sz w:val="22"/>
          <w:szCs w:val="22"/>
        </w:rPr>
        <w:t>Amendments</w:t>
      </w:r>
    </w:p>
    <w:p w14:paraId="1E351BC1" w14:textId="77777777" w:rsidR="002D2B83" w:rsidRDefault="00AC5F09" w:rsidP="003309BF">
      <w:pPr>
        <w:pStyle w:val="BodyText21"/>
        <w:tabs>
          <w:tab w:val="left" w:pos="634"/>
        </w:tabs>
        <w:spacing w:before="120" w:line="240" w:lineRule="auto"/>
        <w:ind w:firstLine="274"/>
        <w:jc w:val="both"/>
        <w:rPr>
          <w:rStyle w:val="Bodytext3NotItalic0"/>
          <w:i w:val="0"/>
          <w:iCs w:val="0"/>
          <w:sz w:val="22"/>
          <w:szCs w:val="22"/>
        </w:rPr>
      </w:pPr>
      <w:r w:rsidRPr="00755667">
        <w:rPr>
          <w:rStyle w:val="Bodytext3NotItalic0"/>
          <w:b/>
          <w:i w:val="0"/>
          <w:sz w:val="22"/>
          <w:szCs w:val="22"/>
        </w:rPr>
        <w:t>3.</w:t>
      </w:r>
      <w:r>
        <w:rPr>
          <w:rStyle w:val="Bodytext3NotItalic0"/>
          <w:sz w:val="22"/>
          <w:szCs w:val="22"/>
        </w:rPr>
        <w:tab/>
      </w:r>
      <w:r w:rsidR="00FB7B98" w:rsidRPr="00506948">
        <w:rPr>
          <w:rStyle w:val="Bodytext3NotItalic0"/>
          <w:i w:val="0"/>
          <w:iCs w:val="0"/>
          <w:sz w:val="22"/>
          <w:szCs w:val="22"/>
        </w:rPr>
        <w:t xml:space="preserve">The </w:t>
      </w:r>
      <w:r w:rsidR="00FB7B98" w:rsidRPr="00506948">
        <w:rPr>
          <w:rStyle w:val="Bodytext31"/>
          <w:sz w:val="22"/>
          <w:szCs w:val="22"/>
        </w:rPr>
        <w:t>Vocational Education and Training Funding Act 1992</w:t>
      </w:r>
      <w:r w:rsidR="00FB7B98" w:rsidRPr="00506948">
        <w:rPr>
          <w:rStyle w:val="Bodytext3NotItalic0"/>
          <w:i w:val="0"/>
          <w:iCs w:val="0"/>
          <w:sz w:val="22"/>
          <w:szCs w:val="22"/>
        </w:rPr>
        <w:t xml:space="preserve"> is amended as set out in the Schedule.</w:t>
      </w:r>
    </w:p>
    <w:p w14:paraId="76767A20" w14:textId="77777777" w:rsidR="00043F90" w:rsidRDefault="00043F90" w:rsidP="003309BF">
      <w:pPr>
        <w:pStyle w:val="BodyText21"/>
        <w:tabs>
          <w:tab w:val="left" w:pos="634"/>
        </w:tabs>
        <w:spacing w:before="120" w:line="240" w:lineRule="auto"/>
        <w:jc w:val="center"/>
        <w:rPr>
          <w:rStyle w:val="Bodytext3NotItalic0"/>
          <w:i w:val="0"/>
          <w:iCs w:val="0"/>
          <w:sz w:val="22"/>
          <w:szCs w:val="22"/>
        </w:rPr>
      </w:pPr>
      <w:r>
        <w:rPr>
          <w:rStyle w:val="Bodytext3NotItalic0"/>
          <w:i w:val="0"/>
          <w:iCs w:val="0"/>
          <w:sz w:val="22"/>
          <w:szCs w:val="22"/>
        </w:rPr>
        <w:t>——————</w:t>
      </w:r>
    </w:p>
    <w:p w14:paraId="3A38149D" w14:textId="77777777" w:rsidR="00CF1498" w:rsidRDefault="00CF149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14:paraId="147B8F99" w14:textId="1C760A1D" w:rsidR="00DD741B" w:rsidRPr="00506948" w:rsidRDefault="00DB2D96" w:rsidP="009B4D59">
      <w:pPr>
        <w:pStyle w:val="Bodytext60"/>
        <w:tabs>
          <w:tab w:val="right" w:pos="9360"/>
        </w:tabs>
        <w:spacing w:before="120" w:line="240" w:lineRule="auto"/>
        <w:ind w:firstLine="3960"/>
        <w:rPr>
          <w:sz w:val="22"/>
          <w:szCs w:val="22"/>
        </w:rPr>
      </w:pPr>
      <w:r>
        <w:rPr>
          <w:rStyle w:val="Bodytext6115pt"/>
          <w:sz w:val="22"/>
          <w:szCs w:val="22"/>
        </w:rPr>
        <w:lastRenderedPageBreak/>
        <w:t>SCHEDULE</w:t>
      </w:r>
      <w:r>
        <w:rPr>
          <w:rStyle w:val="Bodytext6115pt"/>
          <w:sz w:val="22"/>
          <w:szCs w:val="22"/>
        </w:rPr>
        <w:tab/>
      </w:r>
      <w:r w:rsidR="00FB7B98" w:rsidRPr="006B25ED">
        <w:rPr>
          <w:sz w:val="20"/>
          <w:szCs w:val="22"/>
        </w:rPr>
        <w:t>Section 3</w:t>
      </w:r>
    </w:p>
    <w:p w14:paraId="63409BC6" w14:textId="77777777" w:rsidR="00DD741B" w:rsidRPr="00506948" w:rsidRDefault="00FB7B98" w:rsidP="003309BF">
      <w:pPr>
        <w:pStyle w:val="BodyText21"/>
        <w:spacing w:before="120" w:line="240" w:lineRule="auto"/>
        <w:jc w:val="center"/>
        <w:rPr>
          <w:sz w:val="22"/>
          <w:szCs w:val="22"/>
        </w:rPr>
      </w:pPr>
      <w:r w:rsidRPr="00506948">
        <w:rPr>
          <w:rStyle w:val="BodyText1"/>
          <w:sz w:val="22"/>
          <w:szCs w:val="22"/>
        </w:rPr>
        <w:t>AMENDMENT OF THE VOCATIONAL EDUCATION AND TRAINING FUNDING ACT 1992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1711"/>
        <w:gridCol w:w="6399"/>
      </w:tblGrid>
      <w:tr w:rsidR="00DD741B" w:rsidRPr="00506948" w14:paraId="115D7A65" w14:textId="77777777" w:rsidTr="00602585">
        <w:trPr>
          <w:trHeight w:val="405"/>
        </w:trPr>
        <w:tc>
          <w:tcPr>
            <w:tcW w:w="5000" w:type="pct"/>
            <w:gridSpan w:val="3"/>
            <w:vAlign w:val="bottom"/>
          </w:tcPr>
          <w:p w14:paraId="40A4E7CD" w14:textId="77777777" w:rsidR="00DD741B" w:rsidRPr="00506948" w:rsidRDefault="00FB5CB5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>
              <w:rPr>
                <w:rStyle w:val="BodytextBold"/>
                <w:sz w:val="22"/>
                <w:szCs w:val="22"/>
              </w:rPr>
              <w:t xml:space="preserve">1. </w:t>
            </w:r>
            <w:r w:rsidR="00FB7B98" w:rsidRPr="00506948">
              <w:rPr>
                <w:rStyle w:val="BodytextBold"/>
                <w:sz w:val="22"/>
                <w:szCs w:val="22"/>
              </w:rPr>
              <w:t>Section 9 (Table at the end of the section):</w:t>
            </w:r>
          </w:p>
        </w:tc>
      </w:tr>
      <w:tr w:rsidR="00DD741B" w:rsidRPr="00506948" w14:paraId="3A91FD9F" w14:textId="77777777" w:rsidTr="00602585">
        <w:trPr>
          <w:trHeight w:val="252"/>
        </w:trPr>
        <w:tc>
          <w:tcPr>
            <w:tcW w:w="677" w:type="pct"/>
            <w:vAlign w:val="bottom"/>
          </w:tcPr>
          <w:p w14:paraId="4A2D1CC7" w14:textId="77777777" w:rsidR="00DD741B" w:rsidRPr="00506948" w:rsidRDefault="00FB7B98" w:rsidP="003309BF">
            <w:pPr>
              <w:pStyle w:val="BodyText21"/>
              <w:spacing w:line="240" w:lineRule="auto"/>
              <w:ind w:left="225"/>
              <w:rPr>
                <w:sz w:val="22"/>
                <w:szCs w:val="22"/>
              </w:rPr>
            </w:pPr>
            <w:r w:rsidRPr="00506948">
              <w:rPr>
                <w:rStyle w:val="BodyText1"/>
                <w:sz w:val="22"/>
                <w:szCs w:val="22"/>
              </w:rPr>
              <w:t>Omit:</w:t>
            </w:r>
          </w:p>
        </w:tc>
        <w:tc>
          <w:tcPr>
            <w:tcW w:w="912" w:type="pct"/>
            <w:vAlign w:val="bottom"/>
          </w:tcPr>
          <w:p w14:paraId="3FB5DEF3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pct"/>
            <w:vAlign w:val="bottom"/>
          </w:tcPr>
          <w:p w14:paraId="3F36F641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741B" w:rsidRPr="00506948" w14:paraId="463B11B2" w14:textId="77777777" w:rsidTr="00602585">
        <w:trPr>
          <w:trHeight w:val="261"/>
        </w:trPr>
        <w:tc>
          <w:tcPr>
            <w:tcW w:w="677" w:type="pct"/>
            <w:vAlign w:val="bottom"/>
          </w:tcPr>
          <w:p w14:paraId="0DBB86B8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95pt0"/>
                <w:sz w:val="22"/>
                <w:szCs w:val="22"/>
              </w:rPr>
              <w:t>“1995</w:t>
            </w:r>
          </w:p>
        </w:tc>
        <w:tc>
          <w:tcPr>
            <w:tcW w:w="912" w:type="pct"/>
            <w:vAlign w:val="bottom"/>
          </w:tcPr>
          <w:p w14:paraId="6E2BFF08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pct"/>
            <w:vAlign w:val="bottom"/>
          </w:tcPr>
          <w:p w14:paraId="28E3CCF8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95pt0"/>
                <w:sz w:val="22"/>
                <w:szCs w:val="22"/>
              </w:rPr>
              <w:t>$755,711,000</w:t>
            </w:r>
          </w:p>
        </w:tc>
      </w:tr>
      <w:tr w:rsidR="00DD741B" w:rsidRPr="00506948" w14:paraId="3272B1B6" w14:textId="77777777" w:rsidTr="00602585">
        <w:trPr>
          <w:trHeight w:val="180"/>
        </w:trPr>
        <w:tc>
          <w:tcPr>
            <w:tcW w:w="677" w:type="pct"/>
            <w:vAlign w:val="bottom"/>
          </w:tcPr>
          <w:p w14:paraId="6322BE11" w14:textId="77777777" w:rsidR="00DD741B" w:rsidRPr="00506948" w:rsidRDefault="00FB7B98" w:rsidP="003309BF">
            <w:pPr>
              <w:pStyle w:val="BodyText21"/>
              <w:spacing w:line="240" w:lineRule="auto"/>
              <w:ind w:left="108" w:firstLine="9"/>
              <w:rPr>
                <w:sz w:val="22"/>
                <w:szCs w:val="22"/>
              </w:rPr>
            </w:pPr>
            <w:r w:rsidRPr="00506948">
              <w:rPr>
                <w:rStyle w:val="Bodytext95pt0"/>
                <w:sz w:val="22"/>
                <w:szCs w:val="22"/>
              </w:rPr>
              <w:t>1996</w:t>
            </w:r>
          </w:p>
        </w:tc>
        <w:tc>
          <w:tcPr>
            <w:tcW w:w="912" w:type="pct"/>
            <w:vAlign w:val="bottom"/>
          </w:tcPr>
          <w:p w14:paraId="46E27B4D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pct"/>
            <w:vAlign w:val="bottom"/>
          </w:tcPr>
          <w:p w14:paraId="79A10CBD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95pt0"/>
                <w:sz w:val="22"/>
                <w:szCs w:val="22"/>
              </w:rPr>
              <w:t>$835,529,000”,</w:t>
            </w:r>
          </w:p>
        </w:tc>
      </w:tr>
      <w:tr w:rsidR="00DD741B" w:rsidRPr="00506948" w14:paraId="759C4458" w14:textId="77777777" w:rsidTr="00602585">
        <w:trPr>
          <w:trHeight w:val="254"/>
        </w:trPr>
        <w:tc>
          <w:tcPr>
            <w:tcW w:w="677" w:type="pct"/>
            <w:vAlign w:val="bottom"/>
          </w:tcPr>
          <w:p w14:paraId="7518611D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1"/>
                <w:sz w:val="22"/>
                <w:szCs w:val="22"/>
              </w:rPr>
              <w:t>substitute:</w:t>
            </w:r>
          </w:p>
        </w:tc>
        <w:tc>
          <w:tcPr>
            <w:tcW w:w="912" w:type="pct"/>
            <w:vAlign w:val="bottom"/>
          </w:tcPr>
          <w:p w14:paraId="4352991C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pct"/>
            <w:vAlign w:val="bottom"/>
          </w:tcPr>
          <w:p w14:paraId="52C89F83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741B" w:rsidRPr="00506948" w14:paraId="50AA688B" w14:textId="77777777" w:rsidTr="00602585">
        <w:trPr>
          <w:trHeight w:val="216"/>
        </w:trPr>
        <w:tc>
          <w:tcPr>
            <w:tcW w:w="677" w:type="pct"/>
            <w:vAlign w:val="bottom"/>
          </w:tcPr>
          <w:p w14:paraId="06F6E96B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95pt0"/>
                <w:sz w:val="22"/>
                <w:szCs w:val="22"/>
              </w:rPr>
              <w:t>“1995</w:t>
            </w:r>
          </w:p>
        </w:tc>
        <w:tc>
          <w:tcPr>
            <w:tcW w:w="912" w:type="pct"/>
            <w:vAlign w:val="bottom"/>
          </w:tcPr>
          <w:p w14:paraId="496574AE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pct"/>
            <w:vAlign w:val="bottom"/>
          </w:tcPr>
          <w:p w14:paraId="543A03A3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95pt0"/>
                <w:sz w:val="22"/>
                <w:szCs w:val="22"/>
              </w:rPr>
              <w:t>$765,180,000</w:t>
            </w:r>
          </w:p>
        </w:tc>
      </w:tr>
      <w:tr w:rsidR="00DD741B" w:rsidRPr="00506948" w14:paraId="3FF881CA" w14:textId="77777777" w:rsidTr="00602585">
        <w:trPr>
          <w:trHeight w:val="144"/>
        </w:trPr>
        <w:tc>
          <w:tcPr>
            <w:tcW w:w="677" w:type="pct"/>
            <w:vAlign w:val="bottom"/>
          </w:tcPr>
          <w:p w14:paraId="34797EA7" w14:textId="77777777" w:rsidR="00DD741B" w:rsidRPr="00506948" w:rsidRDefault="00FB7B98" w:rsidP="003309BF">
            <w:pPr>
              <w:pStyle w:val="BodyText21"/>
              <w:spacing w:line="240" w:lineRule="auto"/>
              <w:ind w:left="108" w:firstLine="9"/>
              <w:rPr>
                <w:sz w:val="22"/>
                <w:szCs w:val="22"/>
              </w:rPr>
            </w:pPr>
            <w:r w:rsidRPr="00FB5CB5">
              <w:rPr>
                <w:rStyle w:val="Bodytext95pt"/>
                <w:sz w:val="22"/>
                <w:szCs w:val="22"/>
              </w:rPr>
              <w:t>1996</w:t>
            </w:r>
          </w:p>
        </w:tc>
        <w:tc>
          <w:tcPr>
            <w:tcW w:w="912" w:type="pct"/>
            <w:vAlign w:val="bottom"/>
          </w:tcPr>
          <w:p w14:paraId="33FCA48F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pct"/>
            <w:vAlign w:val="bottom"/>
          </w:tcPr>
          <w:p w14:paraId="7E41DE42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95pt0"/>
                <w:sz w:val="22"/>
                <w:szCs w:val="22"/>
              </w:rPr>
              <w:t>$844,721,000</w:t>
            </w:r>
          </w:p>
        </w:tc>
      </w:tr>
      <w:tr w:rsidR="00DD741B" w:rsidRPr="00506948" w14:paraId="2383B721" w14:textId="77777777" w:rsidTr="00602585">
        <w:trPr>
          <w:trHeight w:val="252"/>
        </w:trPr>
        <w:tc>
          <w:tcPr>
            <w:tcW w:w="677" w:type="pct"/>
            <w:vAlign w:val="bottom"/>
          </w:tcPr>
          <w:p w14:paraId="3B97E6F1" w14:textId="77777777" w:rsidR="00DD741B" w:rsidRPr="00506948" w:rsidRDefault="00FB7B98" w:rsidP="003309BF">
            <w:pPr>
              <w:pStyle w:val="BodyText21"/>
              <w:spacing w:line="240" w:lineRule="auto"/>
              <w:ind w:left="108" w:firstLine="9"/>
              <w:rPr>
                <w:sz w:val="22"/>
                <w:szCs w:val="22"/>
              </w:rPr>
            </w:pPr>
            <w:r w:rsidRPr="00FB5CB5">
              <w:rPr>
                <w:rStyle w:val="Bodytext95pt"/>
                <w:sz w:val="22"/>
                <w:szCs w:val="22"/>
              </w:rPr>
              <w:t>1997</w:t>
            </w:r>
          </w:p>
        </w:tc>
        <w:tc>
          <w:tcPr>
            <w:tcW w:w="912" w:type="pct"/>
            <w:vAlign w:val="bottom"/>
          </w:tcPr>
          <w:p w14:paraId="4D838D1B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pct"/>
            <w:vAlign w:val="bottom"/>
          </w:tcPr>
          <w:p w14:paraId="4AC931AE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95pt0"/>
                <w:sz w:val="22"/>
                <w:szCs w:val="22"/>
              </w:rPr>
              <w:t>$927,200,000”.</w:t>
            </w:r>
          </w:p>
        </w:tc>
      </w:tr>
      <w:tr w:rsidR="00DD741B" w:rsidRPr="00506948" w14:paraId="3C961858" w14:textId="77777777" w:rsidTr="00602585">
        <w:trPr>
          <w:trHeight w:val="540"/>
        </w:trPr>
        <w:tc>
          <w:tcPr>
            <w:tcW w:w="5000" w:type="pct"/>
            <w:gridSpan w:val="3"/>
            <w:vAlign w:val="bottom"/>
          </w:tcPr>
          <w:p w14:paraId="0F153B71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Bold"/>
                <w:sz w:val="22"/>
                <w:szCs w:val="22"/>
              </w:rPr>
              <w:t>2. Section 9A (Table at the end of the section):</w:t>
            </w:r>
          </w:p>
        </w:tc>
      </w:tr>
      <w:tr w:rsidR="00DD741B" w:rsidRPr="00506948" w14:paraId="6F727D7D" w14:textId="77777777" w:rsidTr="00602585">
        <w:trPr>
          <w:trHeight w:val="180"/>
        </w:trPr>
        <w:tc>
          <w:tcPr>
            <w:tcW w:w="677" w:type="pct"/>
            <w:vAlign w:val="bottom"/>
          </w:tcPr>
          <w:p w14:paraId="6530CDF2" w14:textId="77777777" w:rsidR="00DD741B" w:rsidRPr="00506948" w:rsidRDefault="00FB7B98" w:rsidP="003309BF">
            <w:pPr>
              <w:pStyle w:val="BodyText21"/>
              <w:spacing w:line="240" w:lineRule="auto"/>
              <w:ind w:firstLine="189"/>
              <w:rPr>
                <w:sz w:val="22"/>
                <w:szCs w:val="22"/>
              </w:rPr>
            </w:pPr>
            <w:r w:rsidRPr="00506948">
              <w:rPr>
                <w:rStyle w:val="BodyText1"/>
                <w:sz w:val="22"/>
                <w:szCs w:val="22"/>
              </w:rPr>
              <w:t>After:</w:t>
            </w:r>
          </w:p>
        </w:tc>
        <w:tc>
          <w:tcPr>
            <w:tcW w:w="912" w:type="pct"/>
            <w:vAlign w:val="bottom"/>
          </w:tcPr>
          <w:p w14:paraId="1C599EEC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pct"/>
            <w:vAlign w:val="bottom"/>
          </w:tcPr>
          <w:p w14:paraId="35328DB1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741B" w:rsidRPr="00506948" w14:paraId="2F70CBD2" w14:textId="77777777" w:rsidTr="00602585">
        <w:trPr>
          <w:trHeight w:val="198"/>
        </w:trPr>
        <w:tc>
          <w:tcPr>
            <w:tcW w:w="677" w:type="pct"/>
            <w:vAlign w:val="bottom"/>
          </w:tcPr>
          <w:p w14:paraId="16451B79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95pt0"/>
                <w:sz w:val="22"/>
                <w:szCs w:val="22"/>
              </w:rPr>
              <w:t>“1996</w:t>
            </w:r>
          </w:p>
        </w:tc>
        <w:tc>
          <w:tcPr>
            <w:tcW w:w="912" w:type="pct"/>
            <w:vAlign w:val="bottom"/>
          </w:tcPr>
          <w:p w14:paraId="743BBC8F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pct"/>
            <w:vAlign w:val="bottom"/>
          </w:tcPr>
          <w:p w14:paraId="32BD9E5B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95pt0"/>
                <w:sz w:val="22"/>
                <w:szCs w:val="22"/>
              </w:rPr>
              <w:t>$22,680,000”</w:t>
            </w:r>
          </w:p>
        </w:tc>
      </w:tr>
      <w:tr w:rsidR="00DD741B" w:rsidRPr="00506948" w14:paraId="2D04F8D2" w14:textId="77777777" w:rsidTr="00602585">
        <w:trPr>
          <w:trHeight w:val="264"/>
        </w:trPr>
        <w:tc>
          <w:tcPr>
            <w:tcW w:w="677" w:type="pct"/>
            <w:vAlign w:val="bottom"/>
          </w:tcPr>
          <w:p w14:paraId="15480B10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1"/>
                <w:sz w:val="22"/>
                <w:szCs w:val="22"/>
              </w:rPr>
              <w:t>add:</w:t>
            </w:r>
          </w:p>
        </w:tc>
        <w:tc>
          <w:tcPr>
            <w:tcW w:w="912" w:type="pct"/>
            <w:vAlign w:val="bottom"/>
          </w:tcPr>
          <w:p w14:paraId="07DD1B24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pct"/>
            <w:vAlign w:val="bottom"/>
          </w:tcPr>
          <w:p w14:paraId="4866DBA4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741B" w:rsidRPr="00506948" w14:paraId="6FAD0D57" w14:textId="77777777" w:rsidTr="00602585">
        <w:trPr>
          <w:trHeight w:val="216"/>
        </w:trPr>
        <w:tc>
          <w:tcPr>
            <w:tcW w:w="677" w:type="pct"/>
            <w:vAlign w:val="bottom"/>
          </w:tcPr>
          <w:p w14:paraId="32CA6CC0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95pt0"/>
                <w:sz w:val="22"/>
                <w:szCs w:val="22"/>
              </w:rPr>
              <w:t>“1997</w:t>
            </w:r>
          </w:p>
        </w:tc>
        <w:tc>
          <w:tcPr>
            <w:tcW w:w="912" w:type="pct"/>
            <w:vAlign w:val="bottom"/>
          </w:tcPr>
          <w:p w14:paraId="1ABAE123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pct"/>
            <w:vAlign w:val="bottom"/>
          </w:tcPr>
          <w:p w14:paraId="0E5BB7F6" w14:textId="77777777" w:rsidR="00DD741B" w:rsidRPr="00506948" w:rsidRDefault="00FB7B98" w:rsidP="003309BF">
            <w:pPr>
              <w:pStyle w:val="BodyText21"/>
              <w:spacing w:line="240" w:lineRule="auto"/>
              <w:rPr>
                <w:sz w:val="22"/>
                <w:szCs w:val="22"/>
              </w:rPr>
            </w:pPr>
            <w:r w:rsidRPr="00506948">
              <w:rPr>
                <w:rStyle w:val="Bodytext95pt0"/>
                <w:sz w:val="22"/>
                <w:szCs w:val="22"/>
              </w:rPr>
              <w:t>$22,680,000”.</w:t>
            </w:r>
          </w:p>
        </w:tc>
      </w:tr>
      <w:tr w:rsidR="00DD741B" w:rsidRPr="00506948" w14:paraId="7219976E" w14:textId="77777777" w:rsidTr="00602585">
        <w:trPr>
          <w:trHeight w:val="414"/>
        </w:trPr>
        <w:tc>
          <w:tcPr>
            <w:tcW w:w="5000" w:type="pct"/>
            <w:gridSpan w:val="3"/>
            <w:vAlign w:val="bottom"/>
          </w:tcPr>
          <w:p w14:paraId="5CE5AC8D" w14:textId="77777777" w:rsidR="00DD741B" w:rsidRPr="00390448" w:rsidRDefault="00FB7B98" w:rsidP="003309BF">
            <w:pPr>
              <w:pStyle w:val="BodyText21"/>
              <w:spacing w:line="240" w:lineRule="auto"/>
              <w:rPr>
                <w:b/>
                <w:sz w:val="22"/>
                <w:szCs w:val="22"/>
              </w:rPr>
            </w:pPr>
            <w:r w:rsidRPr="00390448">
              <w:rPr>
                <w:rStyle w:val="BodyText1"/>
                <w:b/>
                <w:sz w:val="22"/>
                <w:szCs w:val="22"/>
              </w:rPr>
              <w:t>3. After section 9A:</w:t>
            </w:r>
          </w:p>
        </w:tc>
      </w:tr>
      <w:tr w:rsidR="00DD741B" w:rsidRPr="00506948" w14:paraId="7BFE3618" w14:textId="77777777" w:rsidTr="00FB5CB5">
        <w:trPr>
          <w:trHeight w:val="207"/>
        </w:trPr>
        <w:tc>
          <w:tcPr>
            <w:tcW w:w="677" w:type="pct"/>
            <w:vAlign w:val="bottom"/>
          </w:tcPr>
          <w:p w14:paraId="5AD33A9D" w14:textId="77777777" w:rsidR="00DD741B" w:rsidRPr="00506948" w:rsidRDefault="00FB7B98" w:rsidP="003309BF">
            <w:pPr>
              <w:pStyle w:val="BodyText21"/>
              <w:spacing w:line="240" w:lineRule="auto"/>
              <w:ind w:firstLine="189"/>
              <w:rPr>
                <w:sz w:val="22"/>
                <w:szCs w:val="22"/>
              </w:rPr>
            </w:pPr>
            <w:r w:rsidRPr="00506948">
              <w:rPr>
                <w:rStyle w:val="BodyText1"/>
                <w:sz w:val="22"/>
                <w:szCs w:val="22"/>
              </w:rPr>
              <w:t>Insert:</w:t>
            </w:r>
          </w:p>
        </w:tc>
        <w:tc>
          <w:tcPr>
            <w:tcW w:w="912" w:type="pct"/>
            <w:vAlign w:val="bottom"/>
          </w:tcPr>
          <w:p w14:paraId="747C895A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pct"/>
            <w:vAlign w:val="bottom"/>
          </w:tcPr>
          <w:p w14:paraId="68AE263F" w14:textId="77777777" w:rsidR="00DD741B" w:rsidRPr="00506948" w:rsidRDefault="00DD741B" w:rsidP="00330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6E368B" w14:textId="77777777" w:rsidR="00DD741B" w:rsidRPr="00390448" w:rsidRDefault="00FB7B98" w:rsidP="003309BF">
      <w:pPr>
        <w:pStyle w:val="BodyText21"/>
        <w:spacing w:before="120" w:after="60" w:line="240" w:lineRule="auto"/>
        <w:jc w:val="both"/>
        <w:rPr>
          <w:b/>
          <w:sz w:val="22"/>
          <w:szCs w:val="22"/>
        </w:rPr>
      </w:pPr>
      <w:r w:rsidRPr="00390448">
        <w:rPr>
          <w:rStyle w:val="BodyText1"/>
          <w:b/>
          <w:sz w:val="22"/>
          <w:szCs w:val="22"/>
        </w:rPr>
        <w:t>Minister may vary determinations</w:t>
      </w:r>
    </w:p>
    <w:p w14:paraId="392F6E34" w14:textId="77777777" w:rsidR="00DD741B" w:rsidRDefault="00FB7B98" w:rsidP="003309BF">
      <w:pPr>
        <w:pStyle w:val="BodyText21"/>
        <w:spacing w:before="120" w:line="240" w:lineRule="auto"/>
        <w:ind w:firstLine="274"/>
        <w:jc w:val="both"/>
        <w:rPr>
          <w:rStyle w:val="BodyText1"/>
          <w:sz w:val="22"/>
          <w:szCs w:val="22"/>
        </w:rPr>
      </w:pPr>
      <w:r w:rsidRPr="00506948">
        <w:rPr>
          <w:rStyle w:val="BodyText1"/>
          <w:sz w:val="22"/>
          <w:szCs w:val="22"/>
        </w:rPr>
        <w:t>“9B. The power of the Minister to make a determination under section 9 or 9A includes the power to vary a determination previously made under that section, whether the previous determination was made before, or is made after, the</w:t>
      </w:r>
      <w:r w:rsidR="00B2246A">
        <w:rPr>
          <w:rStyle w:val="BodyText1"/>
          <w:sz w:val="22"/>
          <w:szCs w:val="22"/>
        </w:rPr>
        <w:t xml:space="preserve"> commencement of this section.”.</w:t>
      </w:r>
    </w:p>
    <w:p w14:paraId="6BA39675" w14:textId="77777777" w:rsidR="00732352" w:rsidRPr="00506948" w:rsidRDefault="00732352" w:rsidP="003309BF">
      <w:pPr>
        <w:pStyle w:val="BodyText21"/>
        <w:pBdr>
          <w:bottom w:val="single" w:sz="4" w:space="1" w:color="auto"/>
        </w:pBdr>
        <w:spacing w:before="120" w:line="240" w:lineRule="auto"/>
        <w:jc w:val="both"/>
        <w:rPr>
          <w:sz w:val="22"/>
          <w:szCs w:val="22"/>
        </w:rPr>
      </w:pPr>
    </w:p>
    <w:p w14:paraId="7DCFF0F9" w14:textId="77777777" w:rsidR="00DD741B" w:rsidRPr="006B25ED" w:rsidRDefault="00FB7B98" w:rsidP="003309BF">
      <w:pPr>
        <w:pStyle w:val="Bodytext50"/>
        <w:spacing w:before="120" w:line="240" w:lineRule="auto"/>
        <w:rPr>
          <w:szCs w:val="22"/>
        </w:rPr>
      </w:pPr>
      <w:r w:rsidRPr="006B25ED">
        <w:rPr>
          <w:i w:val="0"/>
          <w:szCs w:val="22"/>
        </w:rPr>
        <w:t>[</w:t>
      </w:r>
      <w:r w:rsidRPr="006B25ED">
        <w:rPr>
          <w:szCs w:val="22"/>
        </w:rPr>
        <w:t>Minister's second reading speech made in</w:t>
      </w:r>
      <w:r w:rsidRPr="006B25ED">
        <w:rPr>
          <w:rStyle w:val="Bodytext5FranklinGothicHeavy"/>
          <w:rFonts w:ascii="Times New Roman" w:hAnsi="Times New Roman" w:cs="Times New Roman"/>
          <w:sz w:val="20"/>
          <w:szCs w:val="22"/>
        </w:rPr>
        <w:t>—</w:t>
      </w:r>
    </w:p>
    <w:p w14:paraId="2D5C8502" w14:textId="68A75B07" w:rsidR="00DD741B" w:rsidRPr="00506948" w:rsidRDefault="00FB7B98" w:rsidP="005E5813">
      <w:pPr>
        <w:pStyle w:val="Bodytext50"/>
        <w:spacing w:line="240" w:lineRule="auto"/>
        <w:ind w:left="900" w:right="4140" w:hanging="18"/>
        <w:rPr>
          <w:sz w:val="22"/>
          <w:szCs w:val="22"/>
        </w:rPr>
      </w:pPr>
      <w:r w:rsidRPr="006B25ED">
        <w:rPr>
          <w:szCs w:val="22"/>
        </w:rPr>
        <w:t>House of Representatives on 19 October 1995</w:t>
      </w:r>
      <w:r w:rsidR="002C557A" w:rsidRPr="006B25ED">
        <w:rPr>
          <w:szCs w:val="22"/>
        </w:rPr>
        <w:t xml:space="preserve"> </w:t>
      </w:r>
      <w:r w:rsidRPr="006B25ED">
        <w:rPr>
          <w:szCs w:val="22"/>
        </w:rPr>
        <w:t>Senate on 19 October 1995</w:t>
      </w:r>
      <w:r w:rsidRPr="006B25ED">
        <w:rPr>
          <w:rStyle w:val="Bodytext5FranklinGothicHeavy"/>
          <w:rFonts w:ascii="Times New Roman" w:hAnsi="Times New Roman" w:cs="Times New Roman"/>
          <w:sz w:val="20"/>
          <w:szCs w:val="22"/>
        </w:rPr>
        <w:t>]</w:t>
      </w:r>
    </w:p>
    <w:sectPr w:rsidR="00DD741B" w:rsidRPr="00506948" w:rsidSect="00015EBB"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F60FE1" w15:done="0"/>
  <w15:commentEx w15:paraId="402A6E5D" w15:done="0"/>
  <w15:commentEx w15:paraId="22E4F732" w15:done="0"/>
  <w15:commentEx w15:paraId="66A9F926" w15:done="0"/>
  <w15:commentEx w15:paraId="5B3DC0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F60FE1" w16cid:durableId="213587B2"/>
  <w16cid:commentId w16cid:paraId="402A6E5D" w16cid:durableId="213587BE"/>
  <w16cid:commentId w16cid:paraId="22E4F732" w16cid:durableId="213587CE"/>
  <w16cid:commentId w16cid:paraId="66A9F926" w16cid:durableId="213587E9"/>
  <w16cid:commentId w16cid:paraId="5B3DC009" w16cid:durableId="213588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8A383" w14:textId="77777777" w:rsidR="00C9240D" w:rsidRDefault="00C9240D">
      <w:r>
        <w:separator/>
      </w:r>
    </w:p>
  </w:endnote>
  <w:endnote w:type="continuationSeparator" w:id="0">
    <w:p w14:paraId="26430A50" w14:textId="77777777" w:rsidR="00C9240D" w:rsidRDefault="00C9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BE97C" w14:textId="77777777" w:rsidR="00C9240D" w:rsidRDefault="00C9240D"/>
  </w:footnote>
  <w:footnote w:type="continuationSeparator" w:id="0">
    <w:p w14:paraId="5D2F8833" w14:textId="77777777" w:rsidR="00C9240D" w:rsidRDefault="00C924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75994" w14:textId="77777777" w:rsidR="003309BF" w:rsidRPr="003309BF" w:rsidRDefault="003309BF" w:rsidP="003309BF">
    <w:pPr>
      <w:widowControl/>
      <w:autoSpaceDE w:val="0"/>
      <w:autoSpaceDN w:val="0"/>
      <w:adjustRightInd w:val="0"/>
      <w:jc w:val="center"/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  <w:r w:rsidRPr="003309BF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Vocational Education and Training Funding</w:t>
    </w:r>
  </w:p>
  <w:p w14:paraId="05F4472E" w14:textId="6DE731FD" w:rsidR="003309BF" w:rsidRPr="003309BF" w:rsidRDefault="003309BF" w:rsidP="003309BF">
    <w:pPr>
      <w:pStyle w:val="Header"/>
      <w:jc w:val="center"/>
      <w:rPr>
        <w:rFonts w:ascii="Times New Roman" w:hAnsi="Times New Roman" w:cs="Times New Roman"/>
        <w:sz w:val="22"/>
        <w:szCs w:val="22"/>
      </w:rPr>
    </w:pPr>
    <w:r w:rsidRPr="003309BF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Amendment </w:t>
    </w:r>
    <w:r w:rsidR="006B25ED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  </w:t>
    </w:r>
    <w:r w:rsidRPr="003309BF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129, 1995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75C8"/>
    <w:multiLevelType w:val="multilevel"/>
    <w:tmpl w:val="8C808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F7DCC"/>
    <w:multiLevelType w:val="multilevel"/>
    <w:tmpl w:val="A7284D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741B"/>
    <w:rsid w:val="000114A5"/>
    <w:rsid w:val="00015EBB"/>
    <w:rsid w:val="00043F90"/>
    <w:rsid w:val="0005070D"/>
    <w:rsid w:val="00075F07"/>
    <w:rsid w:val="000D013A"/>
    <w:rsid w:val="001110ED"/>
    <w:rsid w:val="00195CAE"/>
    <w:rsid w:val="001A53B6"/>
    <w:rsid w:val="001F4E0F"/>
    <w:rsid w:val="002405F8"/>
    <w:rsid w:val="002C557A"/>
    <w:rsid w:val="002D2B83"/>
    <w:rsid w:val="003309BF"/>
    <w:rsid w:val="0034567C"/>
    <w:rsid w:val="003862E7"/>
    <w:rsid w:val="00390448"/>
    <w:rsid w:val="00396944"/>
    <w:rsid w:val="005014D3"/>
    <w:rsid w:val="00506948"/>
    <w:rsid w:val="00522BFA"/>
    <w:rsid w:val="00526188"/>
    <w:rsid w:val="005E5813"/>
    <w:rsid w:val="00602585"/>
    <w:rsid w:val="006B25ED"/>
    <w:rsid w:val="00732352"/>
    <w:rsid w:val="00755667"/>
    <w:rsid w:val="007824C4"/>
    <w:rsid w:val="00794272"/>
    <w:rsid w:val="007A0AE2"/>
    <w:rsid w:val="008745EA"/>
    <w:rsid w:val="0088597D"/>
    <w:rsid w:val="009B4D59"/>
    <w:rsid w:val="00A9044E"/>
    <w:rsid w:val="00AC5F09"/>
    <w:rsid w:val="00B2246A"/>
    <w:rsid w:val="00C1511B"/>
    <w:rsid w:val="00C9240D"/>
    <w:rsid w:val="00CE0B45"/>
    <w:rsid w:val="00CF1498"/>
    <w:rsid w:val="00D66EE0"/>
    <w:rsid w:val="00DB2D96"/>
    <w:rsid w:val="00DD741B"/>
    <w:rsid w:val="00E367DB"/>
    <w:rsid w:val="00EC6B4F"/>
    <w:rsid w:val="00EE2845"/>
    <w:rsid w:val="00F46F0A"/>
    <w:rsid w:val="00F76433"/>
    <w:rsid w:val="00FB5CB5"/>
    <w:rsid w:val="00FB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5A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3">
    <w:name w:val="Heading #2 (3)_"/>
    <w:basedOn w:val="DefaultParagraphFont"/>
    <w:link w:val="Heading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95pt">
    <w:name w:val="Body text + 9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Garamond">
    <w:name w:val="Body text + Garamond"/>
    <w:aliases w:val="10.5 pt"/>
    <w:basedOn w:val="Bodytex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MSReferenceSansSerif">
    <w:name w:val="Body text + MS Reference Sans Serif"/>
    <w:aliases w:val="9.5 pt"/>
    <w:basedOn w:val="Bodytex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Heading2NotItalic">
    <w:name w:val="Heading #2 + Not 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3NotItalic0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15pt">
    <w:name w:val="Body text (6) + 11.5 pt"/>
    <w:aliases w:val="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95pt0">
    <w:name w:val="Body text + 9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FranklinGothicHeavy">
    <w:name w:val="Body text (5) + Franklin Gothic Heavy"/>
    <w:aliases w:val="9.5 pt,Not Italic"/>
    <w:basedOn w:val="Bodytext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Heading120">
    <w:name w:val="Heading #1 (2)"/>
    <w:basedOn w:val="Normal"/>
    <w:link w:val="Heading12"/>
    <w:pPr>
      <w:spacing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30">
    <w:name w:val="Heading #2 (3)"/>
    <w:basedOn w:val="Normal"/>
    <w:link w:val="Heading23"/>
    <w:pPr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1">
    <w:name w:val="Body Text2"/>
    <w:basedOn w:val="Normal"/>
    <w:link w:val="Bodytext"/>
    <w:pPr>
      <w:spacing w:line="451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odytext30">
    <w:name w:val="Body text (3)"/>
    <w:basedOn w:val="Normal"/>
    <w:link w:val="Bodytext3"/>
    <w:pPr>
      <w:spacing w:line="451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40">
    <w:name w:val="Body text (4)"/>
    <w:basedOn w:val="Normal"/>
    <w:link w:val="Bodytext4"/>
    <w:pPr>
      <w:spacing w:line="451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Normal"/>
    <w:link w:val="Bodytext6"/>
    <w:pPr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5E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B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15E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BB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F4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E0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0F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0F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B25ED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135B-8BA4-4BB0-8C15-132C3832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Pettingill, Tia</cp:lastModifiedBy>
  <cp:revision>3</cp:revision>
  <dcterms:created xsi:type="dcterms:W3CDTF">2019-09-24T20:30:00Z</dcterms:created>
  <dcterms:modified xsi:type="dcterms:W3CDTF">2019-11-15T03:15:00Z</dcterms:modified>
</cp:coreProperties>
</file>