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BB13" w14:textId="116F2719" w:rsidR="00CB7170" w:rsidRPr="009F6D69" w:rsidRDefault="00C17524" w:rsidP="009F6D69">
      <w:pPr>
        <w:jc w:val="center"/>
        <w:rPr>
          <w:rFonts w:ascii="Times New Roman" w:hAnsi="Times New Roman" w:cs="Times New Roman"/>
          <w:sz w:val="22"/>
          <w:szCs w:val="22"/>
        </w:rPr>
      </w:pPr>
      <w:r>
        <w:rPr>
          <w:rFonts w:ascii="Times New Roman" w:hAnsi="Times New Roman" w:cs="Times New Roman"/>
          <w:sz w:val="22"/>
          <w:szCs w:val="22"/>
        </w:rPr>
        <w:pict w14:anchorId="14EFB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34.8pt;height:93.9pt">
            <v:imagedata r:id="rId9" o:title=""/>
          </v:shape>
        </w:pict>
      </w:r>
    </w:p>
    <w:p w14:paraId="5D3EBAC4" w14:textId="77777777" w:rsidR="00CB7170" w:rsidRPr="009F6D69" w:rsidRDefault="002C7553" w:rsidP="009F6D69">
      <w:pPr>
        <w:pStyle w:val="Bodytext110"/>
        <w:shd w:val="clear" w:color="auto" w:fill="auto"/>
        <w:spacing w:before="960" w:line="240" w:lineRule="auto"/>
        <w:ind w:firstLine="0"/>
        <w:jc w:val="center"/>
        <w:rPr>
          <w:b/>
          <w:sz w:val="36"/>
          <w:szCs w:val="36"/>
        </w:rPr>
      </w:pPr>
      <w:bookmarkStart w:id="0" w:name="bookmark0"/>
      <w:r>
        <w:rPr>
          <w:b/>
          <w:sz w:val="36"/>
          <w:szCs w:val="36"/>
          <w:lang w:val="lv-LV"/>
        </w:rPr>
        <w:t>P</w:t>
      </w:r>
      <w:r w:rsidR="0028312C" w:rsidRPr="009F6D69">
        <w:rPr>
          <w:b/>
          <w:sz w:val="36"/>
          <w:szCs w:val="36"/>
          <w:lang w:val="lv-LV"/>
        </w:rPr>
        <w:t xml:space="preserve">ublic </w:t>
      </w:r>
      <w:r w:rsidR="0028312C" w:rsidRPr="009F6D69">
        <w:rPr>
          <w:b/>
          <w:sz w:val="36"/>
          <w:szCs w:val="36"/>
        </w:rPr>
        <w:t>Order (Protection of Persons and Property) Amendment Act 1995</w:t>
      </w:r>
      <w:bookmarkEnd w:id="0"/>
    </w:p>
    <w:p w14:paraId="4A8FDC80" w14:textId="3A82A3D6" w:rsidR="00CB7170" w:rsidRPr="00C17524" w:rsidRDefault="0028312C" w:rsidP="009F6D69">
      <w:pPr>
        <w:pStyle w:val="Bodytext110"/>
        <w:shd w:val="clear" w:color="auto" w:fill="auto"/>
        <w:spacing w:before="960" w:line="240" w:lineRule="auto"/>
        <w:ind w:firstLine="0"/>
        <w:jc w:val="center"/>
        <w:rPr>
          <w:b/>
          <w:sz w:val="24"/>
          <w:szCs w:val="22"/>
        </w:rPr>
      </w:pPr>
      <w:bookmarkStart w:id="1" w:name="bookmark1"/>
      <w:r w:rsidRPr="00C17524">
        <w:rPr>
          <w:b/>
          <w:sz w:val="24"/>
          <w:szCs w:val="22"/>
        </w:rPr>
        <w:t>No. 116 of 1995</w:t>
      </w:r>
      <w:bookmarkEnd w:id="1"/>
    </w:p>
    <w:p w14:paraId="0C0AF88A" w14:textId="77777777" w:rsidR="009F6D69" w:rsidRPr="009F6D69" w:rsidRDefault="009F6D69" w:rsidP="003305C9">
      <w:pPr>
        <w:pStyle w:val="Bodytext110"/>
        <w:pBdr>
          <w:bottom w:val="thickThinSmallGap" w:sz="12" w:space="1" w:color="auto"/>
        </w:pBdr>
        <w:shd w:val="clear" w:color="auto" w:fill="auto"/>
        <w:spacing w:before="960" w:line="240" w:lineRule="auto"/>
        <w:ind w:firstLine="0"/>
        <w:rPr>
          <w:b/>
          <w:sz w:val="28"/>
          <w:szCs w:val="28"/>
        </w:rPr>
      </w:pPr>
    </w:p>
    <w:p w14:paraId="1BED780A" w14:textId="77777777" w:rsidR="00CB7170" w:rsidRPr="00A85D42" w:rsidRDefault="0028312C" w:rsidP="00C57E30">
      <w:pPr>
        <w:pStyle w:val="Bodytext110"/>
        <w:shd w:val="clear" w:color="auto" w:fill="auto"/>
        <w:spacing w:before="960" w:line="240" w:lineRule="auto"/>
        <w:ind w:firstLine="0"/>
        <w:jc w:val="center"/>
        <w:rPr>
          <w:b/>
          <w:sz w:val="26"/>
          <w:szCs w:val="28"/>
        </w:rPr>
      </w:pPr>
      <w:bookmarkStart w:id="2" w:name="bookmark2"/>
      <w:r w:rsidRPr="00A85D42">
        <w:rPr>
          <w:b/>
          <w:sz w:val="26"/>
          <w:szCs w:val="28"/>
        </w:rPr>
        <w:t>An Act to provide for the protective security of certain Federal Courts and Tribunals, and for other purposes</w:t>
      </w:r>
      <w:bookmarkEnd w:id="2"/>
    </w:p>
    <w:p w14:paraId="0022CA10" w14:textId="77777777" w:rsidR="00CB7170" w:rsidRPr="009F6D69" w:rsidRDefault="0028312C" w:rsidP="00C57E30">
      <w:pPr>
        <w:pStyle w:val="Bodytext100"/>
        <w:shd w:val="clear" w:color="auto" w:fill="auto"/>
        <w:spacing w:before="120" w:line="240" w:lineRule="auto"/>
        <w:rPr>
          <w:sz w:val="22"/>
          <w:szCs w:val="22"/>
        </w:rPr>
      </w:pPr>
      <w:r w:rsidRPr="004C0A8E">
        <w:rPr>
          <w:i w:val="0"/>
          <w:sz w:val="22"/>
          <w:szCs w:val="22"/>
        </w:rPr>
        <w:t>[</w:t>
      </w:r>
      <w:r w:rsidRPr="009F6D69">
        <w:rPr>
          <w:sz w:val="22"/>
          <w:szCs w:val="22"/>
        </w:rPr>
        <w:t>Assented to 17 October 1995</w:t>
      </w:r>
      <w:r w:rsidRPr="004C0A8E">
        <w:rPr>
          <w:i w:val="0"/>
          <w:sz w:val="22"/>
          <w:szCs w:val="22"/>
        </w:rPr>
        <w:t>]</w:t>
      </w:r>
    </w:p>
    <w:p w14:paraId="51AE84A7" w14:textId="77777777" w:rsidR="00CB7170" w:rsidRPr="009F6D69" w:rsidRDefault="0028312C" w:rsidP="00C57E30">
      <w:pPr>
        <w:pStyle w:val="Bodytext110"/>
        <w:shd w:val="clear" w:color="auto" w:fill="auto"/>
        <w:spacing w:before="120" w:line="240" w:lineRule="auto"/>
        <w:ind w:firstLine="274"/>
        <w:jc w:val="both"/>
        <w:rPr>
          <w:sz w:val="22"/>
          <w:szCs w:val="22"/>
        </w:rPr>
      </w:pPr>
      <w:r w:rsidRPr="009F6D69">
        <w:rPr>
          <w:sz w:val="22"/>
          <w:szCs w:val="22"/>
        </w:rPr>
        <w:t>The Parliament of Australia enacts:</w:t>
      </w:r>
    </w:p>
    <w:p w14:paraId="2F23E764" w14:textId="77777777" w:rsidR="00CB7170" w:rsidRPr="00C57E30" w:rsidRDefault="0028312C" w:rsidP="00C57E30">
      <w:pPr>
        <w:pStyle w:val="Bodytext110"/>
        <w:shd w:val="clear" w:color="auto" w:fill="auto"/>
        <w:spacing w:before="120" w:after="60" w:line="240" w:lineRule="auto"/>
        <w:ind w:firstLine="0"/>
        <w:jc w:val="both"/>
        <w:rPr>
          <w:b/>
          <w:sz w:val="22"/>
          <w:szCs w:val="22"/>
        </w:rPr>
      </w:pPr>
      <w:bookmarkStart w:id="3" w:name="bookmark3"/>
      <w:r w:rsidRPr="00C57E30">
        <w:rPr>
          <w:b/>
          <w:sz w:val="22"/>
          <w:szCs w:val="22"/>
        </w:rPr>
        <w:t>Short title</w:t>
      </w:r>
      <w:bookmarkEnd w:id="3"/>
    </w:p>
    <w:p w14:paraId="0F70BEB3" w14:textId="77777777" w:rsidR="00C57E30" w:rsidRDefault="00C57E30" w:rsidP="00B41B30">
      <w:pPr>
        <w:pStyle w:val="Bodytext100"/>
        <w:shd w:val="clear" w:color="auto" w:fill="auto"/>
        <w:tabs>
          <w:tab w:val="left" w:pos="702"/>
        </w:tabs>
        <w:spacing w:before="120" w:line="240" w:lineRule="auto"/>
        <w:ind w:firstLine="274"/>
        <w:jc w:val="both"/>
        <w:rPr>
          <w:sz w:val="22"/>
          <w:szCs w:val="22"/>
        </w:rPr>
      </w:pPr>
      <w:r w:rsidRPr="00C57E30">
        <w:rPr>
          <w:rStyle w:val="Bodytext10NotItalic"/>
          <w:b/>
          <w:sz w:val="22"/>
          <w:szCs w:val="22"/>
        </w:rPr>
        <w:t>1.</w:t>
      </w:r>
      <w:r>
        <w:rPr>
          <w:rStyle w:val="Bodytext10NotItalic"/>
          <w:sz w:val="22"/>
          <w:szCs w:val="22"/>
        </w:rPr>
        <w:tab/>
      </w:r>
      <w:r w:rsidR="0028312C" w:rsidRPr="009F6D69">
        <w:rPr>
          <w:rStyle w:val="Bodytext10NotItalic"/>
          <w:sz w:val="22"/>
          <w:szCs w:val="22"/>
        </w:rPr>
        <w:t xml:space="preserve">This Act may be cited as the </w:t>
      </w:r>
      <w:r w:rsidR="0028312C" w:rsidRPr="009F6D69">
        <w:rPr>
          <w:sz w:val="22"/>
          <w:szCs w:val="22"/>
        </w:rPr>
        <w:t>Public Order (Protection of Persons and Property) Amendment Act 1995.</w:t>
      </w:r>
    </w:p>
    <w:p w14:paraId="7350848F" w14:textId="77777777" w:rsidR="00C57E30" w:rsidRDefault="00C57E30">
      <w:pPr>
        <w:rPr>
          <w:rFonts w:ascii="Times New Roman" w:eastAsia="Times New Roman" w:hAnsi="Times New Roman" w:cs="Times New Roman"/>
          <w:i/>
          <w:iCs/>
          <w:sz w:val="22"/>
          <w:szCs w:val="22"/>
        </w:rPr>
      </w:pPr>
      <w:r>
        <w:rPr>
          <w:sz w:val="22"/>
          <w:szCs w:val="22"/>
        </w:rPr>
        <w:br w:type="page"/>
      </w:r>
    </w:p>
    <w:p w14:paraId="72FA503E" w14:textId="4840DC1F" w:rsidR="00CB7170" w:rsidRPr="00C57E30" w:rsidRDefault="0028312C" w:rsidP="00C57E30">
      <w:pPr>
        <w:pStyle w:val="Bodytext110"/>
        <w:shd w:val="clear" w:color="auto" w:fill="auto"/>
        <w:spacing w:before="120" w:after="60" w:line="240" w:lineRule="auto"/>
        <w:ind w:firstLine="0"/>
        <w:jc w:val="both"/>
        <w:rPr>
          <w:b/>
          <w:sz w:val="22"/>
          <w:szCs w:val="22"/>
        </w:rPr>
      </w:pPr>
      <w:r w:rsidRPr="00C57E30">
        <w:rPr>
          <w:b/>
          <w:sz w:val="22"/>
          <w:szCs w:val="22"/>
        </w:rPr>
        <w:lastRenderedPageBreak/>
        <w:t>Commencement</w:t>
      </w:r>
    </w:p>
    <w:p w14:paraId="07E542C1" w14:textId="77777777" w:rsidR="00CB7170" w:rsidRPr="00C57E30" w:rsidRDefault="00C57E30" w:rsidP="00BE0F28">
      <w:pPr>
        <w:pStyle w:val="Bodytext100"/>
        <w:shd w:val="clear" w:color="auto" w:fill="auto"/>
        <w:spacing w:before="120" w:line="240" w:lineRule="auto"/>
        <w:ind w:firstLine="274"/>
        <w:jc w:val="both"/>
        <w:rPr>
          <w:i w:val="0"/>
          <w:sz w:val="22"/>
          <w:szCs w:val="22"/>
        </w:rPr>
      </w:pPr>
      <w:r w:rsidRPr="00C57E30">
        <w:rPr>
          <w:b/>
          <w:i w:val="0"/>
          <w:sz w:val="22"/>
          <w:szCs w:val="22"/>
        </w:rPr>
        <w:t>2.</w:t>
      </w:r>
      <w:r w:rsidR="00627995">
        <w:rPr>
          <w:b/>
          <w:i w:val="0"/>
          <w:sz w:val="22"/>
          <w:szCs w:val="22"/>
        </w:rPr>
        <w:t xml:space="preserve"> </w:t>
      </w:r>
      <w:r w:rsidR="0028312C" w:rsidRPr="00C57E30">
        <w:rPr>
          <w:b/>
          <w:i w:val="0"/>
          <w:sz w:val="22"/>
          <w:szCs w:val="22"/>
        </w:rPr>
        <w:t>(1)</w:t>
      </w:r>
      <w:r>
        <w:rPr>
          <w:i w:val="0"/>
          <w:sz w:val="22"/>
          <w:szCs w:val="22"/>
        </w:rPr>
        <w:t xml:space="preserve"> </w:t>
      </w:r>
      <w:r w:rsidR="0028312C" w:rsidRPr="00C57E30">
        <w:rPr>
          <w:i w:val="0"/>
          <w:sz w:val="22"/>
          <w:szCs w:val="22"/>
        </w:rPr>
        <w:t>Subject to subsection (2), this Act commences on a day to be fixed by Proclamation.</w:t>
      </w:r>
    </w:p>
    <w:p w14:paraId="013E8CB5" w14:textId="77777777" w:rsidR="00CB7170" w:rsidRPr="009F6D69" w:rsidRDefault="0028312C" w:rsidP="00BE0F28">
      <w:pPr>
        <w:pStyle w:val="Bodytext110"/>
        <w:shd w:val="clear" w:color="auto" w:fill="auto"/>
        <w:spacing w:before="120" w:line="240" w:lineRule="auto"/>
        <w:ind w:firstLine="274"/>
        <w:jc w:val="both"/>
        <w:rPr>
          <w:sz w:val="22"/>
          <w:szCs w:val="22"/>
        </w:rPr>
      </w:pPr>
      <w:r w:rsidRPr="00BA79BB">
        <w:rPr>
          <w:b/>
          <w:sz w:val="22"/>
          <w:szCs w:val="22"/>
        </w:rPr>
        <w:t>(2)</w:t>
      </w:r>
      <w:r w:rsidRPr="009F6D69">
        <w:rPr>
          <w:sz w:val="22"/>
          <w:szCs w:val="22"/>
        </w:rPr>
        <w:t xml:space="preserve"> If this Act does not commence under subsection (1) within 6 months beginning on the day on which it receives the Royal Assent, it commences on the first day after the end of that period.</w:t>
      </w:r>
    </w:p>
    <w:p w14:paraId="57A89DC5" w14:textId="77777777" w:rsidR="00CB7170" w:rsidRPr="00C57E30" w:rsidRDefault="0028312C" w:rsidP="00BE0F28">
      <w:pPr>
        <w:pStyle w:val="Bodytext110"/>
        <w:shd w:val="clear" w:color="auto" w:fill="auto"/>
        <w:spacing w:before="120" w:after="60" w:line="240" w:lineRule="auto"/>
        <w:ind w:firstLine="0"/>
        <w:jc w:val="both"/>
        <w:rPr>
          <w:b/>
          <w:sz w:val="22"/>
          <w:szCs w:val="22"/>
        </w:rPr>
      </w:pPr>
      <w:r w:rsidRPr="00C57E30">
        <w:rPr>
          <w:b/>
          <w:sz w:val="22"/>
          <w:szCs w:val="22"/>
        </w:rPr>
        <w:t>Amendments</w:t>
      </w:r>
    </w:p>
    <w:p w14:paraId="7AB97A3C" w14:textId="236DE5E2" w:rsidR="00C57E30" w:rsidRDefault="00BA79BB" w:rsidP="00BE0F28">
      <w:pPr>
        <w:pStyle w:val="Bodytext100"/>
        <w:shd w:val="clear" w:color="auto" w:fill="auto"/>
        <w:tabs>
          <w:tab w:val="left" w:pos="702"/>
        </w:tabs>
        <w:spacing w:before="120" w:line="240" w:lineRule="auto"/>
        <w:ind w:firstLine="274"/>
        <w:jc w:val="both"/>
        <w:rPr>
          <w:rStyle w:val="Bodytext10NotItalic"/>
          <w:sz w:val="22"/>
          <w:szCs w:val="22"/>
        </w:rPr>
      </w:pPr>
      <w:r w:rsidRPr="00BA79BB">
        <w:rPr>
          <w:rStyle w:val="Bodytext10NotItalic"/>
          <w:b/>
          <w:sz w:val="22"/>
          <w:szCs w:val="22"/>
        </w:rPr>
        <w:t>3.</w:t>
      </w:r>
      <w:r>
        <w:rPr>
          <w:rStyle w:val="Bodytext10NotItalic"/>
          <w:sz w:val="22"/>
          <w:szCs w:val="22"/>
        </w:rPr>
        <w:tab/>
      </w:r>
      <w:r w:rsidR="0028312C" w:rsidRPr="00C57E30">
        <w:rPr>
          <w:rStyle w:val="Bodytext10NotItalic"/>
          <w:sz w:val="22"/>
          <w:szCs w:val="22"/>
        </w:rPr>
        <w:t xml:space="preserve">The </w:t>
      </w:r>
      <w:r w:rsidR="0028312C" w:rsidRPr="00C57E30">
        <w:rPr>
          <w:sz w:val="22"/>
          <w:szCs w:val="22"/>
        </w:rPr>
        <w:t>Public Order (Protection of Persons and Property) Act 1971</w:t>
      </w:r>
      <w:r w:rsidR="0028312C" w:rsidRPr="00C57E30">
        <w:rPr>
          <w:rStyle w:val="Bodytext10NotItalic"/>
          <w:sz w:val="22"/>
          <w:szCs w:val="22"/>
        </w:rPr>
        <w:t xml:space="preserve"> is amended as set out in the Schedule</w:t>
      </w:r>
      <w:r w:rsidR="00C17524">
        <w:rPr>
          <w:rStyle w:val="Bodytext10NotItalic"/>
          <w:sz w:val="22"/>
          <w:szCs w:val="22"/>
        </w:rPr>
        <w:t>.</w:t>
      </w:r>
    </w:p>
    <w:p w14:paraId="38935C23" w14:textId="77777777" w:rsidR="00BA79BB" w:rsidRDefault="00BA79BB" w:rsidP="00BA79BB">
      <w:pPr>
        <w:pStyle w:val="Bodytext100"/>
        <w:shd w:val="clear" w:color="auto" w:fill="auto"/>
        <w:tabs>
          <w:tab w:val="left" w:pos="702"/>
        </w:tabs>
        <w:spacing w:line="240" w:lineRule="auto"/>
        <w:jc w:val="center"/>
        <w:rPr>
          <w:rStyle w:val="Bodytext10NotItalic"/>
          <w:sz w:val="22"/>
          <w:szCs w:val="22"/>
        </w:rPr>
      </w:pPr>
      <w:r>
        <w:rPr>
          <w:rStyle w:val="Bodytext10NotItalic"/>
          <w:sz w:val="22"/>
          <w:szCs w:val="22"/>
        </w:rPr>
        <w:t>____________</w:t>
      </w:r>
    </w:p>
    <w:p w14:paraId="08428CCD" w14:textId="77777777" w:rsidR="00C57E30" w:rsidRDefault="00C57E30">
      <w:pPr>
        <w:rPr>
          <w:rStyle w:val="Bodytext10NotItalic"/>
          <w:rFonts w:eastAsia="Courier New"/>
          <w:i w:val="0"/>
          <w:iCs w:val="0"/>
          <w:sz w:val="22"/>
          <w:szCs w:val="22"/>
        </w:rPr>
      </w:pPr>
      <w:r>
        <w:rPr>
          <w:rStyle w:val="Bodytext10NotItalic"/>
          <w:rFonts w:eastAsia="Courier New"/>
          <w:sz w:val="22"/>
          <w:szCs w:val="22"/>
        </w:rPr>
        <w:br w:type="page"/>
      </w:r>
    </w:p>
    <w:p w14:paraId="7C203F07" w14:textId="16D5709D" w:rsidR="00CB7170" w:rsidRPr="009F6D69" w:rsidRDefault="0028312C" w:rsidP="00312E3F">
      <w:pPr>
        <w:pStyle w:val="Bodytext60"/>
        <w:shd w:val="clear" w:color="auto" w:fill="auto"/>
        <w:tabs>
          <w:tab w:val="left" w:pos="8100"/>
        </w:tabs>
        <w:spacing w:line="240" w:lineRule="auto"/>
        <w:ind w:left="3960"/>
        <w:rPr>
          <w:sz w:val="22"/>
          <w:szCs w:val="22"/>
        </w:rPr>
      </w:pPr>
      <w:r w:rsidRPr="00BA79BB">
        <w:rPr>
          <w:b/>
          <w:sz w:val="22"/>
          <w:szCs w:val="22"/>
        </w:rPr>
        <w:lastRenderedPageBreak/>
        <w:t>SCHEDULE</w:t>
      </w:r>
      <w:r w:rsidR="00BA79BB">
        <w:rPr>
          <w:sz w:val="22"/>
          <w:szCs w:val="22"/>
        </w:rPr>
        <w:tab/>
      </w:r>
      <w:r w:rsidR="00BA79BB" w:rsidRPr="00C17524">
        <w:rPr>
          <w:rStyle w:val="Bodytext61"/>
          <w:sz w:val="20"/>
          <w:szCs w:val="22"/>
        </w:rPr>
        <w:t>Section 3</w:t>
      </w:r>
    </w:p>
    <w:p w14:paraId="7C1EF656" w14:textId="77777777" w:rsidR="00CB7170" w:rsidRPr="00BA79BB" w:rsidRDefault="0028312C" w:rsidP="005A552E">
      <w:pPr>
        <w:pStyle w:val="Bodytext100"/>
        <w:shd w:val="clear" w:color="auto" w:fill="auto"/>
        <w:spacing w:before="120" w:line="240" w:lineRule="auto"/>
        <w:jc w:val="center"/>
        <w:rPr>
          <w:sz w:val="22"/>
          <w:szCs w:val="22"/>
        </w:rPr>
      </w:pPr>
      <w:r w:rsidRPr="00BA79BB">
        <w:rPr>
          <w:rStyle w:val="Bodytext10NotItalic"/>
          <w:sz w:val="22"/>
          <w:szCs w:val="22"/>
        </w:rPr>
        <w:t xml:space="preserve">AMENDMENTS OF THE </w:t>
      </w:r>
      <w:r w:rsidRPr="00BA79BB">
        <w:rPr>
          <w:sz w:val="22"/>
          <w:szCs w:val="22"/>
        </w:rPr>
        <w:t>PUBLIC ORDER (PROTECTION OF PERSONS AND PROPERTY) ACT 1971</w:t>
      </w:r>
    </w:p>
    <w:p w14:paraId="4ADD38C1" w14:textId="77777777" w:rsidR="00CB7170" w:rsidRPr="00BA79BB"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1. </w:t>
      </w:r>
      <w:r w:rsidR="0028312C" w:rsidRPr="00BA79BB">
        <w:rPr>
          <w:b/>
          <w:i w:val="0"/>
          <w:sz w:val="22"/>
          <w:szCs w:val="22"/>
        </w:rPr>
        <w:t>Title:</w:t>
      </w:r>
    </w:p>
    <w:p w14:paraId="23D7132A" w14:textId="69BD565A"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After “</w:t>
      </w:r>
      <w:r w:rsidRPr="0091191F">
        <w:rPr>
          <w:b/>
          <w:sz w:val="22"/>
          <w:szCs w:val="22"/>
        </w:rPr>
        <w:t>Commonwealth Premises</w:t>
      </w:r>
      <w:r w:rsidRPr="009F6D69">
        <w:rPr>
          <w:sz w:val="22"/>
          <w:szCs w:val="22"/>
        </w:rPr>
        <w:t xml:space="preserve">” insert </w:t>
      </w:r>
      <w:r w:rsidR="00C17524">
        <w:rPr>
          <w:sz w:val="22"/>
          <w:szCs w:val="22"/>
        </w:rPr>
        <w:t>“</w:t>
      </w:r>
      <w:r w:rsidR="00C17524" w:rsidRPr="00C17524">
        <w:rPr>
          <w:b/>
          <w:sz w:val="22"/>
          <w:szCs w:val="22"/>
        </w:rPr>
        <w:t xml:space="preserve">, </w:t>
      </w:r>
      <w:r w:rsidRPr="0091191F">
        <w:rPr>
          <w:b/>
          <w:sz w:val="22"/>
          <w:szCs w:val="22"/>
        </w:rPr>
        <w:t>the Premises of certain Federal Courts and Tribunals</w:t>
      </w:r>
      <w:r w:rsidRPr="009F6D69">
        <w:rPr>
          <w:sz w:val="22"/>
          <w:szCs w:val="22"/>
        </w:rPr>
        <w:t>”.</w:t>
      </w:r>
    </w:p>
    <w:p w14:paraId="0D06FDF0" w14:textId="77777777" w:rsidR="00CB7170" w:rsidRPr="00BA79BB"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2. </w:t>
      </w:r>
      <w:r w:rsidR="0028312C" w:rsidRPr="00BA79BB">
        <w:rPr>
          <w:b/>
          <w:i w:val="0"/>
          <w:sz w:val="22"/>
          <w:szCs w:val="22"/>
        </w:rPr>
        <w:t>Subsection 4(1):</w:t>
      </w:r>
    </w:p>
    <w:p w14:paraId="6048A532"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Insert:</w:t>
      </w:r>
    </w:p>
    <w:p w14:paraId="5DF6542A" w14:textId="438468E0" w:rsidR="00CB7170" w:rsidRPr="009F6D69" w:rsidRDefault="0028312C" w:rsidP="004C0A8E">
      <w:pPr>
        <w:pStyle w:val="Bodytext110"/>
        <w:shd w:val="clear" w:color="auto" w:fill="auto"/>
        <w:spacing w:before="120" w:line="240" w:lineRule="auto"/>
        <w:ind w:firstLine="0"/>
        <w:jc w:val="both"/>
        <w:rPr>
          <w:sz w:val="22"/>
          <w:szCs w:val="22"/>
        </w:rPr>
      </w:pPr>
      <w:r w:rsidRPr="00C17524">
        <w:rPr>
          <w:rStyle w:val="Bodytext11Italic"/>
          <w:i w:val="0"/>
          <w:sz w:val="22"/>
          <w:szCs w:val="22"/>
        </w:rPr>
        <w:t>“</w:t>
      </w:r>
      <w:r w:rsidRPr="004C0A8E">
        <w:rPr>
          <w:rStyle w:val="Bodytext11Italic"/>
          <w:b/>
          <w:sz w:val="22"/>
          <w:szCs w:val="22"/>
        </w:rPr>
        <w:t>frisk search</w:t>
      </w:r>
      <w:r w:rsidRPr="009F6D69">
        <w:rPr>
          <w:sz w:val="22"/>
          <w:szCs w:val="22"/>
        </w:rPr>
        <w:t xml:space="preserve"> means a search of a person conducted by quickly running the hands over the person’s outer clothing.</w:t>
      </w:r>
    </w:p>
    <w:p w14:paraId="4E07C9C4" w14:textId="77777777" w:rsidR="00CB7170" w:rsidRPr="009F6D69" w:rsidRDefault="0028312C" w:rsidP="004C0A8E">
      <w:pPr>
        <w:pStyle w:val="Bodytext110"/>
        <w:shd w:val="clear" w:color="auto" w:fill="auto"/>
        <w:spacing w:before="120" w:line="240" w:lineRule="auto"/>
        <w:ind w:firstLine="0"/>
        <w:jc w:val="both"/>
        <w:rPr>
          <w:sz w:val="22"/>
          <w:szCs w:val="22"/>
        </w:rPr>
      </w:pPr>
      <w:r w:rsidRPr="00B07ED8">
        <w:rPr>
          <w:rStyle w:val="Bodytext11Italic"/>
          <w:b/>
          <w:sz w:val="22"/>
          <w:szCs w:val="22"/>
        </w:rPr>
        <w:t>screening search</w:t>
      </w:r>
      <w:r w:rsidRPr="009F6D69">
        <w:rPr>
          <w:sz w:val="22"/>
          <w:szCs w:val="22"/>
        </w:rPr>
        <w:t xml:space="preserve"> means a search of a person conducted by equipment designed to carry out such a search without touching the person.”.</w:t>
      </w:r>
    </w:p>
    <w:p w14:paraId="1BD43D5F"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3. </w:t>
      </w:r>
      <w:r w:rsidR="0028312C" w:rsidRPr="00B07ED8">
        <w:rPr>
          <w:b/>
          <w:i w:val="0"/>
          <w:sz w:val="22"/>
          <w:szCs w:val="22"/>
        </w:rPr>
        <w:t>Subsection 6(1):</w:t>
      </w:r>
    </w:p>
    <w:p w14:paraId="38431ED5"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0202A980"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4. </w:t>
      </w:r>
      <w:r w:rsidR="0028312C" w:rsidRPr="00B07ED8">
        <w:rPr>
          <w:b/>
          <w:i w:val="0"/>
          <w:sz w:val="22"/>
          <w:szCs w:val="22"/>
        </w:rPr>
        <w:t>Subsection 6(2):</w:t>
      </w:r>
    </w:p>
    <w:p w14:paraId="3B2D37FE"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Omit “a fine not exceeding One thousand dollars or imprisonment for a term not exceeding twelve months, or both”, substitute “imprisonment for not more than 12 months”.</w:t>
      </w:r>
    </w:p>
    <w:p w14:paraId="50C9D05C"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5. </w:t>
      </w:r>
      <w:r w:rsidR="0028312C" w:rsidRPr="00B07ED8">
        <w:rPr>
          <w:b/>
          <w:i w:val="0"/>
          <w:sz w:val="22"/>
          <w:szCs w:val="22"/>
        </w:rPr>
        <w:t>Paragraph 7(b):</w:t>
      </w:r>
    </w:p>
    <w:p w14:paraId="694B3608"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Omit “Two hundred dollars”, substitute “$1,500”.</w:t>
      </w:r>
    </w:p>
    <w:p w14:paraId="0564BE3B"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6. </w:t>
      </w:r>
      <w:r w:rsidR="0028312C" w:rsidRPr="00B07ED8">
        <w:rPr>
          <w:b/>
          <w:i w:val="0"/>
          <w:sz w:val="22"/>
          <w:szCs w:val="22"/>
        </w:rPr>
        <w:t>Subsection 8(3):</w:t>
      </w:r>
    </w:p>
    <w:p w14:paraId="04E29170"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Omit “a fine not exceeding Five hundred dollars or imprisonment for a term not exceeding six months, or both”, substitute “imprisonment for not more than 6 months”.</w:t>
      </w:r>
    </w:p>
    <w:p w14:paraId="02F22B6A"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7. </w:t>
      </w:r>
      <w:r w:rsidR="0028312C" w:rsidRPr="00B07ED8">
        <w:rPr>
          <w:b/>
          <w:i w:val="0"/>
          <w:sz w:val="22"/>
          <w:szCs w:val="22"/>
        </w:rPr>
        <w:t>Paragraph 8(4)(b):</w:t>
      </w:r>
    </w:p>
    <w:p w14:paraId="1F783E0D" w14:textId="77777777" w:rsidR="00CB7170" w:rsidRPr="009F6D69" w:rsidRDefault="0028312C" w:rsidP="004C0A8E">
      <w:pPr>
        <w:pStyle w:val="Bodytext110"/>
        <w:shd w:val="clear" w:color="auto" w:fill="auto"/>
        <w:spacing w:before="120" w:line="240" w:lineRule="auto"/>
        <w:ind w:firstLine="274"/>
        <w:jc w:val="both"/>
        <w:rPr>
          <w:sz w:val="22"/>
          <w:szCs w:val="22"/>
        </w:rPr>
      </w:pPr>
      <w:r w:rsidRPr="009F6D69">
        <w:rPr>
          <w:sz w:val="22"/>
          <w:szCs w:val="22"/>
        </w:rPr>
        <w:t>Omit “paragraph (b) of subsection (1) of this section”, substitute “paragraph (l)(b)”.</w:t>
      </w:r>
    </w:p>
    <w:p w14:paraId="62F14992" w14:textId="77777777" w:rsidR="00CB7170" w:rsidRPr="00B07ED8" w:rsidRDefault="0091191F" w:rsidP="004C0A8E">
      <w:pPr>
        <w:pStyle w:val="Bodytext100"/>
        <w:shd w:val="clear" w:color="auto" w:fill="auto"/>
        <w:tabs>
          <w:tab w:val="left" w:pos="288"/>
        </w:tabs>
        <w:spacing w:before="120" w:line="240" w:lineRule="auto"/>
        <w:jc w:val="both"/>
        <w:rPr>
          <w:b/>
          <w:i w:val="0"/>
          <w:sz w:val="22"/>
          <w:szCs w:val="22"/>
        </w:rPr>
      </w:pPr>
      <w:r>
        <w:rPr>
          <w:b/>
          <w:i w:val="0"/>
          <w:sz w:val="22"/>
          <w:szCs w:val="22"/>
        </w:rPr>
        <w:t xml:space="preserve">8. </w:t>
      </w:r>
      <w:r w:rsidR="0028312C" w:rsidRPr="00B07ED8">
        <w:rPr>
          <w:b/>
          <w:i w:val="0"/>
          <w:sz w:val="22"/>
          <w:szCs w:val="22"/>
        </w:rPr>
        <w:t>Section 9:</w:t>
      </w:r>
    </w:p>
    <w:p w14:paraId="5DA05681" w14:textId="77777777" w:rsidR="00CB7170" w:rsidRPr="009F6D69" w:rsidRDefault="0028312C" w:rsidP="005A552E">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6B23855A" w14:textId="77777777" w:rsidR="00B07ED8" w:rsidRDefault="00B07ED8">
      <w:pPr>
        <w:rPr>
          <w:rFonts w:ascii="Times New Roman" w:eastAsia="Times New Roman" w:hAnsi="Times New Roman" w:cs="Times New Roman"/>
          <w:i/>
          <w:iCs/>
          <w:sz w:val="22"/>
          <w:szCs w:val="22"/>
          <w:lang w:val="lv-LV"/>
        </w:rPr>
      </w:pPr>
      <w:r>
        <w:rPr>
          <w:sz w:val="22"/>
          <w:szCs w:val="22"/>
          <w:lang w:val="lv-LV"/>
        </w:rPr>
        <w:br w:type="page"/>
      </w:r>
    </w:p>
    <w:p w14:paraId="4CBFBC84" w14:textId="77777777" w:rsidR="00CB7170" w:rsidRPr="009F6D69" w:rsidRDefault="0028312C" w:rsidP="00B07ED8">
      <w:pPr>
        <w:pStyle w:val="Bodytext110"/>
        <w:shd w:val="clear" w:color="auto" w:fill="auto"/>
        <w:spacing w:line="240" w:lineRule="auto"/>
        <w:ind w:firstLine="0"/>
        <w:jc w:val="center"/>
        <w:rPr>
          <w:sz w:val="22"/>
          <w:szCs w:val="22"/>
        </w:rPr>
      </w:pPr>
      <w:r w:rsidRPr="00B07ED8">
        <w:rPr>
          <w:b/>
          <w:sz w:val="22"/>
          <w:szCs w:val="22"/>
        </w:rPr>
        <w:lastRenderedPageBreak/>
        <w:t>SCHEDULE</w:t>
      </w:r>
      <w:r w:rsidRPr="009F6D69">
        <w:rPr>
          <w:sz w:val="22"/>
          <w:szCs w:val="22"/>
        </w:rPr>
        <w:t>—continued</w:t>
      </w:r>
    </w:p>
    <w:p w14:paraId="72AFE04D" w14:textId="77777777" w:rsidR="00CB7170" w:rsidRPr="00B07ED8" w:rsidRDefault="00E71249" w:rsidP="00B96527">
      <w:pPr>
        <w:pStyle w:val="Bodytext100"/>
        <w:shd w:val="clear" w:color="auto" w:fill="auto"/>
        <w:tabs>
          <w:tab w:val="left" w:pos="288"/>
        </w:tabs>
        <w:spacing w:before="120" w:line="240" w:lineRule="auto"/>
        <w:jc w:val="both"/>
        <w:rPr>
          <w:b/>
          <w:i w:val="0"/>
          <w:sz w:val="22"/>
          <w:szCs w:val="22"/>
        </w:rPr>
      </w:pPr>
      <w:bookmarkStart w:id="4" w:name="bookmark4"/>
      <w:r>
        <w:rPr>
          <w:b/>
          <w:i w:val="0"/>
          <w:sz w:val="22"/>
          <w:szCs w:val="22"/>
        </w:rPr>
        <w:t xml:space="preserve">9. </w:t>
      </w:r>
      <w:r w:rsidR="0028312C" w:rsidRPr="00B07ED8">
        <w:rPr>
          <w:b/>
          <w:i w:val="0"/>
          <w:sz w:val="22"/>
          <w:szCs w:val="22"/>
        </w:rPr>
        <w:t>Paragraph 10(l)(a):</w:t>
      </w:r>
      <w:bookmarkEnd w:id="4"/>
    </w:p>
    <w:p w14:paraId="603CEDB2"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After “his” insert “or her”.</w:t>
      </w:r>
    </w:p>
    <w:p w14:paraId="1C77AC18" w14:textId="77777777" w:rsidR="00CB7170" w:rsidRPr="00B07ED8" w:rsidRDefault="00E71249" w:rsidP="00B96527">
      <w:pPr>
        <w:pStyle w:val="Bodytext100"/>
        <w:shd w:val="clear" w:color="auto" w:fill="auto"/>
        <w:tabs>
          <w:tab w:val="left" w:pos="423"/>
        </w:tabs>
        <w:spacing w:before="120" w:line="240" w:lineRule="auto"/>
        <w:jc w:val="both"/>
        <w:rPr>
          <w:b/>
          <w:i w:val="0"/>
          <w:sz w:val="22"/>
          <w:szCs w:val="22"/>
        </w:rPr>
      </w:pPr>
      <w:bookmarkStart w:id="5" w:name="bookmark5"/>
      <w:r>
        <w:rPr>
          <w:b/>
          <w:i w:val="0"/>
          <w:sz w:val="22"/>
          <w:szCs w:val="22"/>
        </w:rPr>
        <w:t xml:space="preserve">10. </w:t>
      </w:r>
      <w:r w:rsidR="0028312C" w:rsidRPr="00B07ED8">
        <w:rPr>
          <w:b/>
          <w:i w:val="0"/>
          <w:sz w:val="22"/>
          <w:szCs w:val="22"/>
        </w:rPr>
        <w:t>Subsection If (2):</w:t>
      </w:r>
      <w:bookmarkEnd w:id="5"/>
    </w:p>
    <w:p w14:paraId="3611D3CF"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Omit the subsection, substitute:</w:t>
      </w:r>
    </w:p>
    <w:p w14:paraId="64F783CA"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“(2) An offence against subsection (1) is punishable on conviction:</w:t>
      </w:r>
    </w:p>
    <w:p w14:paraId="0687C330" w14:textId="6014F4E9" w:rsidR="00CB7170" w:rsidRPr="009F6D69" w:rsidRDefault="00B07ED8" w:rsidP="00B96527">
      <w:pPr>
        <w:pStyle w:val="Bodytext110"/>
        <w:shd w:val="clear" w:color="auto" w:fill="auto"/>
        <w:spacing w:before="120" w:line="240" w:lineRule="auto"/>
        <w:ind w:left="585" w:hanging="311"/>
        <w:jc w:val="both"/>
        <w:rPr>
          <w:sz w:val="22"/>
          <w:szCs w:val="22"/>
        </w:rPr>
      </w:pPr>
      <w:r>
        <w:rPr>
          <w:sz w:val="22"/>
          <w:szCs w:val="22"/>
        </w:rPr>
        <w:t xml:space="preserve">(a) </w:t>
      </w:r>
      <w:r w:rsidR="0028312C" w:rsidRPr="009F6D69">
        <w:rPr>
          <w:sz w:val="22"/>
          <w:szCs w:val="22"/>
        </w:rPr>
        <w:t>in respect of an off</w:t>
      </w:r>
      <w:r w:rsidR="00C17524">
        <w:rPr>
          <w:sz w:val="22"/>
          <w:szCs w:val="22"/>
        </w:rPr>
        <w:t>ence arising under paragraph (1</w:t>
      </w:r>
      <w:r w:rsidR="0028312C" w:rsidRPr="009F6D69">
        <w:rPr>
          <w:sz w:val="22"/>
          <w:szCs w:val="22"/>
        </w:rPr>
        <w:t>)(a)—by a fine of not more than 20 penalty units; or</w:t>
      </w:r>
    </w:p>
    <w:p w14:paraId="2157C402" w14:textId="77777777" w:rsidR="00CB7170" w:rsidRPr="009F6D69" w:rsidRDefault="00B07ED8" w:rsidP="00B96527">
      <w:pPr>
        <w:pStyle w:val="Bodytext110"/>
        <w:shd w:val="clear" w:color="auto" w:fill="auto"/>
        <w:spacing w:before="120" w:line="240" w:lineRule="auto"/>
        <w:ind w:left="548" w:hanging="274"/>
        <w:jc w:val="both"/>
        <w:rPr>
          <w:sz w:val="22"/>
          <w:szCs w:val="22"/>
        </w:rPr>
      </w:pPr>
      <w:r>
        <w:rPr>
          <w:sz w:val="22"/>
          <w:szCs w:val="22"/>
        </w:rPr>
        <w:t xml:space="preserve">(b) </w:t>
      </w:r>
      <w:r w:rsidR="0028312C" w:rsidRPr="009F6D69">
        <w:rPr>
          <w:sz w:val="22"/>
          <w:szCs w:val="22"/>
        </w:rPr>
        <w:t>in any other case—by imprisonment for not more than 6 months.”.</w:t>
      </w:r>
    </w:p>
    <w:p w14:paraId="3F0743B6" w14:textId="77777777" w:rsidR="00CB7170" w:rsidRPr="00B07ED8" w:rsidRDefault="00B07ED8" w:rsidP="00B96527">
      <w:pPr>
        <w:pStyle w:val="Bodytext100"/>
        <w:shd w:val="clear" w:color="auto" w:fill="auto"/>
        <w:tabs>
          <w:tab w:val="left" w:pos="423"/>
        </w:tabs>
        <w:spacing w:before="120" w:line="240" w:lineRule="auto"/>
        <w:jc w:val="both"/>
        <w:rPr>
          <w:b/>
          <w:i w:val="0"/>
          <w:sz w:val="22"/>
          <w:szCs w:val="22"/>
        </w:rPr>
      </w:pPr>
      <w:bookmarkStart w:id="6" w:name="bookmark6"/>
      <w:r w:rsidRPr="00B07ED8">
        <w:rPr>
          <w:b/>
          <w:i w:val="0"/>
          <w:sz w:val="22"/>
          <w:szCs w:val="22"/>
        </w:rPr>
        <w:t>11</w:t>
      </w:r>
      <w:r>
        <w:rPr>
          <w:b/>
          <w:i w:val="0"/>
          <w:sz w:val="22"/>
          <w:szCs w:val="22"/>
        </w:rPr>
        <w:t>.</w:t>
      </w:r>
      <w:r w:rsidR="00E71249">
        <w:rPr>
          <w:b/>
          <w:i w:val="0"/>
          <w:sz w:val="22"/>
          <w:szCs w:val="22"/>
        </w:rPr>
        <w:t xml:space="preserve"> </w:t>
      </w:r>
      <w:r w:rsidR="0028312C" w:rsidRPr="00B07ED8">
        <w:rPr>
          <w:b/>
          <w:i w:val="0"/>
          <w:sz w:val="22"/>
          <w:szCs w:val="22"/>
        </w:rPr>
        <w:t>Subsection 11(1):</w:t>
      </w:r>
      <w:bookmarkEnd w:id="6"/>
    </w:p>
    <w:p w14:paraId="14BD85CC"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Omit “a fine not exceeding One hundred dollars or imprisonment for a term not exceeding one month, or both”, substitute “a fine of not more than 10 penalty units”.</w:t>
      </w:r>
    </w:p>
    <w:p w14:paraId="45C28D12" w14:textId="77777777" w:rsidR="00CB7170" w:rsidRPr="00B07ED8" w:rsidRDefault="00E71249" w:rsidP="00B96527">
      <w:pPr>
        <w:pStyle w:val="Bodytext100"/>
        <w:shd w:val="clear" w:color="auto" w:fill="auto"/>
        <w:tabs>
          <w:tab w:val="left" w:pos="423"/>
        </w:tabs>
        <w:spacing w:before="120" w:line="240" w:lineRule="auto"/>
        <w:jc w:val="both"/>
        <w:rPr>
          <w:b/>
          <w:i w:val="0"/>
          <w:sz w:val="22"/>
          <w:szCs w:val="22"/>
        </w:rPr>
      </w:pPr>
      <w:bookmarkStart w:id="7" w:name="bookmark7"/>
      <w:r>
        <w:rPr>
          <w:b/>
          <w:i w:val="0"/>
          <w:sz w:val="22"/>
          <w:szCs w:val="22"/>
        </w:rPr>
        <w:t xml:space="preserve">12. </w:t>
      </w:r>
      <w:r w:rsidR="0028312C" w:rsidRPr="00B07ED8">
        <w:rPr>
          <w:b/>
          <w:i w:val="0"/>
          <w:sz w:val="22"/>
          <w:szCs w:val="22"/>
        </w:rPr>
        <w:t>Subsection 11(2):</w:t>
      </w:r>
      <w:bookmarkEnd w:id="7"/>
    </w:p>
    <w:p w14:paraId="53AABA96"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57C4FE88" w14:textId="77777777" w:rsidR="00CB7170" w:rsidRPr="00B07ED8" w:rsidRDefault="00E71249" w:rsidP="00B96527">
      <w:pPr>
        <w:pStyle w:val="Bodytext100"/>
        <w:shd w:val="clear" w:color="auto" w:fill="auto"/>
        <w:tabs>
          <w:tab w:val="left" w:pos="423"/>
        </w:tabs>
        <w:spacing w:before="120" w:line="240" w:lineRule="auto"/>
        <w:jc w:val="both"/>
        <w:rPr>
          <w:b/>
          <w:i w:val="0"/>
          <w:sz w:val="22"/>
          <w:szCs w:val="22"/>
        </w:rPr>
      </w:pPr>
      <w:bookmarkStart w:id="8" w:name="bookmark8"/>
      <w:r>
        <w:rPr>
          <w:b/>
          <w:i w:val="0"/>
          <w:sz w:val="22"/>
          <w:szCs w:val="22"/>
        </w:rPr>
        <w:t xml:space="preserve">13. </w:t>
      </w:r>
      <w:r w:rsidR="0028312C" w:rsidRPr="00B07ED8">
        <w:rPr>
          <w:b/>
          <w:i w:val="0"/>
          <w:sz w:val="22"/>
          <w:szCs w:val="22"/>
        </w:rPr>
        <w:t>Subsection 12(1):</w:t>
      </w:r>
      <w:bookmarkEnd w:id="8"/>
    </w:p>
    <w:p w14:paraId="3B6592C7"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Omit “a fine not exceeding One hundred dollars or imprisonment for a term not exceeding one month, or both”, substitute “a fine of not more than 10 penalty units”.</w:t>
      </w:r>
    </w:p>
    <w:p w14:paraId="42BCC14C" w14:textId="77777777" w:rsidR="00CB7170" w:rsidRPr="00B07ED8" w:rsidRDefault="00E71249" w:rsidP="00B96527">
      <w:pPr>
        <w:pStyle w:val="Bodytext100"/>
        <w:shd w:val="clear" w:color="auto" w:fill="auto"/>
        <w:tabs>
          <w:tab w:val="left" w:pos="423"/>
        </w:tabs>
        <w:spacing w:before="120" w:line="240" w:lineRule="auto"/>
        <w:jc w:val="both"/>
        <w:rPr>
          <w:b/>
          <w:i w:val="0"/>
          <w:sz w:val="22"/>
          <w:szCs w:val="22"/>
        </w:rPr>
      </w:pPr>
      <w:bookmarkStart w:id="9" w:name="bookmark9"/>
      <w:r>
        <w:rPr>
          <w:b/>
          <w:i w:val="0"/>
          <w:sz w:val="22"/>
          <w:szCs w:val="22"/>
        </w:rPr>
        <w:t xml:space="preserve">14. </w:t>
      </w:r>
      <w:r w:rsidR="0028312C" w:rsidRPr="00B07ED8">
        <w:rPr>
          <w:b/>
          <w:i w:val="0"/>
          <w:sz w:val="22"/>
          <w:szCs w:val="22"/>
        </w:rPr>
        <w:t>Subsection 12(2):</w:t>
      </w:r>
      <w:bookmarkEnd w:id="9"/>
    </w:p>
    <w:p w14:paraId="5E5054C1" w14:textId="77777777" w:rsidR="00CB7170" w:rsidRPr="009F6D69" w:rsidRDefault="0028312C" w:rsidP="00B96527">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4AD04947" w14:textId="77777777" w:rsidR="00CB7170" w:rsidRPr="00B07ED8" w:rsidRDefault="00E71249" w:rsidP="00B96527">
      <w:pPr>
        <w:pStyle w:val="Bodytext100"/>
        <w:shd w:val="clear" w:color="auto" w:fill="auto"/>
        <w:tabs>
          <w:tab w:val="left" w:pos="423"/>
        </w:tabs>
        <w:spacing w:before="120" w:line="240" w:lineRule="auto"/>
        <w:jc w:val="both"/>
        <w:rPr>
          <w:b/>
          <w:i w:val="0"/>
          <w:sz w:val="22"/>
          <w:szCs w:val="22"/>
        </w:rPr>
      </w:pPr>
      <w:bookmarkStart w:id="10" w:name="bookmark10"/>
      <w:r>
        <w:rPr>
          <w:b/>
          <w:i w:val="0"/>
          <w:sz w:val="22"/>
          <w:szCs w:val="22"/>
        </w:rPr>
        <w:t xml:space="preserve">15. </w:t>
      </w:r>
      <w:r w:rsidR="0028312C" w:rsidRPr="00B07ED8">
        <w:rPr>
          <w:b/>
          <w:i w:val="0"/>
          <w:sz w:val="22"/>
          <w:szCs w:val="22"/>
        </w:rPr>
        <w:t>After Part II:</w:t>
      </w:r>
      <w:bookmarkEnd w:id="10"/>
    </w:p>
    <w:p w14:paraId="3398087A" w14:textId="77777777" w:rsidR="00CB7170" w:rsidRPr="009F6D69" w:rsidRDefault="0028312C" w:rsidP="00A44A00">
      <w:pPr>
        <w:pStyle w:val="Bodytext110"/>
        <w:shd w:val="clear" w:color="auto" w:fill="auto"/>
        <w:spacing w:before="120" w:line="240" w:lineRule="auto"/>
        <w:ind w:firstLine="274"/>
        <w:jc w:val="both"/>
        <w:rPr>
          <w:sz w:val="22"/>
          <w:szCs w:val="22"/>
        </w:rPr>
      </w:pPr>
      <w:r w:rsidRPr="009F6D69">
        <w:rPr>
          <w:sz w:val="22"/>
          <w:szCs w:val="22"/>
        </w:rPr>
        <w:t>Insert:</w:t>
      </w:r>
    </w:p>
    <w:p w14:paraId="6A8A086F" w14:textId="734CBDCF" w:rsidR="00B07ED8" w:rsidRPr="00B96527" w:rsidRDefault="0028312C" w:rsidP="00E71249">
      <w:pPr>
        <w:pStyle w:val="Bodytext110"/>
        <w:shd w:val="clear" w:color="auto" w:fill="auto"/>
        <w:spacing w:before="120" w:line="240" w:lineRule="auto"/>
        <w:ind w:firstLine="360"/>
        <w:jc w:val="center"/>
        <w:rPr>
          <w:b/>
          <w:sz w:val="22"/>
          <w:szCs w:val="22"/>
        </w:rPr>
      </w:pPr>
      <w:bookmarkStart w:id="11" w:name="bookmark11"/>
      <w:r w:rsidRPr="00C17524">
        <w:rPr>
          <w:sz w:val="22"/>
          <w:szCs w:val="22"/>
        </w:rPr>
        <w:t>“</w:t>
      </w:r>
      <w:r w:rsidRPr="00B96527">
        <w:rPr>
          <w:b/>
          <w:sz w:val="22"/>
          <w:szCs w:val="22"/>
        </w:rPr>
        <w:t xml:space="preserve">PART </w:t>
      </w:r>
      <w:proofErr w:type="spellStart"/>
      <w:r w:rsidRPr="00B96527">
        <w:rPr>
          <w:b/>
          <w:sz w:val="22"/>
          <w:szCs w:val="22"/>
        </w:rPr>
        <w:t>IIA</w:t>
      </w:r>
      <w:proofErr w:type="spellEnd"/>
      <w:r w:rsidRPr="00B96527">
        <w:rPr>
          <w:b/>
          <w:sz w:val="22"/>
          <w:szCs w:val="22"/>
        </w:rPr>
        <w:t>—PROVISIONS RELATING TO PREMISES OF CERTAIN FEDERAL COURTS AND TRIBUNALS</w:t>
      </w:r>
    </w:p>
    <w:p w14:paraId="4C727B8A" w14:textId="77777777" w:rsidR="00CB7170" w:rsidRPr="00B07ED8" w:rsidRDefault="0028312C" w:rsidP="00A44A00">
      <w:pPr>
        <w:pStyle w:val="Bodytext110"/>
        <w:shd w:val="clear" w:color="auto" w:fill="auto"/>
        <w:spacing w:before="120" w:after="60" w:line="240" w:lineRule="auto"/>
        <w:ind w:firstLine="0"/>
        <w:rPr>
          <w:b/>
          <w:sz w:val="22"/>
          <w:szCs w:val="22"/>
        </w:rPr>
      </w:pPr>
      <w:r w:rsidRPr="00B07ED8">
        <w:rPr>
          <w:b/>
          <w:sz w:val="22"/>
          <w:szCs w:val="22"/>
        </w:rPr>
        <w:t>Interpretation</w:t>
      </w:r>
      <w:bookmarkEnd w:id="11"/>
    </w:p>
    <w:p w14:paraId="5EFA4894" w14:textId="77777777" w:rsidR="00627995" w:rsidRDefault="0028312C" w:rsidP="00A44A00">
      <w:pPr>
        <w:pStyle w:val="Bodytext110"/>
        <w:shd w:val="clear" w:color="auto" w:fill="auto"/>
        <w:spacing w:before="120" w:line="240" w:lineRule="auto"/>
        <w:ind w:firstLine="274"/>
        <w:jc w:val="both"/>
        <w:rPr>
          <w:sz w:val="22"/>
          <w:szCs w:val="22"/>
        </w:rPr>
      </w:pPr>
      <w:r w:rsidRPr="009F6D69">
        <w:rPr>
          <w:sz w:val="22"/>
          <w:szCs w:val="22"/>
        </w:rPr>
        <w:t xml:space="preserve">“13A. In this Part, unless </w:t>
      </w:r>
      <w:r w:rsidR="00627995">
        <w:rPr>
          <w:sz w:val="22"/>
          <w:szCs w:val="22"/>
        </w:rPr>
        <w:t>the contrary intention appears:</w:t>
      </w:r>
    </w:p>
    <w:p w14:paraId="42BF41BD" w14:textId="77777777" w:rsidR="00CB7170" w:rsidRPr="009F6D69" w:rsidRDefault="0028312C" w:rsidP="00B96527">
      <w:pPr>
        <w:pStyle w:val="Bodytext110"/>
        <w:shd w:val="clear" w:color="auto" w:fill="auto"/>
        <w:spacing w:before="120" w:line="240" w:lineRule="auto"/>
        <w:ind w:firstLine="0"/>
        <w:jc w:val="both"/>
        <w:rPr>
          <w:sz w:val="22"/>
          <w:szCs w:val="22"/>
        </w:rPr>
      </w:pPr>
      <w:r w:rsidRPr="00B07ED8">
        <w:rPr>
          <w:rStyle w:val="Bodytext11Italic"/>
          <w:b/>
          <w:sz w:val="22"/>
          <w:szCs w:val="22"/>
        </w:rPr>
        <w:t>authorised officer</w:t>
      </w:r>
      <w:r w:rsidRPr="009F6D69">
        <w:rPr>
          <w:sz w:val="22"/>
          <w:szCs w:val="22"/>
        </w:rPr>
        <w:t>, in relation to a court, means:</w:t>
      </w:r>
    </w:p>
    <w:p w14:paraId="3E49BFAF" w14:textId="77777777" w:rsidR="00B07ED8" w:rsidRDefault="00B07ED8">
      <w:pPr>
        <w:rPr>
          <w:rFonts w:ascii="Times New Roman" w:eastAsia="Times New Roman" w:hAnsi="Times New Roman" w:cs="Times New Roman"/>
          <w:i/>
          <w:iCs/>
          <w:sz w:val="22"/>
          <w:szCs w:val="22"/>
          <w:lang w:val="lv-LV"/>
        </w:rPr>
      </w:pPr>
      <w:r>
        <w:rPr>
          <w:sz w:val="22"/>
          <w:szCs w:val="22"/>
          <w:lang w:val="lv-LV"/>
        </w:rPr>
        <w:br w:type="page"/>
      </w:r>
    </w:p>
    <w:p w14:paraId="2E4B761D" w14:textId="77777777" w:rsidR="00CB7170" w:rsidRPr="009F6D69" w:rsidRDefault="0028312C" w:rsidP="00783F90">
      <w:pPr>
        <w:pStyle w:val="Bodytext110"/>
        <w:shd w:val="clear" w:color="auto" w:fill="auto"/>
        <w:spacing w:line="240" w:lineRule="auto"/>
        <w:ind w:firstLine="0"/>
        <w:jc w:val="center"/>
        <w:rPr>
          <w:sz w:val="22"/>
          <w:szCs w:val="22"/>
        </w:rPr>
      </w:pPr>
      <w:r w:rsidRPr="00783F90">
        <w:rPr>
          <w:b/>
          <w:sz w:val="22"/>
          <w:szCs w:val="22"/>
        </w:rPr>
        <w:lastRenderedPageBreak/>
        <w:t>SCHEDULE</w:t>
      </w:r>
      <w:r w:rsidRPr="009F6D69">
        <w:rPr>
          <w:sz w:val="22"/>
          <w:szCs w:val="22"/>
        </w:rPr>
        <w:t>—continued</w:t>
      </w:r>
    </w:p>
    <w:p w14:paraId="1FFF12B3" w14:textId="77777777" w:rsidR="00CB7170" w:rsidRPr="009F6D69" w:rsidRDefault="00783F90" w:rsidP="00D77FBF">
      <w:pPr>
        <w:pStyle w:val="Bodytext110"/>
        <w:shd w:val="clear" w:color="auto" w:fill="auto"/>
        <w:spacing w:before="120" w:line="240" w:lineRule="auto"/>
        <w:ind w:left="585" w:hanging="311"/>
        <w:jc w:val="both"/>
        <w:rPr>
          <w:sz w:val="22"/>
          <w:szCs w:val="22"/>
        </w:rPr>
      </w:pPr>
      <w:r>
        <w:rPr>
          <w:sz w:val="22"/>
          <w:szCs w:val="22"/>
        </w:rPr>
        <w:t xml:space="preserve">(a) </w:t>
      </w:r>
      <w:r w:rsidR="0028312C" w:rsidRPr="009F6D69">
        <w:rPr>
          <w:sz w:val="22"/>
          <w:szCs w:val="22"/>
        </w:rPr>
        <w:t>a constable; or</w:t>
      </w:r>
    </w:p>
    <w:p w14:paraId="177D208A" w14:textId="77777777" w:rsidR="00CB7170" w:rsidRPr="009F6D69" w:rsidRDefault="00783F90" w:rsidP="00D77FBF">
      <w:pPr>
        <w:pStyle w:val="Bodytext110"/>
        <w:shd w:val="clear" w:color="auto" w:fill="auto"/>
        <w:spacing w:before="120" w:line="240" w:lineRule="auto"/>
        <w:ind w:left="585" w:hanging="311"/>
        <w:jc w:val="both"/>
        <w:rPr>
          <w:sz w:val="22"/>
          <w:szCs w:val="22"/>
        </w:rPr>
      </w:pPr>
      <w:r>
        <w:rPr>
          <w:sz w:val="22"/>
          <w:szCs w:val="22"/>
        </w:rPr>
        <w:t xml:space="preserve">(b) </w:t>
      </w:r>
      <w:r w:rsidR="0028312C" w:rsidRPr="009F6D69">
        <w:rPr>
          <w:sz w:val="22"/>
          <w:szCs w:val="22"/>
        </w:rPr>
        <w:t>a person authorised to exercise powers under this Part in relation to the court by:</w:t>
      </w:r>
    </w:p>
    <w:p w14:paraId="36561ADC" w14:textId="77777777" w:rsidR="00CB7170" w:rsidRPr="009F6D69" w:rsidRDefault="00783F90" w:rsidP="00D77FBF">
      <w:pPr>
        <w:pStyle w:val="Bodytext110"/>
        <w:shd w:val="clear" w:color="auto" w:fill="auto"/>
        <w:spacing w:before="120" w:line="240" w:lineRule="auto"/>
        <w:ind w:left="1116" w:hanging="261"/>
        <w:jc w:val="both"/>
        <w:rPr>
          <w:sz w:val="22"/>
          <w:szCs w:val="22"/>
        </w:rPr>
      </w:pPr>
      <w:r>
        <w:rPr>
          <w:sz w:val="22"/>
          <w:szCs w:val="22"/>
        </w:rPr>
        <w:t xml:space="preserve">(i) </w:t>
      </w:r>
      <w:r w:rsidR="0028312C" w:rsidRPr="009F6D69">
        <w:rPr>
          <w:sz w:val="22"/>
          <w:szCs w:val="22"/>
        </w:rPr>
        <w:t>the Attorney-General; or</w:t>
      </w:r>
    </w:p>
    <w:p w14:paraId="205143C3" w14:textId="77777777" w:rsidR="00CB7170" w:rsidRPr="009F6D69" w:rsidRDefault="00783F90" w:rsidP="00D77FBF">
      <w:pPr>
        <w:pStyle w:val="Bodytext110"/>
        <w:shd w:val="clear" w:color="auto" w:fill="auto"/>
        <w:spacing w:before="120" w:line="240" w:lineRule="auto"/>
        <w:ind w:left="1116" w:hanging="315"/>
        <w:jc w:val="both"/>
        <w:rPr>
          <w:sz w:val="22"/>
          <w:szCs w:val="22"/>
        </w:rPr>
      </w:pPr>
      <w:r>
        <w:rPr>
          <w:sz w:val="22"/>
          <w:szCs w:val="22"/>
        </w:rPr>
        <w:t xml:space="preserve">(ii) </w:t>
      </w:r>
      <w:r w:rsidR="0028312C" w:rsidRPr="009F6D69">
        <w:rPr>
          <w:sz w:val="22"/>
          <w:szCs w:val="22"/>
        </w:rPr>
        <w:t>if the court has power to administer its own affairs—a person exercising that power on behalf of the court.</w:t>
      </w:r>
    </w:p>
    <w:p w14:paraId="68A16182" w14:textId="77777777" w:rsidR="00CB7170" w:rsidRPr="009F6D69" w:rsidRDefault="0028312C" w:rsidP="00D77FBF">
      <w:pPr>
        <w:pStyle w:val="Bodytext110"/>
        <w:shd w:val="clear" w:color="auto" w:fill="auto"/>
        <w:spacing w:before="120" w:line="240" w:lineRule="auto"/>
        <w:ind w:firstLine="0"/>
        <w:jc w:val="both"/>
        <w:rPr>
          <w:sz w:val="22"/>
          <w:szCs w:val="22"/>
        </w:rPr>
      </w:pPr>
      <w:r w:rsidRPr="00BF117A">
        <w:rPr>
          <w:rStyle w:val="Bodytext11Italic"/>
          <w:b/>
          <w:sz w:val="22"/>
          <w:szCs w:val="22"/>
        </w:rPr>
        <w:t>court</w:t>
      </w:r>
      <w:r w:rsidRPr="009F6D69">
        <w:rPr>
          <w:sz w:val="22"/>
          <w:szCs w:val="22"/>
        </w:rPr>
        <w:t xml:space="preserve"> means a federal court and includes a tribunal, authority or person having power under a law of the Commonwealth to require the production of documents or the answering of questions.</w:t>
      </w:r>
    </w:p>
    <w:p w14:paraId="1226B7FB" w14:textId="7E0CDD1E" w:rsidR="00CB7170" w:rsidRPr="009F6D69" w:rsidRDefault="0028312C" w:rsidP="00D77FBF">
      <w:pPr>
        <w:pStyle w:val="Bodytext110"/>
        <w:shd w:val="clear" w:color="auto" w:fill="auto"/>
        <w:spacing w:before="120" w:line="240" w:lineRule="auto"/>
        <w:ind w:firstLine="0"/>
        <w:jc w:val="both"/>
        <w:rPr>
          <w:sz w:val="22"/>
          <w:szCs w:val="22"/>
        </w:rPr>
      </w:pPr>
      <w:r w:rsidRPr="00BF117A">
        <w:rPr>
          <w:rStyle w:val="Bodytext11Italic"/>
          <w:b/>
          <w:sz w:val="22"/>
          <w:szCs w:val="22"/>
        </w:rPr>
        <w:t>court premises</w:t>
      </w:r>
      <w:r w:rsidRPr="00C17524">
        <w:rPr>
          <w:sz w:val="22"/>
          <w:szCs w:val="22"/>
        </w:rPr>
        <w:t>,</w:t>
      </w:r>
      <w:r w:rsidRPr="009F6D69">
        <w:rPr>
          <w:sz w:val="22"/>
          <w:szCs w:val="22"/>
        </w:rPr>
        <w:t xml:space="preserve"> in relation to a court, means any premises occupied in connection with the operations of the court.</w:t>
      </w:r>
    </w:p>
    <w:p w14:paraId="726CE668" w14:textId="77777777" w:rsidR="00CB7170" w:rsidRPr="009F6D69" w:rsidRDefault="0028312C" w:rsidP="00D77FBF">
      <w:pPr>
        <w:pStyle w:val="Bodytext100"/>
        <w:shd w:val="clear" w:color="auto" w:fill="auto"/>
        <w:spacing w:before="120" w:line="240" w:lineRule="auto"/>
        <w:jc w:val="both"/>
        <w:rPr>
          <w:sz w:val="22"/>
          <w:szCs w:val="22"/>
        </w:rPr>
      </w:pPr>
      <w:r w:rsidRPr="00BF117A">
        <w:rPr>
          <w:b/>
          <w:sz w:val="22"/>
          <w:szCs w:val="22"/>
        </w:rPr>
        <w:t>explosive substance</w:t>
      </w:r>
      <w:r w:rsidRPr="009F6D69">
        <w:rPr>
          <w:rStyle w:val="Bodytext10NotItalic"/>
          <w:sz w:val="22"/>
          <w:szCs w:val="22"/>
        </w:rPr>
        <w:t xml:space="preserve"> includes:</w:t>
      </w:r>
    </w:p>
    <w:p w14:paraId="56D015E5" w14:textId="77777777" w:rsidR="00CB7170" w:rsidRPr="009F6D69" w:rsidRDefault="00BF117A" w:rsidP="00D77FBF">
      <w:pPr>
        <w:pStyle w:val="Bodytext110"/>
        <w:shd w:val="clear" w:color="auto" w:fill="auto"/>
        <w:spacing w:before="120" w:line="240" w:lineRule="auto"/>
        <w:ind w:left="585" w:hanging="311"/>
        <w:jc w:val="both"/>
        <w:rPr>
          <w:sz w:val="22"/>
          <w:szCs w:val="22"/>
        </w:rPr>
      </w:pPr>
      <w:r>
        <w:rPr>
          <w:sz w:val="22"/>
          <w:szCs w:val="22"/>
        </w:rPr>
        <w:t xml:space="preserve">(a) </w:t>
      </w:r>
      <w:r w:rsidR="0028312C" w:rsidRPr="009F6D69">
        <w:rPr>
          <w:sz w:val="22"/>
          <w:szCs w:val="22"/>
        </w:rPr>
        <w:t>any material for making an explosive substance; and</w:t>
      </w:r>
    </w:p>
    <w:p w14:paraId="07E4E49C" w14:textId="77777777" w:rsidR="00CB7170" w:rsidRPr="009F6D69" w:rsidRDefault="00BF117A" w:rsidP="00D77FBF">
      <w:pPr>
        <w:pStyle w:val="Bodytext110"/>
        <w:shd w:val="clear" w:color="auto" w:fill="auto"/>
        <w:spacing w:before="120" w:line="240" w:lineRule="auto"/>
        <w:ind w:left="585" w:hanging="311"/>
        <w:jc w:val="both"/>
        <w:rPr>
          <w:sz w:val="22"/>
          <w:szCs w:val="22"/>
        </w:rPr>
      </w:pPr>
      <w:r>
        <w:rPr>
          <w:sz w:val="22"/>
          <w:szCs w:val="22"/>
        </w:rPr>
        <w:t xml:space="preserve">(b) </w:t>
      </w:r>
      <w:r w:rsidR="0028312C" w:rsidRPr="009F6D69">
        <w:rPr>
          <w:sz w:val="22"/>
          <w:szCs w:val="22"/>
        </w:rPr>
        <w:t>any apparatus, machine, implement or material used, or intended to be used, or adapted, for causing, or aiding in causing, an explosion in or with an explosive substance; and</w:t>
      </w:r>
    </w:p>
    <w:p w14:paraId="7322F628" w14:textId="77777777" w:rsidR="00CB7170" w:rsidRPr="009F6D69" w:rsidRDefault="00BF117A" w:rsidP="00D77FBF">
      <w:pPr>
        <w:pStyle w:val="Bodytext110"/>
        <w:shd w:val="clear" w:color="auto" w:fill="auto"/>
        <w:spacing w:before="120" w:line="240" w:lineRule="auto"/>
        <w:ind w:left="585" w:hanging="311"/>
        <w:jc w:val="both"/>
        <w:rPr>
          <w:sz w:val="22"/>
          <w:szCs w:val="22"/>
        </w:rPr>
      </w:pPr>
      <w:r>
        <w:rPr>
          <w:sz w:val="22"/>
          <w:szCs w:val="22"/>
        </w:rPr>
        <w:t xml:space="preserve">(c) </w:t>
      </w:r>
      <w:r w:rsidR="0028312C" w:rsidRPr="009F6D69">
        <w:rPr>
          <w:sz w:val="22"/>
          <w:szCs w:val="22"/>
        </w:rPr>
        <w:t>a part of such an apparatus, machine or implement.</w:t>
      </w:r>
    </w:p>
    <w:p w14:paraId="1F4A534B" w14:textId="77777777" w:rsidR="00CB7170" w:rsidRPr="009F6D69" w:rsidRDefault="0028312C" w:rsidP="00D77FBF">
      <w:pPr>
        <w:pStyle w:val="Bodytext110"/>
        <w:shd w:val="clear" w:color="auto" w:fill="auto"/>
        <w:spacing w:before="120" w:line="240" w:lineRule="auto"/>
        <w:ind w:firstLine="0"/>
        <w:jc w:val="both"/>
        <w:rPr>
          <w:sz w:val="22"/>
          <w:szCs w:val="22"/>
        </w:rPr>
      </w:pPr>
      <w:r w:rsidRPr="00BF117A">
        <w:rPr>
          <w:rStyle w:val="Bodytext11Italic"/>
          <w:b/>
          <w:sz w:val="22"/>
          <w:szCs w:val="22"/>
        </w:rPr>
        <w:t>firearm</w:t>
      </w:r>
      <w:r w:rsidRPr="009F6D69">
        <w:rPr>
          <w:sz w:val="22"/>
          <w:szCs w:val="22"/>
        </w:rPr>
        <w:t xml:space="preserve"> means a weapon designed or adapted to discharge shot, a bullet, or any other missile, as a result of the expansion of gases produced in the weapon by the ignition of strongly combustible materials, or by compressed air or other gases, whether stored in the weapon in </w:t>
      </w:r>
      <w:proofErr w:type="spellStart"/>
      <w:r w:rsidRPr="009F6D69">
        <w:rPr>
          <w:sz w:val="22"/>
          <w:szCs w:val="22"/>
        </w:rPr>
        <w:t>pressurised</w:t>
      </w:r>
      <w:proofErr w:type="spellEnd"/>
      <w:r w:rsidRPr="009F6D69">
        <w:rPr>
          <w:sz w:val="22"/>
          <w:szCs w:val="22"/>
        </w:rPr>
        <w:t xml:space="preserve"> containers or produced in the weapon by mechanical means, and includes a part of such a weapon and ammunition for use in such a weapon.</w:t>
      </w:r>
    </w:p>
    <w:p w14:paraId="016A3A58" w14:textId="77777777" w:rsidR="00CB7170" w:rsidRPr="009F6D69" w:rsidRDefault="0028312C" w:rsidP="00D77FBF">
      <w:pPr>
        <w:pStyle w:val="Bodytext110"/>
        <w:shd w:val="clear" w:color="auto" w:fill="auto"/>
        <w:spacing w:before="120" w:line="240" w:lineRule="auto"/>
        <w:ind w:firstLine="0"/>
        <w:jc w:val="both"/>
        <w:rPr>
          <w:sz w:val="22"/>
          <w:szCs w:val="22"/>
        </w:rPr>
      </w:pPr>
      <w:r w:rsidRPr="00BF117A">
        <w:rPr>
          <w:rStyle w:val="Bodytext11Italic"/>
          <w:b/>
          <w:sz w:val="22"/>
          <w:szCs w:val="22"/>
        </w:rPr>
        <w:t>offensive weapon</w:t>
      </w:r>
      <w:r w:rsidRPr="009F6D69">
        <w:rPr>
          <w:sz w:val="22"/>
          <w:szCs w:val="22"/>
        </w:rPr>
        <w:t xml:space="preserve"> means any article:</w:t>
      </w:r>
    </w:p>
    <w:p w14:paraId="634CEA21" w14:textId="77777777" w:rsidR="00CB7170" w:rsidRPr="009F6D69" w:rsidRDefault="00BF117A" w:rsidP="00D77FBF">
      <w:pPr>
        <w:pStyle w:val="Bodytext110"/>
        <w:shd w:val="clear" w:color="auto" w:fill="auto"/>
        <w:spacing w:before="120" w:line="240" w:lineRule="auto"/>
        <w:ind w:left="585" w:hanging="311"/>
        <w:jc w:val="both"/>
        <w:rPr>
          <w:sz w:val="22"/>
          <w:szCs w:val="22"/>
        </w:rPr>
      </w:pPr>
      <w:r>
        <w:rPr>
          <w:sz w:val="22"/>
          <w:szCs w:val="22"/>
        </w:rPr>
        <w:t xml:space="preserve">(a) </w:t>
      </w:r>
      <w:r w:rsidR="0028312C" w:rsidRPr="009F6D69">
        <w:rPr>
          <w:sz w:val="22"/>
          <w:szCs w:val="22"/>
        </w:rPr>
        <w:t>made or adapted for use for causing injury to, or incapacitating, a person; or</w:t>
      </w:r>
    </w:p>
    <w:p w14:paraId="18BEDB9E"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(b) </w:t>
      </w:r>
      <w:r w:rsidR="0028312C" w:rsidRPr="009F6D69">
        <w:rPr>
          <w:sz w:val="22"/>
          <w:szCs w:val="22"/>
        </w:rPr>
        <w:t>intended by the person having it with him or her, for such use;</w:t>
      </w:r>
      <w:r>
        <w:rPr>
          <w:sz w:val="22"/>
          <w:szCs w:val="22"/>
        </w:rPr>
        <w:t xml:space="preserve"> and includes a part of such an </w:t>
      </w:r>
      <w:r w:rsidR="0028312C" w:rsidRPr="009F6D69">
        <w:rPr>
          <w:sz w:val="22"/>
          <w:szCs w:val="22"/>
        </w:rPr>
        <w:t>article.</w:t>
      </w:r>
    </w:p>
    <w:p w14:paraId="6CFC035A" w14:textId="77777777" w:rsidR="00CB7170" w:rsidRPr="009F6D69" w:rsidRDefault="0028312C" w:rsidP="00D77FBF">
      <w:pPr>
        <w:pStyle w:val="Bodytext80"/>
        <w:shd w:val="clear" w:color="auto" w:fill="auto"/>
        <w:spacing w:before="120" w:after="60" w:line="240" w:lineRule="auto"/>
      </w:pPr>
      <w:r w:rsidRPr="009F6D69">
        <w:t>Application of Part</w:t>
      </w:r>
    </w:p>
    <w:p w14:paraId="1B19946D" w14:textId="77777777"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“13B. This Part applies only to a court (as defined by section 13A) that is prescribed by the regulations for the purposes of this Part.</w:t>
      </w:r>
    </w:p>
    <w:p w14:paraId="3F5FCF79" w14:textId="77777777" w:rsidR="00CB7170" w:rsidRPr="009F6D69" w:rsidRDefault="0028312C" w:rsidP="00D77FBF">
      <w:pPr>
        <w:pStyle w:val="Bodytext80"/>
        <w:shd w:val="clear" w:color="auto" w:fill="auto"/>
        <w:spacing w:before="120" w:after="60" w:line="240" w:lineRule="auto"/>
      </w:pPr>
      <w:r w:rsidRPr="009F6D69">
        <w:t>Power of authorised officer to require information</w:t>
      </w:r>
    </w:p>
    <w:p w14:paraId="59A71F6F" w14:textId="77777777"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“13C.(1) Subject to any limitations and restrictions provided by the regulations, if an authorised officer in relation to a court believes on, reasonable grounds that it is necessary in the interests of security to do so, the officer may require a person who is on the court premises to tell the officer:</w:t>
      </w:r>
    </w:p>
    <w:p w14:paraId="7B6DD44A" w14:textId="77777777" w:rsidR="00BF117A" w:rsidRDefault="00BF117A">
      <w:pPr>
        <w:rPr>
          <w:rFonts w:ascii="Times New Roman" w:eastAsia="Times New Roman" w:hAnsi="Times New Roman" w:cs="Times New Roman"/>
          <w:i/>
          <w:iCs/>
          <w:sz w:val="22"/>
          <w:szCs w:val="22"/>
          <w:lang w:val="lv-LV"/>
        </w:rPr>
      </w:pPr>
      <w:r>
        <w:rPr>
          <w:sz w:val="22"/>
          <w:szCs w:val="22"/>
          <w:lang w:val="lv-LV"/>
        </w:rPr>
        <w:br w:type="page"/>
      </w:r>
    </w:p>
    <w:p w14:paraId="3F761B76" w14:textId="77777777" w:rsidR="00CB7170" w:rsidRPr="009F6D69" w:rsidRDefault="0028312C" w:rsidP="00BF117A">
      <w:pPr>
        <w:pStyle w:val="Bodytext110"/>
        <w:shd w:val="clear" w:color="auto" w:fill="auto"/>
        <w:spacing w:line="240" w:lineRule="auto"/>
        <w:ind w:firstLine="0"/>
        <w:jc w:val="center"/>
        <w:rPr>
          <w:sz w:val="22"/>
          <w:szCs w:val="22"/>
        </w:rPr>
      </w:pPr>
      <w:r w:rsidRPr="00BF117A">
        <w:rPr>
          <w:b/>
          <w:sz w:val="22"/>
          <w:szCs w:val="22"/>
        </w:rPr>
        <w:lastRenderedPageBreak/>
        <w:t>SCHEDULE</w:t>
      </w:r>
      <w:r w:rsidRPr="009F6D69">
        <w:rPr>
          <w:sz w:val="22"/>
          <w:szCs w:val="22"/>
        </w:rPr>
        <w:t>—-continued</w:t>
      </w:r>
    </w:p>
    <w:p w14:paraId="31084C05"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the person’s name; and</w:t>
      </w:r>
    </w:p>
    <w:p w14:paraId="2659209A"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(b) </w:t>
      </w:r>
      <w:r w:rsidR="0028312C" w:rsidRPr="009F6D69">
        <w:rPr>
          <w:sz w:val="22"/>
          <w:szCs w:val="22"/>
        </w:rPr>
        <w:t>the address of the person’s place of residence; and</w:t>
      </w:r>
    </w:p>
    <w:p w14:paraId="4444840B"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(c) </w:t>
      </w:r>
      <w:r w:rsidR="0028312C" w:rsidRPr="009F6D69">
        <w:rPr>
          <w:sz w:val="22"/>
          <w:szCs w:val="22"/>
        </w:rPr>
        <w:t>the person’s reason for being on the premises; and</w:t>
      </w:r>
    </w:p>
    <w:p w14:paraId="138A7A82"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(d) </w:t>
      </w:r>
      <w:r w:rsidR="0028312C" w:rsidRPr="009F6D69">
        <w:rPr>
          <w:sz w:val="22"/>
          <w:szCs w:val="22"/>
        </w:rPr>
        <w:t>evidence of the person’s identity.</w:t>
      </w:r>
    </w:p>
    <w:p w14:paraId="428A7EE7" w14:textId="77777777"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“(2) A person of whom such a requirement is made must not, without reasonable excuse:</w:t>
      </w:r>
    </w:p>
    <w:p w14:paraId="56334E2A"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refuse or fail to comply with the requirement; or</w:t>
      </w:r>
    </w:p>
    <w:p w14:paraId="094A90D4" w14:textId="77777777" w:rsidR="00CB7170" w:rsidRPr="009F6D69" w:rsidRDefault="00BF117A" w:rsidP="00D77FBF">
      <w:pPr>
        <w:pStyle w:val="Bodytext110"/>
        <w:shd w:val="clear" w:color="auto" w:fill="auto"/>
        <w:spacing w:before="120" w:line="240" w:lineRule="auto"/>
        <w:ind w:firstLine="274"/>
        <w:jc w:val="both"/>
        <w:rPr>
          <w:sz w:val="22"/>
          <w:szCs w:val="22"/>
        </w:rPr>
      </w:pPr>
      <w:r>
        <w:rPr>
          <w:sz w:val="22"/>
          <w:szCs w:val="22"/>
        </w:rPr>
        <w:t xml:space="preserve">(b) </w:t>
      </w:r>
      <w:r w:rsidR="0028312C" w:rsidRPr="009F6D69">
        <w:rPr>
          <w:sz w:val="22"/>
          <w:szCs w:val="22"/>
        </w:rPr>
        <w:t>give false information, or false evidence of identity, in response to the requirement.</w:t>
      </w:r>
    </w:p>
    <w:p w14:paraId="0CA2DA41" w14:textId="77777777" w:rsidR="00CB7170" w:rsidRPr="009F6D69" w:rsidRDefault="0028312C" w:rsidP="00D77FBF">
      <w:pPr>
        <w:pStyle w:val="Bodytext110"/>
        <w:shd w:val="clear" w:color="auto" w:fill="auto"/>
        <w:spacing w:before="120" w:line="240" w:lineRule="auto"/>
        <w:ind w:firstLine="0"/>
        <w:jc w:val="both"/>
        <w:rPr>
          <w:sz w:val="22"/>
          <w:szCs w:val="22"/>
        </w:rPr>
      </w:pPr>
      <w:r w:rsidRPr="009F6D69">
        <w:rPr>
          <w:sz w:val="22"/>
          <w:szCs w:val="22"/>
        </w:rPr>
        <w:t>Penalty: 20 penalty units.</w:t>
      </w:r>
    </w:p>
    <w:p w14:paraId="5E9B9CCB" w14:textId="77777777" w:rsidR="00CB7170" w:rsidRPr="009F6D69" w:rsidRDefault="0028312C" w:rsidP="00C035D5">
      <w:pPr>
        <w:pStyle w:val="Bodytext80"/>
        <w:shd w:val="clear" w:color="auto" w:fill="auto"/>
        <w:spacing w:before="120" w:after="60" w:line="240" w:lineRule="auto"/>
      </w:pPr>
      <w:r w:rsidRPr="009F6D69">
        <w:t xml:space="preserve">Power of authorised officer to search a person or require a person to deposit </w:t>
      </w:r>
      <w:r w:rsidRPr="009F6D69">
        <w:rPr>
          <w:lang w:val="lv-LV"/>
        </w:rPr>
        <w:t xml:space="preserve">personai </w:t>
      </w:r>
      <w:r w:rsidRPr="009F6D69">
        <w:t>effects</w:t>
      </w:r>
    </w:p>
    <w:p w14:paraId="12DB05E5" w14:textId="77777777"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“13D.(1) Subject to any limitations and restrictions provided by the regulations, if an authorised officer in relation to a court believes on reasonable grounds that it is necessary in the interests of security to do so, the officer may:</w:t>
      </w:r>
    </w:p>
    <w:p w14:paraId="777DD61D" w14:textId="77777777" w:rsidR="00CB7170" w:rsidRPr="009F6D69" w:rsidRDefault="00FA514E" w:rsidP="00D77FBF">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require a person who is on the court premises to submit to either or both of the following:</w:t>
      </w:r>
    </w:p>
    <w:p w14:paraId="318C1205" w14:textId="77777777" w:rsidR="00CB7170" w:rsidRPr="009F6D69" w:rsidRDefault="00FA514E" w:rsidP="00D77FBF">
      <w:pPr>
        <w:pStyle w:val="Bodytext110"/>
        <w:shd w:val="clear" w:color="auto" w:fill="auto"/>
        <w:spacing w:before="120" w:line="240" w:lineRule="auto"/>
        <w:ind w:left="1116" w:hanging="315"/>
        <w:jc w:val="both"/>
        <w:rPr>
          <w:sz w:val="22"/>
          <w:szCs w:val="22"/>
        </w:rPr>
      </w:pPr>
      <w:r>
        <w:rPr>
          <w:sz w:val="22"/>
          <w:szCs w:val="22"/>
        </w:rPr>
        <w:t xml:space="preserve">(i) </w:t>
      </w:r>
      <w:r w:rsidR="0028312C" w:rsidRPr="009F6D69">
        <w:rPr>
          <w:sz w:val="22"/>
          <w:szCs w:val="22"/>
        </w:rPr>
        <w:t>a screening search and/or a frisk search of the person;</w:t>
      </w:r>
    </w:p>
    <w:p w14:paraId="659C0A7A" w14:textId="77777777" w:rsidR="00CB7170" w:rsidRPr="009F6D69" w:rsidRDefault="00FA514E" w:rsidP="00D77FBF">
      <w:pPr>
        <w:pStyle w:val="Bodytext110"/>
        <w:shd w:val="clear" w:color="auto" w:fill="auto"/>
        <w:spacing w:before="120" w:line="240" w:lineRule="auto"/>
        <w:ind w:left="1044" w:hanging="315"/>
        <w:jc w:val="both"/>
        <w:rPr>
          <w:sz w:val="22"/>
          <w:szCs w:val="22"/>
        </w:rPr>
      </w:pPr>
      <w:r>
        <w:rPr>
          <w:sz w:val="22"/>
          <w:szCs w:val="22"/>
        </w:rPr>
        <w:t xml:space="preserve">(ii) </w:t>
      </w:r>
      <w:r w:rsidR="0028312C" w:rsidRPr="009F6D69">
        <w:rPr>
          <w:sz w:val="22"/>
          <w:szCs w:val="22"/>
        </w:rPr>
        <w:t>a search of any of the person’s personal effects that are reasonably capable of concealing a firearm, explosive substance or offensive weapon;</w:t>
      </w:r>
    </w:p>
    <w:p w14:paraId="2E4AE128" w14:textId="77777777" w:rsidR="00CB7170" w:rsidRPr="009F6D69" w:rsidRDefault="0028312C" w:rsidP="00D77FBF">
      <w:pPr>
        <w:pStyle w:val="Bodytext110"/>
        <w:shd w:val="clear" w:color="auto" w:fill="auto"/>
        <w:spacing w:before="120" w:line="240" w:lineRule="auto"/>
        <w:ind w:left="540" w:firstLine="0"/>
        <w:jc w:val="both"/>
        <w:rPr>
          <w:sz w:val="22"/>
          <w:szCs w:val="22"/>
        </w:rPr>
      </w:pPr>
      <w:r w:rsidRPr="009F6D69">
        <w:rPr>
          <w:sz w:val="22"/>
          <w:szCs w:val="22"/>
        </w:rPr>
        <w:t>for the purposes of finding out whether a firearm, explosive substance or offensive weapon is hidden in the person’s clothing or personal effects; and</w:t>
      </w:r>
    </w:p>
    <w:p w14:paraId="09AC9885" w14:textId="77777777" w:rsidR="00CB7170" w:rsidRPr="009F6D69" w:rsidRDefault="00FA514E" w:rsidP="00D77FBF">
      <w:pPr>
        <w:pStyle w:val="Bodytext110"/>
        <w:shd w:val="clear" w:color="auto" w:fill="auto"/>
        <w:spacing w:before="120" w:line="240" w:lineRule="auto"/>
        <w:ind w:left="567" w:hanging="293"/>
        <w:jc w:val="both"/>
        <w:rPr>
          <w:sz w:val="22"/>
          <w:szCs w:val="22"/>
        </w:rPr>
      </w:pPr>
      <w:r>
        <w:rPr>
          <w:sz w:val="22"/>
          <w:szCs w:val="22"/>
        </w:rPr>
        <w:t xml:space="preserve">(b) </w:t>
      </w:r>
      <w:r w:rsidR="0028312C" w:rsidRPr="009F6D69">
        <w:rPr>
          <w:sz w:val="22"/>
          <w:szCs w:val="22"/>
        </w:rPr>
        <w:t>require a person who is on the court premises to deposit with the authorised officer any personal effects that are reasonably capable of:</w:t>
      </w:r>
    </w:p>
    <w:p w14:paraId="3D63E9C1" w14:textId="77777777" w:rsidR="00CB7170" w:rsidRPr="009F6D69" w:rsidRDefault="00FA514E" w:rsidP="00D77FBF">
      <w:pPr>
        <w:pStyle w:val="Bodytext110"/>
        <w:shd w:val="clear" w:color="auto" w:fill="auto"/>
        <w:spacing w:before="120" w:line="240" w:lineRule="auto"/>
        <w:ind w:left="1116" w:hanging="315"/>
        <w:jc w:val="both"/>
        <w:rPr>
          <w:sz w:val="22"/>
          <w:szCs w:val="22"/>
        </w:rPr>
      </w:pPr>
      <w:r>
        <w:rPr>
          <w:sz w:val="22"/>
          <w:szCs w:val="22"/>
        </w:rPr>
        <w:t xml:space="preserve">(i) </w:t>
      </w:r>
      <w:r w:rsidR="0028312C" w:rsidRPr="009F6D69">
        <w:rPr>
          <w:sz w:val="22"/>
          <w:szCs w:val="22"/>
        </w:rPr>
        <w:t>concealing a firearm, explosive substance or offensive weapon; or</w:t>
      </w:r>
    </w:p>
    <w:p w14:paraId="3D0B56DF" w14:textId="77777777" w:rsidR="00CB7170" w:rsidRPr="009F6D69" w:rsidRDefault="00FA514E" w:rsidP="00D77FBF">
      <w:pPr>
        <w:pStyle w:val="Bodytext110"/>
        <w:shd w:val="clear" w:color="auto" w:fill="auto"/>
        <w:spacing w:before="120" w:line="240" w:lineRule="auto"/>
        <w:ind w:left="1044" w:hanging="315"/>
        <w:jc w:val="both"/>
        <w:rPr>
          <w:sz w:val="22"/>
          <w:szCs w:val="22"/>
        </w:rPr>
      </w:pPr>
      <w:r>
        <w:rPr>
          <w:sz w:val="22"/>
          <w:szCs w:val="22"/>
        </w:rPr>
        <w:t xml:space="preserve">(ii) </w:t>
      </w:r>
      <w:r w:rsidR="0028312C" w:rsidRPr="009F6D69">
        <w:rPr>
          <w:sz w:val="22"/>
          <w:szCs w:val="22"/>
        </w:rPr>
        <w:t>being used to cause injury to, or incapacitate, a person.</w:t>
      </w:r>
    </w:p>
    <w:p w14:paraId="771086F8" w14:textId="77777777"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“(2) A person of whom a requirement is made under subsection (1) must not refuse or fail, without reasonable excuse, to comply with the requirement.</w:t>
      </w:r>
    </w:p>
    <w:p w14:paraId="5016CFC1" w14:textId="77777777" w:rsidR="00CB7170" w:rsidRPr="009F6D69" w:rsidRDefault="0028312C" w:rsidP="00D77FBF">
      <w:pPr>
        <w:pStyle w:val="Bodytext110"/>
        <w:shd w:val="clear" w:color="auto" w:fill="auto"/>
        <w:spacing w:before="120" w:line="240" w:lineRule="auto"/>
        <w:ind w:firstLine="0"/>
        <w:jc w:val="both"/>
        <w:rPr>
          <w:sz w:val="22"/>
          <w:szCs w:val="22"/>
        </w:rPr>
      </w:pPr>
      <w:r w:rsidRPr="009F6D69">
        <w:rPr>
          <w:sz w:val="22"/>
          <w:szCs w:val="22"/>
        </w:rPr>
        <w:t>Penalty: 20 penalty units.</w:t>
      </w:r>
    </w:p>
    <w:p w14:paraId="162CFC1A" w14:textId="0FA9185B" w:rsidR="00CB7170" w:rsidRPr="009F6D69" w:rsidRDefault="0028312C" w:rsidP="00D77FBF">
      <w:pPr>
        <w:pStyle w:val="Bodytext110"/>
        <w:shd w:val="clear" w:color="auto" w:fill="auto"/>
        <w:spacing w:before="120" w:line="240" w:lineRule="auto"/>
        <w:ind w:firstLine="274"/>
        <w:jc w:val="both"/>
        <w:rPr>
          <w:sz w:val="22"/>
          <w:szCs w:val="22"/>
        </w:rPr>
      </w:pPr>
      <w:r w:rsidRPr="009F6D69">
        <w:rPr>
          <w:sz w:val="22"/>
          <w:szCs w:val="22"/>
        </w:rPr>
        <w:t>“(3) If, in the course of a search under paragraph (</w:t>
      </w:r>
      <w:r w:rsidR="00C17524">
        <w:rPr>
          <w:sz w:val="22"/>
          <w:szCs w:val="22"/>
        </w:rPr>
        <w:t>1</w:t>
      </w:r>
      <w:r w:rsidRPr="009F6D69">
        <w:rPr>
          <w:sz w:val="22"/>
          <w:szCs w:val="22"/>
        </w:rPr>
        <w:t>)(a), a firearm, explosive substance or offensive weapon is found, an authorised officer in relation to the court:</w:t>
      </w:r>
    </w:p>
    <w:p w14:paraId="56D034E1" w14:textId="77777777" w:rsidR="00FA514E" w:rsidRDefault="00FA514E">
      <w:pPr>
        <w:rPr>
          <w:rFonts w:ascii="Times New Roman" w:eastAsia="Times New Roman" w:hAnsi="Times New Roman" w:cs="Times New Roman"/>
          <w:i/>
          <w:iCs/>
          <w:sz w:val="22"/>
          <w:szCs w:val="22"/>
          <w:lang w:val="lv-LV"/>
        </w:rPr>
      </w:pPr>
      <w:r>
        <w:rPr>
          <w:sz w:val="22"/>
          <w:szCs w:val="22"/>
          <w:lang w:val="lv-LV"/>
        </w:rPr>
        <w:br w:type="page"/>
      </w:r>
    </w:p>
    <w:p w14:paraId="0C8987DD" w14:textId="77777777" w:rsidR="00CB7170" w:rsidRPr="009F6D69" w:rsidRDefault="0028312C" w:rsidP="00FA514E">
      <w:pPr>
        <w:pStyle w:val="Bodytext110"/>
        <w:shd w:val="clear" w:color="auto" w:fill="auto"/>
        <w:spacing w:line="240" w:lineRule="auto"/>
        <w:ind w:firstLine="0"/>
        <w:jc w:val="center"/>
        <w:rPr>
          <w:sz w:val="22"/>
          <w:szCs w:val="22"/>
        </w:rPr>
      </w:pPr>
      <w:r w:rsidRPr="00FA514E">
        <w:rPr>
          <w:b/>
          <w:sz w:val="22"/>
          <w:szCs w:val="22"/>
        </w:rPr>
        <w:lastRenderedPageBreak/>
        <w:t>SCHEDULE</w:t>
      </w:r>
      <w:r w:rsidRPr="009F6D69">
        <w:rPr>
          <w:sz w:val="22"/>
          <w:szCs w:val="22"/>
        </w:rPr>
        <w:t>—continued</w:t>
      </w:r>
    </w:p>
    <w:p w14:paraId="132DE0E3" w14:textId="77777777" w:rsidR="00CB7170" w:rsidRPr="009F6D69" w:rsidRDefault="00FA514E" w:rsidP="00BA3BDC">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may take possession of the firearm, substance or weapon; and</w:t>
      </w:r>
    </w:p>
    <w:p w14:paraId="62190F66" w14:textId="77777777" w:rsidR="00CB7170" w:rsidRPr="009F6D69" w:rsidRDefault="00FA514E" w:rsidP="00BA3BDC">
      <w:pPr>
        <w:pStyle w:val="Bodytext110"/>
        <w:shd w:val="clear" w:color="auto" w:fill="auto"/>
        <w:spacing w:before="120" w:line="240" w:lineRule="auto"/>
        <w:ind w:firstLine="274"/>
        <w:jc w:val="both"/>
        <w:rPr>
          <w:sz w:val="22"/>
          <w:szCs w:val="22"/>
        </w:rPr>
      </w:pPr>
      <w:r>
        <w:rPr>
          <w:sz w:val="22"/>
          <w:szCs w:val="22"/>
        </w:rPr>
        <w:t xml:space="preserve">(b) </w:t>
      </w:r>
      <w:r w:rsidR="0028312C" w:rsidRPr="009F6D69">
        <w:rPr>
          <w:sz w:val="22"/>
          <w:szCs w:val="22"/>
        </w:rPr>
        <w:t>may retain it for any period that he or she thinks necessary for the purposes of this Part.</w:t>
      </w:r>
    </w:p>
    <w:p w14:paraId="767098F6"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"(4) This section does not authorise anyone conducting a frisk search of a person to remove, or to require the person to remove, any of the person’s clothing.</w:t>
      </w:r>
    </w:p>
    <w:p w14:paraId="58A91E8F"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“(5) A frisk search of a person under this section is to be conducted by:</w:t>
      </w:r>
    </w:p>
    <w:p w14:paraId="6B064444" w14:textId="77777777" w:rsidR="00CB7170" w:rsidRPr="009F6D69" w:rsidRDefault="00FA514E" w:rsidP="00BA3BDC">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an authorised officer of the same sex as the person; or</w:t>
      </w:r>
    </w:p>
    <w:p w14:paraId="6A75C941" w14:textId="77777777" w:rsidR="00CB7170" w:rsidRPr="009F6D69" w:rsidRDefault="00FA514E" w:rsidP="00AA421A">
      <w:pPr>
        <w:pStyle w:val="Bodytext110"/>
        <w:shd w:val="clear" w:color="auto" w:fill="auto"/>
        <w:spacing w:before="120" w:line="240" w:lineRule="auto"/>
        <w:ind w:left="585" w:hanging="311"/>
        <w:jc w:val="both"/>
        <w:rPr>
          <w:sz w:val="22"/>
          <w:szCs w:val="22"/>
        </w:rPr>
      </w:pPr>
      <w:r>
        <w:rPr>
          <w:sz w:val="22"/>
          <w:szCs w:val="22"/>
        </w:rPr>
        <w:t xml:space="preserve">(b) </w:t>
      </w:r>
      <w:r w:rsidR="0028312C" w:rsidRPr="009F6D69">
        <w:rPr>
          <w:sz w:val="22"/>
          <w:szCs w:val="22"/>
        </w:rPr>
        <w:t>if an authorised officer of the same sex as the person is not available to conduct the search—any other person who is of the same sex and:</w:t>
      </w:r>
    </w:p>
    <w:p w14:paraId="43B6B9D3" w14:textId="77777777" w:rsidR="00CB7170" w:rsidRPr="009F6D69" w:rsidRDefault="00FA514E" w:rsidP="00BA3BDC">
      <w:pPr>
        <w:pStyle w:val="Bodytext110"/>
        <w:shd w:val="clear" w:color="auto" w:fill="auto"/>
        <w:spacing w:before="120" w:line="240" w:lineRule="auto"/>
        <w:ind w:left="1116" w:hanging="315"/>
        <w:jc w:val="both"/>
        <w:rPr>
          <w:sz w:val="22"/>
          <w:szCs w:val="22"/>
        </w:rPr>
      </w:pPr>
      <w:r>
        <w:rPr>
          <w:sz w:val="22"/>
          <w:szCs w:val="22"/>
        </w:rPr>
        <w:t xml:space="preserve">(i) </w:t>
      </w:r>
      <w:r w:rsidR="0028312C" w:rsidRPr="009F6D69">
        <w:rPr>
          <w:sz w:val="22"/>
          <w:szCs w:val="22"/>
        </w:rPr>
        <w:t>is requested by an authorised officer; and</w:t>
      </w:r>
    </w:p>
    <w:p w14:paraId="5403AD1E" w14:textId="77777777" w:rsidR="00CB7170" w:rsidRPr="009F6D69" w:rsidRDefault="00FA514E" w:rsidP="00BA3BDC">
      <w:pPr>
        <w:pStyle w:val="Bodytext110"/>
        <w:shd w:val="clear" w:color="auto" w:fill="auto"/>
        <w:spacing w:before="120" w:line="240" w:lineRule="auto"/>
        <w:ind w:left="1044" w:hanging="315"/>
        <w:jc w:val="both"/>
        <w:rPr>
          <w:sz w:val="22"/>
          <w:szCs w:val="22"/>
        </w:rPr>
      </w:pPr>
      <w:r>
        <w:rPr>
          <w:sz w:val="22"/>
          <w:szCs w:val="22"/>
        </w:rPr>
        <w:t xml:space="preserve">(ii) </w:t>
      </w:r>
      <w:r w:rsidR="0028312C" w:rsidRPr="009F6D69">
        <w:rPr>
          <w:sz w:val="22"/>
          <w:szCs w:val="22"/>
        </w:rPr>
        <w:t>agrees;</w:t>
      </w:r>
    </w:p>
    <w:p w14:paraId="2C152D18" w14:textId="77777777" w:rsidR="00CB7170" w:rsidRPr="009F6D69" w:rsidRDefault="0028312C" w:rsidP="00AA421A">
      <w:pPr>
        <w:pStyle w:val="Bodytext110"/>
        <w:shd w:val="clear" w:color="auto" w:fill="auto"/>
        <w:spacing w:before="120" w:line="240" w:lineRule="auto"/>
        <w:ind w:left="576" w:firstLine="0"/>
        <w:jc w:val="both"/>
        <w:rPr>
          <w:sz w:val="22"/>
          <w:szCs w:val="22"/>
        </w:rPr>
      </w:pPr>
      <w:r w:rsidRPr="009F6D69">
        <w:rPr>
          <w:sz w:val="22"/>
          <w:szCs w:val="22"/>
        </w:rPr>
        <w:t>to conduct the search.</w:t>
      </w:r>
    </w:p>
    <w:p w14:paraId="436FB95A"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“(6) An action or proceeding, whether civil or criminal, does not lie against a person who, at the request of an authorised officer, conducts a search under this section if the person acts in good faith and does not contravene subsection (7).</w:t>
      </w:r>
    </w:p>
    <w:p w14:paraId="30267E0C"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“(7) An authorised officer or other person who conducts a search under this section must not use more force, or subject a person to greater indignity, than is reasonably necessary in order to conduct the search.</w:t>
      </w:r>
    </w:p>
    <w:p w14:paraId="4FBE6FB8" w14:textId="77777777" w:rsidR="00CB7170" w:rsidRPr="009F6D69" w:rsidRDefault="0028312C" w:rsidP="00BA3BDC">
      <w:pPr>
        <w:pStyle w:val="Bodytext80"/>
        <w:shd w:val="clear" w:color="auto" w:fill="auto"/>
        <w:spacing w:before="120" w:after="60" w:line="240" w:lineRule="auto"/>
      </w:pPr>
      <w:r w:rsidRPr="009F6D69">
        <w:t>Removal from court premises</w:t>
      </w:r>
    </w:p>
    <w:p w14:paraId="57D0CC1F" w14:textId="5235D897" w:rsidR="00CB7170" w:rsidRPr="009F6D69" w:rsidRDefault="00C17524" w:rsidP="00BA3BDC">
      <w:pPr>
        <w:pStyle w:val="Bodytext110"/>
        <w:shd w:val="clear" w:color="auto" w:fill="auto"/>
        <w:spacing w:before="120" w:line="240" w:lineRule="auto"/>
        <w:ind w:firstLine="274"/>
        <w:jc w:val="both"/>
        <w:rPr>
          <w:sz w:val="22"/>
          <w:szCs w:val="22"/>
        </w:rPr>
      </w:pPr>
      <w:r>
        <w:rPr>
          <w:sz w:val="22"/>
          <w:szCs w:val="22"/>
        </w:rPr>
        <w:t>“13E.(</w:t>
      </w:r>
      <w:r w:rsidR="0028312C" w:rsidRPr="009F6D69">
        <w:rPr>
          <w:sz w:val="22"/>
          <w:szCs w:val="22"/>
        </w:rPr>
        <w:t xml:space="preserve">1) An </w:t>
      </w:r>
      <w:proofErr w:type="spellStart"/>
      <w:r w:rsidR="0028312C" w:rsidRPr="009F6D69">
        <w:rPr>
          <w:sz w:val="22"/>
          <w:szCs w:val="22"/>
        </w:rPr>
        <w:t>authorised</w:t>
      </w:r>
      <w:proofErr w:type="spellEnd"/>
      <w:r w:rsidR="0028312C" w:rsidRPr="009F6D69">
        <w:rPr>
          <w:sz w:val="22"/>
          <w:szCs w:val="22"/>
        </w:rPr>
        <w:t xml:space="preserve"> officer in relation to a court may direct a person to leave the court premises if the person:</w:t>
      </w:r>
    </w:p>
    <w:p w14:paraId="003398C8" w14:textId="7FA2859F" w:rsidR="00CB7170" w:rsidRPr="009F6D69" w:rsidRDefault="00FA514E" w:rsidP="00BA3BDC">
      <w:pPr>
        <w:pStyle w:val="Bodytext110"/>
        <w:shd w:val="clear" w:color="auto" w:fill="auto"/>
        <w:spacing w:before="120" w:line="240" w:lineRule="auto"/>
        <w:ind w:firstLine="274"/>
        <w:jc w:val="both"/>
        <w:rPr>
          <w:sz w:val="22"/>
          <w:szCs w:val="22"/>
        </w:rPr>
      </w:pPr>
      <w:r>
        <w:rPr>
          <w:sz w:val="22"/>
          <w:szCs w:val="22"/>
        </w:rPr>
        <w:t xml:space="preserve">(a) </w:t>
      </w:r>
      <w:r w:rsidR="0028312C" w:rsidRPr="009F6D69">
        <w:rPr>
          <w:sz w:val="22"/>
          <w:szCs w:val="22"/>
        </w:rPr>
        <w:t>refuses or fails to comply with a require</w:t>
      </w:r>
      <w:r w:rsidR="00C17524">
        <w:rPr>
          <w:sz w:val="22"/>
          <w:szCs w:val="22"/>
        </w:rPr>
        <w:t>ment made under subsection 13C(</w:t>
      </w:r>
      <w:r w:rsidR="0028312C" w:rsidRPr="009F6D69">
        <w:rPr>
          <w:sz w:val="22"/>
          <w:szCs w:val="22"/>
        </w:rPr>
        <w:t>1) or 13D(1); or</w:t>
      </w:r>
    </w:p>
    <w:p w14:paraId="5678EA20" w14:textId="77777777" w:rsidR="00CB7170" w:rsidRPr="009F6D69" w:rsidRDefault="00FA514E" w:rsidP="00BA3BDC">
      <w:pPr>
        <w:pStyle w:val="Bodytext110"/>
        <w:shd w:val="clear" w:color="auto" w:fill="auto"/>
        <w:spacing w:before="120" w:line="240" w:lineRule="auto"/>
        <w:ind w:left="558" w:hanging="284"/>
        <w:jc w:val="both"/>
        <w:rPr>
          <w:sz w:val="22"/>
          <w:szCs w:val="22"/>
        </w:rPr>
      </w:pPr>
      <w:r>
        <w:rPr>
          <w:sz w:val="22"/>
          <w:szCs w:val="22"/>
        </w:rPr>
        <w:t xml:space="preserve">(b) </w:t>
      </w:r>
      <w:r w:rsidR="0028312C" w:rsidRPr="009F6D69">
        <w:rPr>
          <w:sz w:val="22"/>
          <w:szCs w:val="22"/>
        </w:rPr>
        <w:t>does not satisfy the authorised officer that the person has a proper reason for being on the court premises.</w:t>
      </w:r>
    </w:p>
    <w:p w14:paraId="77BAB3AD" w14:textId="3469A6F5"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“(2) For the purposes of paragraph (</w:t>
      </w:r>
      <w:r w:rsidR="00C17524">
        <w:rPr>
          <w:sz w:val="22"/>
          <w:szCs w:val="22"/>
        </w:rPr>
        <w:t>1</w:t>
      </w:r>
      <w:r w:rsidRPr="009F6D69">
        <w:rPr>
          <w:sz w:val="22"/>
          <w:szCs w:val="22"/>
        </w:rPr>
        <w:t>)(b), without limiting what constitutes a proper reason for being on court premises, a person has such a reason if he or she wishes to attend the hearing of the proceedings in the court.</w:t>
      </w:r>
    </w:p>
    <w:p w14:paraId="508BEB35"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“(3) If a person refuses or fails to comply with a direction given to the person under subsection (1):</w:t>
      </w:r>
    </w:p>
    <w:p w14:paraId="22CB37BB" w14:textId="77777777" w:rsidR="00CB7170" w:rsidRPr="009F6D69" w:rsidRDefault="00067F4B" w:rsidP="00BA3BDC">
      <w:pPr>
        <w:pStyle w:val="Bodytext110"/>
        <w:shd w:val="clear" w:color="auto" w:fill="auto"/>
        <w:spacing w:before="120" w:line="240" w:lineRule="auto"/>
        <w:ind w:left="558" w:hanging="284"/>
        <w:jc w:val="both"/>
        <w:rPr>
          <w:sz w:val="22"/>
          <w:szCs w:val="22"/>
        </w:rPr>
      </w:pPr>
      <w:r>
        <w:rPr>
          <w:sz w:val="22"/>
          <w:szCs w:val="22"/>
        </w:rPr>
        <w:t xml:space="preserve">(a) </w:t>
      </w:r>
      <w:r w:rsidR="0028312C" w:rsidRPr="009F6D69">
        <w:rPr>
          <w:sz w:val="22"/>
          <w:szCs w:val="22"/>
        </w:rPr>
        <w:t>the person is guilty of an offence punishable on conviction by a fine of not more than 20 penalty units; and</w:t>
      </w:r>
    </w:p>
    <w:p w14:paraId="6925D4DA" w14:textId="77777777" w:rsidR="00CB7170" w:rsidRPr="009F6D69" w:rsidRDefault="00067F4B" w:rsidP="00BA3BDC">
      <w:pPr>
        <w:pStyle w:val="Bodytext110"/>
        <w:shd w:val="clear" w:color="auto" w:fill="auto"/>
        <w:spacing w:before="120" w:line="240" w:lineRule="auto"/>
        <w:ind w:left="558" w:hanging="284"/>
        <w:jc w:val="both"/>
        <w:rPr>
          <w:sz w:val="22"/>
          <w:szCs w:val="22"/>
        </w:rPr>
      </w:pPr>
      <w:r>
        <w:rPr>
          <w:sz w:val="22"/>
          <w:szCs w:val="22"/>
        </w:rPr>
        <w:t xml:space="preserve">(b) </w:t>
      </w:r>
      <w:r w:rsidR="0028312C" w:rsidRPr="009F6D69">
        <w:rPr>
          <w:sz w:val="22"/>
          <w:szCs w:val="22"/>
        </w:rPr>
        <w:t>a constable may refuse the person entry to, or remove the person from, the court premises, as the case requires.</w:t>
      </w:r>
    </w:p>
    <w:p w14:paraId="6B6399D1" w14:textId="77777777" w:rsidR="00067F4B" w:rsidRDefault="00067F4B">
      <w:pPr>
        <w:rPr>
          <w:rFonts w:ascii="Times New Roman" w:eastAsia="Times New Roman" w:hAnsi="Times New Roman" w:cs="Times New Roman"/>
          <w:i/>
          <w:iCs/>
          <w:sz w:val="22"/>
          <w:szCs w:val="22"/>
          <w:lang w:val="lv-LV"/>
        </w:rPr>
      </w:pPr>
      <w:r>
        <w:rPr>
          <w:sz w:val="22"/>
          <w:szCs w:val="22"/>
          <w:lang w:val="lv-LV"/>
        </w:rPr>
        <w:br w:type="page"/>
      </w:r>
    </w:p>
    <w:p w14:paraId="6710D2F8" w14:textId="77777777" w:rsidR="00CB7170" w:rsidRPr="009F6D69" w:rsidRDefault="0028312C" w:rsidP="00067F4B">
      <w:pPr>
        <w:pStyle w:val="Bodytext110"/>
        <w:shd w:val="clear" w:color="auto" w:fill="auto"/>
        <w:spacing w:line="240" w:lineRule="auto"/>
        <w:ind w:firstLine="0"/>
        <w:jc w:val="center"/>
        <w:rPr>
          <w:sz w:val="22"/>
          <w:szCs w:val="22"/>
        </w:rPr>
      </w:pPr>
      <w:r w:rsidRPr="00067F4B">
        <w:rPr>
          <w:b/>
          <w:sz w:val="22"/>
          <w:szCs w:val="22"/>
        </w:rPr>
        <w:lastRenderedPageBreak/>
        <w:t>SCHEDULE</w:t>
      </w:r>
      <w:r w:rsidRPr="009F6D69">
        <w:rPr>
          <w:sz w:val="22"/>
          <w:szCs w:val="22"/>
        </w:rPr>
        <w:t>—continued</w:t>
      </w:r>
    </w:p>
    <w:p w14:paraId="0B7A719A"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“(4) Except as provided in subsection (1), a person is entitled to enter and remain on court premises if there is room for the person on the premises.</w:t>
      </w:r>
    </w:p>
    <w:p w14:paraId="7364DDEF" w14:textId="77777777" w:rsidR="00CB7170" w:rsidRPr="009F6D69" w:rsidRDefault="0028312C" w:rsidP="00BA3BDC">
      <w:pPr>
        <w:pStyle w:val="Bodytext80"/>
        <w:shd w:val="clear" w:color="auto" w:fill="auto"/>
        <w:spacing w:before="120" w:after="60" w:line="240" w:lineRule="auto"/>
      </w:pPr>
      <w:r w:rsidRPr="009F6D69">
        <w:t>Person not to carry firearm, explosive substance or offensive weapon on court premises</w:t>
      </w:r>
    </w:p>
    <w:p w14:paraId="7FA3147A"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“13F. A person must not, without lawful excuse, while on any court premises, carry or otherwise have in his or her possession a firearm, an explosive substance or an offensive weapon.</w:t>
      </w:r>
    </w:p>
    <w:p w14:paraId="2E5599DC" w14:textId="77777777" w:rsidR="00CB7170" w:rsidRPr="009F6D69" w:rsidRDefault="0028312C" w:rsidP="00BA3BDC">
      <w:pPr>
        <w:pStyle w:val="Bodytext110"/>
        <w:shd w:val="clear" w:color="auto" w:fill="auto"/>
        <w:spacing w:before="120" w:line="240" w:lineRule="auto"/>
        <w:ind w:firstLine="0"/>
        <w:jc w:val="both"/>
        <w:rPr>
          <w:sz w:val="22"/>
          <w:szCs w:val="22"/>
        </w:rPr>
      </w:pPr>
      <w:r w:rsidRPr="009F6D69">
        <w:rPr>
          <w:sz w:val="22"/>
          <w:szCs w:val="22"/>
        </w:rPr>
        <w:t>Penalty: Imprisonment for 12 months.</w:t>
      </w:r>
    </w:p>
    <w:p w14:paraId="24FC6B69" w14:textId="77777777" w:rsidR="00CB7170" w:rsidRPr="009F6D69" w:rsidRDefault="0028312C" w:rsidP="00BA3BDC">
      <w:pPr>
        <w:pStyle w:val="Bodytext80"/>
        <w:shd w:val="clear" w:color="auto" w:fill="auto"/>
        <w:spacing w:before="120" w:after="60" w:line="240" w:lineRule="auto"/>
      </w:pPr>
      <w:r w:rsidRPr="009F6D69">
        <w:t>Saving</w:t>
      </w:r>
    </w:p>
    <w:p w14:paraId="02B1507F" w14:textId="6B163FB6"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“13</w:t>
      </w:r>
      <w:r w:rsidR="00C17524">
        <w:rPr>
          <w:sz w:val="22"/>
          <w:szCs w:val="22"/>
        </w:rPr>
        <w:t>G.(</w:t>
      </w:r>
      <w:r w:rsidRPr="009F6D69">
        <w:rPr>
          <w:sz w:val="22"/>
          <w:szCs w:val="22"/>
        </w:rPr>
        <w:t>1) The powers conferred by this Part are in addition to, and do not derogate from, any other powers conferred on or possessed by any court, judge or person in relation to the conduct of proceedings in a court or the regulation of the conduct of people on court premises.</w:t>
      </w:r>
    </w:p>
    <w:p w14:paraId="6769D833"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“(2) This Part docs not affect any other power of a court in relation to contempt of the court or any other similar power.</w:t>
      </w:r>
    </w:p>
    <w:p w14:paraId="629801FB" w14:textId="77777777" w:rsidR="00CB7170" w:rsidRPr="009F6D69" w:rsidRDefault="0028312C" w:rsidP="00BA3BDC">
      <w:pPr>
        <w:pStyle w:val="Bodytext80"/>
        <w:shd w:val="clear" w:color="auto" w:fill="auto"/>
        <w:spacing w:before="120" w:after="60" w:line="240" w:lineRule="auto"/>
      </w:pPr>
      <w:r w:rsidRPr="009F6D69">
        <w:t>Regulations</w:t>
      </w:r>
    </w:p>
    <w:p w14:paraId="7C90E8C6"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“13H. The Governor-General may make regulations prescribing matters:</w:t>
      </w:r>
    </w:p>
    <w:p w14:paraId="5E3EF807" w14:textId="77777777" w:rsidR="00CB7170" w:rsidRPr="009F6D69" w:rsidRDefault="00067F4B" w:rsidP="00BA3BDC">
      <w:pPr>
        <w:pStyle w:val="Bodytext110"/>
        <w:shd w:val="clear" w:color="auto" w:fill="auto"/>
        <w:spacing w:before="120" w:line="240" w:lineRule="auto"/>
        <w:ind w:left="558" w:hanging="284"/>
        <w:jc w:val="both"/>
        <w:rPr>
          <w:sz w:val="22"/>
          <w:szCs w:val="22"/>
        </w:rPr>
      </w:pPr>
      <w:r>
        <w:rPr>
          <w:sz w:val="22"/>
          <w:szCs w:val="22"/>
        </w:rPr>
        <w:t xml:space="preserve">(a) </w:t>
      </w:r>
      <w:r w:rsidR="0028312C" w:rsidRPr="009F6D69">
        <w:rPr>
          <w:sz w:val="22"/>
          <w:szCs w:val="22"/>
        </w:rPr>
        <w:t>required or permitted to be prescribed for the purposes of this Part; or</w:t>
      </w:r>
    </w:p>
    <w:p w14:paraId="30BE0760" w14:textId="77777777" w:rsidR="00CB7170" w:rsidRPr="009F6D69" w:rsidRDefault="00067F4B" w:rsidP="00BA3BDC">
      <w:pPr>
        <w:pStyle w:val="Bodytext110"/>
        <w:shd w:val="clear" w:color="auto" w:fill="auto"/>
        <w:spacing w:before="120" w:line="240" w:lineRule="auto"/>
        <w:ind w:left="558" w:hanging="284"/>
        <w:jc w:val="both"/>
        <w:rPr>
          <w:sz w:val="22"/>
          <w:szCs w:val="22"/>
        </w:rPr>
      </w:pPr>
      <w:r>
        <w:rPr>
          <w:sz w:val="22"/>
          <w:szCs w:val="22"/>
        </w:rPr>
        <w:t xml:space="preserve">(b) </w:t>
      </w:r>
      <w:r w:rsidR="0028312C" w:rsidRPr="009F6D69">
        <w:rPr>
          <w:sz w:val="22"/>
          <w:szCs w:val="22"/>
        </w:rPr>
        <w:t>necessary or convenient to be prescribed for carrying out or giving effect to this Part;</w:t>
      </w:r>
    </w:p>
    <w:p w14:paraId="052DB7C2" w14:textId="77777777" w:rsidR="00CB7170" w:rsidRPr="009F6D69" w:rsidRDefault="0028312C" w:rsidP="00BA3BDC">
      <w:pPr>
        <w:pStyle w:val="Bodytext110"/>
        <w:shd w:val="clear" w:color="auto" w:fill="auto"/>
        <w:spacing w:before="120" w:line="240" w:lineRule="auto"/>
        <w:ind w:firstLine="0"/>
        <w:jc w:val="both"/>
        <w:rPr>
          <w:sz w:val="22"/>
          <w:szCs w:val="22"/>
        </w:rPr>
      </w:pPr>
      <w:r w:rsidRPr="009F6D69">
        <w:rPr>
          <w:sz w:val="22"/>
          <w:szCs w:val="22"/>
        </w:rPr>
        <w:t>and, in particular, providing for the dealing with information given by a person in response to a requirement made under this Part.”.</w:t>
      </w:r>
    </w:p>
    <w:p w14:paraId="45EF44B3" w14:textId="77777777" w:rsidR="00CB7170" w:rsidRPr="00067F4B" w:rsidRDefault="00A063F3"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16. </w:t>
      </w:r>
      <w:r w:rsidR="0028312C" w:rsidRPr="00067F4B">
        <w:rPr>
          <w:b/>
          <w:i w:val="0"/>
          <w:sz w:val="22"/>
          <w:szCs w:val="22"/>
        </w:rPr>
        <w:t>Subsection 15(1):</w:t>
      </w:r>
    </w:p>
    <w:p w14:paraId="072B5BDA"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256F5EFD" w14:textId="77777777" w:rsidR="00CB7170" w:rsidRPr="009F6D69" w:rsidRDefault="00067F4B" w:rsidP="00A34805">
      <w:pPr>
        <w:pStyle w:val="Bodytext100"/>
        <w:shd w:val="clear" w:color="auto" w:fill="auto"/>
        <w:tabs>
          <w:tab w:val="left" w:pos="423"/>
        </w:tabs>
        <w:spacing w:before="120" w:line="240" w:lineRule="auto"/>
        <w:jc w:val="both"/>
        <w:rPr>
          <w:sz w:val="22"/>
          <w:szCs w:val="22"/>
        </w:rPr>
      </w:pPr>
      <w:r w:rsidRPr="00067F4B">
        <w:rPr>
          <w:b/>
          <w:i w:val="0"/>
          <w:sz w:val="22"/>
          <w:szCs w:val="22"/>
        </w:rPr>
        <w:t>17</w:t>
      </w:r>
      <w:r w:rsidR="00A063F3">
        <w:rPr>
          <w:b/>
          <w:i w:val="0"/>
          <w:sz w:val="22"/>
          <w:szCs w:val="22"/>
        </w:rPr>
        <w:t xml:space="preserve">. </w:t>
      </w:r>
      <w:r w:rsidR="0028312C" w:rsidRPr="00067F4B">
        <w:rPr>
          <w:b/>
          <w:i w:val="0"/>
          <w:sz w:val="22"/>
          <w:szCs w:val="22"/>
        </w:rPr>
        <w:t>Subsection</w:t>
      </w:r>
      <w:r w:rsidR="0028312C" w:rsidRPr="009F6D69">
        <w:rPr>
          <w:sz w:val="22"/>
          <w:szCs w:val="22"/>
        </w:rPr>
        <w:t xml:space="preserve"> </w:t>
      </w:r>
      <w:r w:rsidR="0028312C" w:rsidRPr="00067F4B">
        <w:rPr>
          <w:b/>
          <w:i w:val="0"/>
          <w:sz w:val="22"/>
          <w:szCs w:val="22"/>
        </w:rPr>
        <w:t>15(2):</w:t>
      </w:r>
    </w:p>
    <w:p w14:paraId="3C9BCA81"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One thousand dollars or imprisonment for a term not exceeding twelve months, or both”, substitute “imprisonment for not more than 12 months”.</w:t>
      </w:r>
    </w:p>
    <w:p w14:paraId="3FB4925A" w14:textId="77777777" w:rsidR="00CB7170" w:rsidRPr="00067F4B" w:rsidRDefault="00A063F3"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18. </w:t>
      </w:r>
      <w:r w:rsidR="0028312C" w:rsidRPr="00067F4B">
        <w:rPr>
          <w:b/>
          <w:i w:val="0"/>
          <w:sz w:val="22"/>
          <w:szCs w:val="22"/>
        </w:rPr>
        <w:t>Paragraph 16(b):</w:t>
      </w:r>
    </w:p>
    <w:p w14:paraId="0D5F5839"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Omit “Two hundred dollars”, substitute “$1,500”.</w:t>
      </w:r>
    </w:p>
    <w:p w14:paraId="1DC827CD" w14:textId="77777777" w:rsidR="00067F4B" w:rsidRDefault="00067F4B" w:rsidP="00BA3BDC">
      <w:pPr>
        <w:spacing w:before="120"/>
        <w:rPr>
          <w:rFonts w:ascii="Times New Roman" w:eastAsia="Times New Roman" w:hAnsi="Times New Roman" w:cs="Times New Roman"/>
          <w:i/>
          <w:iCs/>
          <w:sz w:val="22"/>
          <w:szCs w:val="22"/>
          <w:lang w:val="lv-LV"/>
        </w:rPr>
      </w:pPr>
      <w:r>
        <w:rPr>
          <w:sz w:val="22"/>
          <w:szCs w:val="22"/>
          <w:lang w:val="lv-LV"/>
        </w:rPr>
        <w:br w:type="page"/>
      </w:r>
    </w:p>
    <w:p w14:paraId="22AB9394" w14:textId="77777777" w:rsidR="00CB7170" w:rsidRPr="009F6D69" w:rsidRDefault="0028312C" w:rsidP="00A34805">
      <w:pPr>
        <w:pStyle w:val="Bodytext110"/>
        <w:shd w:val="clear" w:color="auto" w:fill="auto"/>
        <w:spacing w:line="240" w:lineRule="auto"/>
        <w:ind w:firstLine="0"/>
        <w:jc w:val="center"/>
        <w:rPr>
          <w:sz w:val="22"/>
          <w:szCs w:val="22"/>
        </w:rPr>
      </w:pPr>
      <w:r w:rsidRPr="00067F4B">
        <w:rPr>
          <w:b/>
          <w:sz w:val="22"/>
          <w:szCs w:val="22"/>
        </w:rPr>
        <w:lastRenderedPageBreak/>
        <w:t>SCHEDULE</w:t>
      </w:r>
      <w:r w:rsidRPr="009F6D69">
        <w:rPr>
          <w:sz w:val="22"/>
          <w:szCs w:val="22"/>
        </w:rPr>
        <w:t>—continued</w:t>
      </w:r>
    </w:p>
    <w:p w14:paraId="2B495FC5" w14:textId="7AC8B334"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19. </w:t>
      </w:r>
      <w:r w:rsidR="0028312C" w:rsidRPr="00067F4B">
        <w:rPr>
          <w:b/>
          <w:i w:val="0"/>
          <w:sz w:val="22"/>
          <w:szCs w:val="22"/>
        </w:rPr>
        <w:t>Subparagraph 17(</w:t>
      </w:r>
      <w:r w:rsidR="00C17524">
        <w:rPr>
          <w:b/>
          <w:i w:val="0"/>
          <w:sz w:val="22"/>
          <w:szCs w:val="22"/>
        </w:rPr>
        <w:t>1</w:t>
      </w:r>
      <w:r w:rsidR="0028312C" w:rsidRPr="00067F4B">
        <w:rPr>
          <w:b/>
          <w:i w:val="0"/>
          <w:sz w:val="22"/>
          <w:szCs w:val="22"/>
        </w:rPr>
        <w:t>)(a)(ii):</w:t>
      </w:r>
    </w:p>
    <w:p w14:paraId="38EBDB96"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“of this Act”.</w:t>
      </w:r>
    </w:p>
    <w:p w14:paraId="4B53ED39"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20. </w:t>
      </w:r>
      <w:r w:rsidR="0028312C" w:rsidRPr="00067F4B">
        <w:rPr>
          <w:b/>
          <w:i w:val="0"/>
          <w:sz w:val="22"/>
          <w:szCs w:val="22"/>
        </w:rPr>
        <w:t>Subsection 17(3):</w:t>
      </w:r>
    </w:p>
    <w:p w14:paraId="6DC0747A"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Five hundred dollars or imprisonment for a term not exceeding six months, or both”, substitute “imprisonment for not more than 6 months”.</w:t>
      </w:r>
    </w:p>
    <w:p w14:paraId="0B41652F"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21. </w:t>
      </w:r>
      <w:r w:rsidR="0028312C" w:rsidRPr="00067F4B">
        <w:rPr>
          <w:b/>
          <w:i w:val="0"/>
          <w:sz w:val="22"/>
          <w:szCs w:val="22"/>
        </w:rPr>
        <w:t>Paragraph 17(4)(b):</w:t>
      </w:r>
    </w:p>
    <w:p w14:paraId="66D36F19" w14:textId="530EF2E6"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“paragraph (b) of subsection (1) of this section”, substitute “paragraph (</w:t>
      </w:r>
      <w:r w:rsidR="00C17524">
        <w:rPr>
          <w:sz w:val="22"/>
          <w:szCs w:val="22"/>
        </w:rPr>
        <w:t>1</w:t>
      </w:r>
      <w:r w:rsidRPr="009F6D69">
        <w:rPr>
          <w:sz w:val="22"/>
          <w:szCs w:val="22"/>
        </w:rPr>
        <w:t>)(b)”.</w:t>
      </w:r>
    </w:p>
    <w:p w14:paraId="585A06AB"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22. </w:t>
      </w:r>
      <w:r w:rsidR="0028312C" w:rsidRPr="00067F4B">
        <w:rPr>
          <w:b/>
          <w:i w:val="0"/>
          <w:sz w:val="22"/>
          <w:szCs w:val="22"/>
        </w:rPr>
        <w:t>Subsection 17(4):</w:t>
      </w:r>
    </w:p>
    <w:p w14:paraId="10BEC03D"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After “he” (wherever occurring) insert “or she”.</w:t>
      </w:r>
    </w:p>
    <w:p w14:paraId="00E1B024"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rPr>
        <w:t xml:space="preserve">23. </w:t>
      </w:r>
      <w:r w:rsidR="0028312C" w:rsidRPr="00067F4B">
        <w:rPr>
          <w:b/>
          <w:i w:val="0"/>
          <w:sz w:val="22"/>
          <w:szCs w:val="22"/>
        </w:rPr>
        <w:t>Section 18:</w:t>
      </w:r>
    </w:p>
    <w:p w14:paraId="6D2F0F98"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4176351A"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24. </w:t>
      </w:r>
      <w:r w:rsidR="0028312C" w:rsidRPr="00067F4B">
        <w:rPr>
          <w:b/>
          <w:i w:val="0"/>
          <w:sz w:val="22"/>
          <w:szCs w:val="22"/>
        </w:rPr>
        <w:t>Paragraph 19(l)(a):</w:t>
      </w:r>
    </w:p>
    <w:p w14:paraId="6EE007A0"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After “his” insert “or her”.</w:t>
      </w:r>
    </w:p>
    <w:p w14:paraId="23917585"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25. </w:t>
      </w:r>
      <w:r w:rsidR="0028312C" w:rsidRPr="00067F4B">
        <w:rPr>
          <w:b/>
          <w:i w:val="0"/>
          <w:sz w:val="22"/>
          <w:szCs w:val="22"/>
        </w:rPr>
        <w:t>Subsection 19(2):</w:t>
      </w:r>
    </w:p>
    <w:p w14:paraId="1E56347A"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“the last preceding subsection”, substitute “subsection (1)”.</w:t>
      </w:r>
    </w:p>
    <w:p w14:paraId="6C27F8E5"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rPr>
        <w:t xml:space="preserve">26. </w:t>
      </w:r>
      <w:r w:rsidR="0028312C" w:rsidRPr="00067F4B">
        <w:rPr>
          <w:b/>
          <w:i w:val="0"/>
          <w:sz w:val="22"/>
          <w:szCs w:val="22"/>
        </w:rPr>
        <w:t>Paragraph 19(2)(a):</w:t>
      </w:r>
    </w:p>
    <w:p w14:paraId="54845B75"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the paragraph, substitute:</w:t>
      </w:r>
    </w:p>
    <w:p w14:paraId="74B5717D" w14:textId="50A0B273" w:rsidR="00CB7170" w:rsidRPr="009F6D69" w:rsidRDefault="0028312C" w:rsidP="00A34805">
      <w:pPr>
        <w:pStyle w:val="Bodytext110"/>
        <w:shd w:val="clear" w:color="auto" w:fill="auto"/>
        <w:spacing w:before="120" w:line="240" w:lineRule="auto"/>
        <w:ind w:left="666" w:hanging="392"/>
        <w:jc w:val="both"/>
        <w:rPr>
          <w:sz w:val="22"/>
          <w:szCs w:val="22"/>
        </w:rPr>
      </w:pPr>
      <w:r w:rsidRPr="009F6D69">
        <w:rPr>
          <w:sz w:val="22"/>
          <w:szCs w:val="22"/>
        </w:rPr>
        <w:t>“(a) in respect of an offence arising under paragraph (</w:t>
      </w:r>
      <w:r w:rsidR="00C17524">
        <w:rPr>
          <w:sz w:val="22"/>
          <w:szCs w:val="22"/>
        </w:rPr>
        <w:t>1</w:t>
      </w:r>
      <w:r w:rsidRPr="009F6D69">
        <w:rPr>
          <w:sz w:val="22"/>
          <w:szCs w:val="22"/>
        </w:rPr>
        <w:t>)(a)—by a fine of not more than 20 penalty units; or”.</w:t>
      </w:r>
    </w:p>
    <w:p w14:paraId="6FCFCE61"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27. </w:t>
      </w:r>
      <w:r w:rsidR="0028312C" w:rsidRPr="00067F4B">
        <w:rPr>
          <w:b/>
          <w:i w:val="0"/>
          <w:sz w:val="22"/>
          <w:szCs w:val="22"/>
        </w:rPr>
        <w:t>Paragraph 19(2)(b):</w:t>
      </w:r>
    </w:p>
    <w:p w14:paraId="122D56C1"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Five hundred dollars or imprisonment for a term not exceeding six months, or both”, substitute “imprisonment for not more than 6 months”.</w:t>
      </w:r>
    </w:p>
    <w:p w14:paraId="7065D2CC"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28. </w:t>
      </w:r>
      <w:r w:rsidR="0028312C" w:rsidRPr="00067F4B">
        <w:rPr>
          <w:b/>
          <w:i w:val="0"/>
          <w:sz w:val="22"/>
          <w:szCs w:val="22"/>
        </w:rPr>
        <w:t>Subsection 20(1):</w:t>
      </w:r>
    </w:p>
    <w:p w14:paraId="0D54CE27"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One hundred dollars or imprisonment for a term not exceeding one month, or both”, substitute “a fine of not more than 10 penalty units”.</w:t>
      </w:r>
    </w:p>
    <w:p w14:paraId="09757355"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29. </w:t>
      </w:r>
      <w:r w:rsidR="0028312C" w:rsidRPr="00067F4B">
        <w:rPr>
          <w:b/>
          <w:i w:val="0"/>
          <w:sz w:val="22"/>
          <w:szCs w:val="22"/>
        </w:rPr>
        <w:t>Paragraph 20(2)(c):</w:t>
      </w:r>
    </w:p>
    <w:p w14:paraId="79D62A17"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After “him” insert “or her”.</w:t>
      </w:r>
    </w:p>
    <w:p w14:paraId="2819A69F" w14:textId="77777777" w:rsidR="00067F4B" w:rsidRDefault="00067F4B" w:rsidP="00BA3BDC">
      <w:pPr>
        <w:spacing w:before="120"/>
        <w:rPr>
          <w:rFonts w:ascii="Times New Roman" w:eastAsia="Times New Roman" w:hAnsi="Times New Roman" w:cs="Times New Roman"/>
          <w:i/>
          <w:iCs/>
          <w:sz w:val="22"/>
          <w:szCs w:val="22"/>
          <w:lang w:val="lv-LV"/>
        </w:rPr>
      </w:pPr>
      <w:r>
        <w:rPr>
          <w:sz w:val="22"/>
          <w:szCs w:val="22"/>
          <w:lang w:val="lv-LV"/>
        </w:rPr>
        <w:br w:type="page"/>
      </w:r>
    </w:p>
    <w:p w14:paraId="7B19FBBF" w14:textId="77777777" w:rsidR="00CB7170" w:rsidRPr="009F6D69" w:rsidRDefault="0028312C" w:rsidP="00A34805">
      <w:pPr>
        <w:pStyle w:val="Bodytext110"/>
        <w:shd w:val="clear" w:color="auto" w:fill="auto"/>
        <w:spacing w:line="240" w:lineRule="auto"/>
        <w:ind w:firstLine="0"/>
        <w:jc w:val="center"/>
        <w:rPr>
          <w:sz w:val="22"/>
          <w:szCs w:val="22"/>
        </w:rPr>
      </w:pPr>
      <w:r w:rsidRPr="00067F4B">
        <w:rPr>
          <w:b/>
          <w:sz w:val="22"/>
          <w:szCs w:val="22"/>
        </w:rPr>
        <w:lastRenderedPageBreak/>
        <w:t>SCHEDULE</w:t>
      </w:r>
      <w:r w:rsidRPr="009F6D69">
        <w:rPr>
          <w:sz w:val="22"/>
          <w:szCs w:val="22"/>
        </w:rPr>
        <w:t>—continued</w:t>
      </w:r>
    </w:p>
    <w:p w14:paraId="2EDBD45C"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30. </w:t>
      </w:r>
      <w:r w:rsidR="0028312C" w:rsidRPr="00067F4B">
        <w:rPr>
          <w:b/>
          <w:i w:val="0"/>
          <w:sz w:val="22"/>
          <w:szCs w:val="22"/>
        </w:rPr>
        <w:t>Subsection 20(2):</w:t>
      </w:r>
    </w:p>
    <w:p w14:paraId="426E9E92" w14:textId="77777777" w:rsidR="00CB7170" w:rsidRPr="009F6D69" w:rsidRDefault="0028312C" w:rsidP="00A34805">
      <w:pPr>
        <w:pStyle w:val="Bodytext110"/>
        <w:shd w:val="clear" w:color="auto" w:fill="auto"/>
        <w:spacing w:before="120" w:line="240" w:lineRule="auto"/>
        <w:ind w:firstLine="274"/>
        <w:jc w:val="both"/>
        <w:rPr>
          <w:sz w:val="22"/>
          <w:szCs w:val="22"/>
        </w:rPr>
      </w:pPr>
      <w:r w:rsidRPr="009F6D69">
        <w:rPr>
          <w:sz w:val="22"/>
          <w:szCs w:val="22"/>
        </w:rPr>
        <w:t>Omit “a fine not exceeding Two hundred and fifty dollars or imprisonment for a term not exceeding three months, or both”, substitute “a fine of not more than 20 penalty units”.</w:t>
      </w:r>
    </w:p>
    <w:p w14:paraId="28C61604" w14:textId="77777777" w:rsidR="00CB7170" w:rsidRPr="00067F4B" w:rsidRDefault="007D733C" w:rsidP="00A34805">
      <w:pPr>
        <w:pStyle w:val="Bodytext100"/>
        <w:shd w:val="clear" w:color="auto" w:fill="auto"/>
        <w:tabs>
          <w:tab w:val="left" w:pos="423"/>
        </w:tabs>
        <w:spacing w:before="120" w:line="240" w:lineRule="auto"/>
        <w:jc w:val="both"/>
        <w:rPr>
          <w:b/>
          <w:i w:val="0"/>
          <w:sz w:val="22"/>
          <w:szCs w:val="22"/>
        </w:rPr>
      </w:pPr>
      <w:r>
        <w:rPr>
          <w:b/>
          <w:i w:val="0"/>
          <w:sz w:val="22"/>
          <w:szCs w:val="22"/>
        </w:rPr>
        <w:t xml:space="preserve">31. </w:t>
      </w:r>
      <w:r w:rsidR="0028312C" w:rsidRPr="00067F4B">
        <w:rPr>
          <w:b/>
          <w:i w:val="0"/>
          <w:sz w:val="22"/>
          <w:szCs w:val="22"/>
        </w:rPr>
        <w:t>Subsections 23(3) and (4):</w:t>
      </w:r>
    </w:p>
    <w:p w14:paraId="52475C29" w14:textId="77777777" w:rsidR="00CB7170" w:rsidRPr="009F6D69" w:rsidRDefault="0028312C" w:rsidP="00BA3BDC">
      <w:pPr>
        <w:pStyle w:val="Bodytext110"/>
        <w:shd w:val="clear" w:color="auto" w:fill="auto"/>
        <w:spacing w:before="120" w:line="240" w:lineRule="auto"/>
        <w:ind w:firstLine="274"/>
        <w:jc w:val="both"/>
        <w:rPr>
          <w:sz w:val="22"/>
          <w:szCs w:val="22"/>
        </w:rPr>
      </w:pPr>
      <w:r w:rsidRPr="009F6D69">
        <w:rPr>
          <w:sz w:val="22"/>
          <w:szCs w:val="22"/>
        </w:rPr>
        <w:t>Omit “the last preceding subsection”, substitute “subsection (2)”.</w:t>
      </w:r>
    </w:p>
    <w:p w14:paraId="16A78064" w14:textId="77777777" w:rsidR="00DD04D3" w:rsidRPr="003E6D5F" w:rsidRDefault="00DD04D3" w:rsidP="003E6D5F">
      <w:pPr>
        <w:pStyle w:val="Bodytext90"/>
        <w:pBdr>
          <w:bottom w:val="single" w:sz="12" w:space="1" w:color="auto"/>
        </w:pBdr>
        <w:shd w:val="clear" w:color="auto" w:fill="auto"/>
        <w:spacing w:line="240" w:lineRule="auto"/>
        <w:rPr>
          <w:rStyle w:val="Bodytext91"/>
          <w:bCs/>
          <w:iCs/>
          <w:sz w:val="22"/>
          <w:szCs w:val="22"/>
        </w:rPr>
      </w:pPr>
    </w:p>
    <w:p w14:paraId="32F53A98" w14:textId="77777777" w:rsidR="00CB7170" w:rsidRPr="00C17524" w:rsidRDefault="0028312C" w:rsidP="00BA3BDC">
      <w:pPr>
        <w:pStyle w:val="Bodytext90"/>
        <w:shd w:val="clear" w:color="auto" w:fill="auto"/>
        <w:spacing w:before="120" w:line="240" w:lineRule="auto"/>
        <w:rPr>
          <w:sz w:val="20"/>
          <w:szCs w:val="22"/>
        </w:rPr>
      </w:pPr>
      <w:r w:rsidRPr="00C17524">
        <w:rPr>
          <w:rStyle w:val="Bodytext91"/>
          <w:bCs/>
          <w:iCs/>
          <w:sz w:val="20"/>
          <w:szCs w:val="22"/>
        </w:rPr>
        <w:t>[</w:t>
      </w:r>
      <w:r w:rsidRPr="00C17524">
        <w:rPr>
          <w:rStyle w:val="Bodytext91"/>
          <w:bCs/>
          <w:i/>
          <w:iCs/>
          <w:sz w:val="20"/>
          <w:szCs w:val="22"/>
        </w:rPr>
        <w:t>Minister's second reading speech made in</w:t>
      </w:r>
      <w:r w:rsidRPr="00C17524">
        <w:rPr>
          <w:rStyle w:val="Bodytext9SegoeUI"/>
          <w:rFonts w:ascii="Times New Roman" w:hAnsi="Times New Roman" w:cs="Times New Roman"/>
          <w:bCs/>
          <w:sz w:val="20"/>
          <w:szCs w:val="22"/>
        </w:rPr>
        <w:t>—</w:t>
      </w:r>
    </w:p>
    <w:p w14:paraId="04D5B0E4" w14:textId="7A4519C8" w:rsidR="00CB7170" w:rsidRPr="00C17524" w:rsidRDefault="0028312C" w:rsidP="00067F4B">
      <w:pPr>
        <w:pStyle w:val="Bodytext90"/>
        <w:shd w:val="clear" w:color="auto" w:fill="auto"/>
        <w:spacing w:line="240" w:lineRule="auto"/>
        <w:ind w:left="855" w:right="4536"/>
        <w:rPr>
          <w:sz w:val="20"/>
          <w:szCs w:val="22"/>
        </w:rPr>
      </w:pPr>
      <w:r w:rsidRPr="00C17524">
        <w:rPr>
          <w:rStyle w:val="Bodytext91"/>
          <w:bCs/>
          <w:i/>
          <w:iCs/>
          <w:sz w:val="20"/>
          <w:szCs w:val="22"/>
        </w:rPr>
        <w:t>House of Representatives on 23 August 1995 Senate on 29 August 1995</w:t>
      </w:r>
      <w:r w:rsidRPr="00C17524">
        <w:rPr>
          <w:rStyle w:val="Bodytext9SegoeUI"/>
          <w:rFonts w:ascii="Times New Roman" w:hAnsi="Times New Roman" w:cs="Times New Roman"/>
          <w:bCs/>
          <w:sz w:val="20"/>
          <w:szCs w:val="22"/>
        </w:rPr>
        <w:t>]</w:t>
      </w:r>
      <w:bookmarkStart w:id="12" w:name="_GoBack"/>
      <w:bookmarkEnd w:id="12"/>
    </w:p>
    <w:sectPr w:rsidR="00CB7170" w:rsidRPr="00C17524" w:rsidSect="00343729">
      <w:headerReference w:type="default" r:id="rId10"/>
      <w:type w:val="continuous"/>
      <w:pgSz w:w="12240" w:h="15840" w:code="1"/>
      <w:pgMar w:top="1440" w:right="1440" w:bottom="1440" w:left="1440" w:header="63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0D3F4C" w15:done="0"/>
  <w15:commentEx w15:paraId="55929F71" w15:done="0"/>
  <w15:commentEx w15:paraId="4C5019ED" w15:done="0"/>
  <w15:commentEx w15:paraId="70E3EC02" w15:done="0"/>
  <w15:commentEx w15:paraId="5EA004BC" w15:done="0"/>
  <w15:commentEx w15:paraId="3CCCD537" w15:done="0"/>
  <w15:commentEx w15:paraId="4EE21608" w15:done="0"/>
  <w15:commentEx w15:paraId="15823A33" w15:done="0"/>
  <w15:commentEx w15:paraId="6741CD4F" w15:done="0"/>
  <w15:commentEx w15:paraId="57909467" w15:done="0"/>
  <w15:commentEx w15:paraId="3B8CD367" w15:done="0"/>
  <w15:commentEx w15:paraId="22A5E784" w15:done="0"/>
  <w15:commentEx w15:paraId="386432C3" w15:done="0"/>
  <w15:commentEx w15:paraId="3E914488" w15:done="0"/>
  <w15:commentEx w15:paraId="66B7A479" w15:done="0"/>
  <w15:commentEx w15:paraId="062BB4C6" w15:done="0"/>
  <w15:commentEx w15:paraId="67ABC528" w15:done="0"/>
  <w15:commentEx w15:paraId="3036E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D3F4C" w16cid:durableId="21335593"/>
  <w16cid:commentId w16cid:paraId="55929F71" w16cid:durableId="213355A4"/>
  <w16cid:commentId w16cid:paraId="4C5019ED" w16cid:durableId="213355CD"/>
  <w16cid:commentId w16cid:paraId="70E3EC02" w16cid:durableId="213355DC"/>
  <w16cid:commentId w16cid:paraId="5EA004BC" w16cid:durableId="213355F1"/>
  <w16cid:commentId w16cid:paraId="3CCCD537" w16cid:durableId="21335618"/>
  <w16cid:commentId w16cid:paraId="4EE21608" w16cid:durableId="21335661"/>
  <w16cid:commentId w16cid:paraId="15823A33" w16cid:durableId="21335674"/>
  <w16cid:commentId w16cid:paraId="6741CD4F" w16cid:durableId="2133568D"/>
  <w16cid:commentId w16cid:paraId="57909467" w16cid:durableId="213356AB"/>
  <w16cid:commentId w16cid:paraId="3B8CD367" w16cid:durableId="213356BE"/>
  <w16cid:commentId w16cid:paraId="22A5E784" w16cid:durableId="213356CA"/>
  <w16cid:commentId w16cid:paraId="386432C3" w16cid:durableId="213356D5"/>
  <w16cid:commentId w16cid:paraId="3E914488" w16cid:durableId="213356E9"/>
  <w16cid:commentId w16cid:paraId="66B7A479" w16cid:durableId="21335702"/>
  <w16cid:commentId w16cid:paraId="062BB4C6" w16cid:durableId="21335710"/>
  <w16cid:commentId w16cid:paraId="67ABC528" w16cid:durableId="2133571D"/>
  <w16cid:commentId w16cid:paraId="3036E4BE" w16cid:durableId="21335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78B4" w14:textId="77777777" w:rsidR="004A4433" w:rsidRDefault="004A4433">
      <w:r>
        <w:separator/>
      </w:r>
    </w:p>
  </w:endnote>
  <w:endnote w:type="continuationSeparator" w:id="0">
    <w:p w14:paraId="1B560594" w14:textId="77777777" w:rsidR="004A4433" w:rsidRDefault="004A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27FC" w14:textId="77777777" w:rsidR="004A4433" w:rsidRDefault="004A4433"/>
  </w:footnote>
  <w:footnote w:type="continuationSeparator" w:id="0">
    <w:p w14:paraId="6B54272C" w14:textId="77777777" w:rsidR="004A4433" w:rsidRDefault="004A4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60320"/>
      <w:docPartObj>
        <w:docPartGallery w:val="Page Numbers (Top of Page)"/>
        <w:docPartUnique/>
      </w:docPartObj>
    </w:sdtPr>
    <w:sdtEndPr>
      <w:rPr>
        <w:rFonts w:ascii="Times New Roman" w:hAnsi="Times New Roman" w:cs="Times New Roman"/>
        <w:noProof/>
        <w:sz w:val="22"/>
        <w:szCs w:val="22"/>
      </w:rPr>
    </w:sdtEndPr>
    <w:sdtContent>
      <w:p w14:paraId="4A57E3CF" w14:textId="77777777" w:rsidR="008D5921" w:rsidRDefault="00266907" w:rsidP="00F11877">
        <w:pPr>
          <w:widowControl/>
          <w:autoSpaceDE w:val="0"/>
          <w:autoSpaceDN w:val="0"/>
          <w:adjustRightInd w:val="0"/>
          <w:jc w:val="center"/>
          <w:rPr>
            <w:rFonts w:ascii="Times New Roman" w:hAnsi="Times New Roman" w:cs="Times New Roman"/>
            <w:i/>
            <w:iCs/>
            <w:color w:val="auto"/>
            <w:sz w:val="22"/>
            <w:szCs w:val="22"/>
            <w:lang w:val="en-IN"/>
          </w:rPr>
        </w:pPr>
        <w:r w:rsidRPr="00266907">
          <w:rPr>
            <w:rFonts w:ascii="Times New Roman" w:hAnsi="Times New Roman" w:cs="Times New Roman"/>
            <w:i/>
            <w:iCs/>
            <w:color w:val="auto"/>
            <w:sz w:val="22"/>
            <w:szCs w:val="22"/>
            <w:lang w:val="en-IN"/>
          </w:rPr>
          <w:t>Public Order (Protection of Persons and</w:t>
        </w:r>
      </w:p>
      <w:p w14:paraId="28CB6B52" w14:textId="5674572A" w:rsidR="00266907" w:rsidRPr="00F11877" w:rsidRDefault="00266907" w:rsidP="00F11877">
        <w:pPr>
          <w:widowControl/>
          <w:autoSpaceDE w:val="0"/>
          <w:autoSpaceDN w:val="0"/>
          <w:adjustRightInd w:val="0"/>
          <w:jc w:val="center"/>
          <w:rPr>
            <w:rFonts w:ascii="Times New Roman" w:hAnsi="Times New Roman" w:cs="Times New Roman"/>
            <w:i/>
            <w:iCs/>
            <w:color w:val="auto"/>
            <w:sz w:val="22"/>
            <w:szCs w:val="22"/>
            <w:lang w:val="en-IN"/>
          </w:rPr>
        </w:pPr>
        <w:r w:rsidRPr="00266907">
          <w:rPr>
            <w:rFonts w:ascii="Times New Roman" w:hAnsi="Times New Roman" w:cs="Times New Roman"/>
            <w:i/>
            <w:iCs/>
            <w:color w:val="auto"/>
            <w:sz w:val="22"/>
            <w:szCs w:val="22"/>
            <w:lang w:val="en-IN"/>
          </w:rPr>
          <w:t xml:space="preserve">Property) Amendment </w:t>
        </w:r>
        <w:r w:rsidR="00C17524">
          <w:rPr>
            <w:rFonts w:ascii="Times New Roman" w:hAnsi="Times New Roman" w:cs="Times New Roman"/>
            <w:i/>
            <w:iCs/>
            <w:color w:val="auto"/>
            <w:sz w:val="22"/>
            <w:szCs w:val="22"/>
            <w:lang w:val="en-IN"/>
          </w:rPr>
          <w:tab/>
        </w:r>
        <w:r w:rsidRPr="00266907">
          <w:rPr>
            <w:rFonts w:ascii="Times New Roman" w:hAnsi="Times New Roman" w:cs="Times New Roman"/>
            <w:i/>
            <w:iCs/>
            <w:color w:val="auto"/>
            <w:sz w:val="22"/>
            <w:szCs w:val="22"/>
            <w:lang w:val="en-IN"/>
          </w:rPr>
          <w:t>No</w:t>
        </w:r>
        <w:r w:rsidR="00F11877">
          <w:rPr>
            <w:rFonts w:ascii="Times New Roman" w:hAnsi="Times New Roman" w:cs="Times New Roman"/>
            <w:i/>
            <w:iCs/>
            <w:color w:val="auto"/>
            <w:sz w:val="22"/>
            <w:szCs w:val="22"/>
            <w:lang w:val="en-IN"/>
          </w:rPr>
          <w:t xml:space="preserve"> </w:t>
        </w:r>
        <w:r w:rsidRPr="00266907">
          <w:rPr>
            <w:rFonts w:ascii="Times New Roman" w:hAnsi="Times New Roman" w:cs="Times New Roman"/>
            <w:i/>
            <w:iCs/>
            <w:color w:val="auto"/>
            <w:sz w:val="22"/>
            <w:szCs w:val="22"/>
            <w:lang w:val="en-IN"/>
          </w:rPr>
          <w:t>116, 1995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342"/>
    <w:multiLevelType w:val="multilevel"/>
    <w:tmpl w:val="C7E2AC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371D5"/>
    <w:multiLevelType w:val="multilevel"/>
    <w:tmpl w:val="B41E7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31F50"/>
    <w:multiLevelType w:val="multilevel"/>
    <w:tmpl w:val="FA5652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8609E"/>
    <w:multiLevelType w:val="multilevel"/>
    <w:tmpl w:val="9E582A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03EBE"/>
    <w:multiLevelType w:val="multilevel"/>
    <w:tmpl w:val="90987B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37B25"/>
    <w:multiLevelType w:val="multilevel"/>
    <w:tmpl w:val="0B0624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C7360"/>
    <w:multiLevelType w:val="multilevel"/>
    <w:tmpl w:val="10B8D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DC57BF"/>
    <w:multiLevelType w:val="multilevel"/>
    <w:tmpl w:val="FAAE8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EF6141"/>
    <w:multiLevelType w:val="multilevel"/>
    <w:tmpl w:val="80F23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61564"/>
    <w:multiLevelType w:val="multilevel"/>
    <w:tmpl w:val="A4E8E2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CA7BA1"/>
    <w:multiLevelType w:val="multilevel"/>
    <w:tmpl w:val="2ED65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7A62BB"/>
    <w:multiLevelType w:val="multilevel"/>
    <w:tmpl w:val="CADAA3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56355A"/>
    <w:multiLevelType w:val="multilevel"/>
    <w:tmpl w:val="D7349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D4E88"/>
    <w:multiLevelType w:val="multilevel"/>
    <w:tmpl w:val="D8E099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05EE5"/>
    <w:multiLevelType w:val="multilevel"/>
    <w:tmpl w:val="A1000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3A318B"/>
    <w:multiLevelType w:val="multilevel"/>
    <w:tmpl w:val="ACDC1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412796"/>
    <w:multiLevelType w:val="multilevel"/>
    <w:tmpl w:val="ADC25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850330"/>
    <w:multiLevelType w:val="multilevel"/>
    <w:tmpl w:val="D1AEA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8"/>
  </w:num>
  <w:num w:numId="4">
    <w:abstractNumId w:val="1"/>
  </w:num>
  <w:num w:numId="5">
    <w:abstractNumId w:val="4"/>
  </w:num>
  <w:num w:numId="6">
    <w:abstractNumId w:val="13"/>
  </w:num>
  <w:num w:numId="7">
    <w:abstractNumId w:val="17"/>
  </w:num>
  <w:num w:numId="8">
    <w:abstractNumId w:val="9"/>
  </w:num>
  <w:num w:numId="9">
    <w:abstractNumId w:val="6"/>
  </w:num>
  <w:num w:numId="10">
    <w:abstractNumId w:val="16"/>
  </w:num>
  <w:num w:numId="11">
    <w:abstractNumId w:val="2"/>
  </w:num>
  <w:num w:numId="12">
    <w:abstractNumId w:val="5"/>
  </w:num>
  <w:num w:numId="13">
    <w:abstractNumId w:val="7"/>
  </w:num>
  <w:num w:numId="14">
    <w:abstractNumId w:val="15"/>
  </w:num>
  <w:num w:numId="15">
    <w:abstractNumId w:val="0"/>
  </w:num>
  <w:num w:numId="16">
    <w:abstractNumId w:val="14"/>
  </w:num>
  <w:num w:numId="17">
    <w:abstractNumId w:val="3"/>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CB7170"/>
    <w:rsid w:val="00005A25"/>
    <w:rsid w:val="00066887"/>
    <w:rsid w:val="00066BCC"/>
    <w:rsid w:val="00067F4B"/>
    <w:rsid w:val="001608A4"/>
    <w:rsid w:val="00266907"/>
    <w:rsid w:val="0028312C"/>
    <w:rsid w:val="002C7553"/>
    <w:rsid w:val="00312E3F"/>
    <w:rsid w:val="003305C9"/>
    <w:rsid w:val="00331803"/>
    <w:rsid w:val="00343729"/>
    <w:rsid w:val="003B71D1"/>
    <w:rsid w:val="003E6D5F"/>
    <w:rsid w:val="004A4433"/>
    <w:rsid w:val="004A7804"/>
    <w:rsid w:val="004C0A8E"/>
    <w:rsid w:val="005A4470"/>
    <w:rsid w:val="005A552E"/>
    <w:rsid w:val="00627995"/>
    <w:rsid w:val="00783F90"/>
    <w:rsid w:val="007D733C"/>
    <w:rsid w:val="008904DF"/>
    <w:rsid w:val="008D5921"/>
    <w:rsid w:val="0091191F"/>
    <w:rsid w:val="009F6D69"/>
    <w:rsid w:val="00A063F3"/>
    <w:rsid w:val="00A34805"/>
    <w:rsid w:val="00A44A00"/>
    <w:rsid w:val="00A6319F"/>
    <w:rsid w:val="00A85D42"/>
    <w:rsid w:val="00AA421A"/>
    <w:rsid w:val="00B07ED8"/>
    <w:rsid w:val="00B41B30"/>
    <w:rsid w:val="00B5727C"/>
    <w:rsid w:val="00B96527"/>
    <w:rsid w:val="00BA3BDC"/>
    <w:rsid w:val="00BA79BB"/>
    <w:rsid w:val="00BE0F28"/>
    <w:rsid w:val="00BF117A"/>
    <w:rsid w:val="00C035D5"/>
    <w:rsid w:val="00C17524"/>
    <w:rsid w:val="00C57E30"/>
    <w:rsid w:val="00C74BE2"/>
    <w:rsid w:val="00C86C7F"/>
    <w:rsid w:val="00CB7170"/>
    <w:rsid w:val="00D77FBF"/>
    <w:rsid w:val="00DD04D3"/>
    <w:rsid w:val="00E71249"/>
    <w:rsid w:val="00EC429B"/>
    <w:rsid w:val="00F00109"/>
    <w:rsid w:val="00F11877"/>
    <w:rsid w:val="00F22F87"/>
    <w:rsid w:val="00F91259"/>
    <w:rsid w:val="00FA5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9"/>
      <w:szCs w:val="39"/>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1"/>
      <w:szCs w:val="21"/>
      <w:u w:val="none"/>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1"/>
      <w:szCs w:val="21"/>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6"/>
      <w:szCs w:val="16"/>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1Italic">
    <w:name w:val="Body text (11) + Italic"/>
    <w:basedOn w:val="Bodytext11"/>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2"/>
      <w:szCs w:val="22"/>
      <w:u w:val="none"/>
    </w:rPr>
  </w:style>
  <w:style w:type="character" w:customStyle="1" w:styleId="Bodytext101">
    <w:name w:val="Body text (10)"/>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17"/>
      <w:szCs w:val="17"/>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9SegoeUI">
    <w:name w:val="Body text (9) + Segoe UI"/>
    <w:aliases w:val="7.5 pt,Not Italic"/>
    <w:basedOn w:val="Bodytext9"/>
    <w:rPr>
      <w:rFonts w:ascii="Segoe UI" w:eastAsia="Segoe UI" w:hAnsi="Segoe UI" w:cs="Segoe UI"/>
      <w:b/>
      <w:bCs/>
      <w:i/>
      <w:iCs/>
      <w:smallCaps w:val="0"/>
      <w:strike w:val="0"/>
      <w:color w:val="000000"/>
      <w:spacing w:val="0"/>
      <w:w w:val="100"/>
      <w:position w:val="0"/>
      <w:sz w:val="15"/>
      <w:szCs w:val="15"/>
      <w:u w:val="none"/>
    </w:rPr>
  </w:style>
  <w:style w:type="paragraph" w:customStyle="1" w:styleId="Heading10">
    <w:name w:val="Heading #1"/>
    <w:basedOn w:val="Normal"/>
    <w:link w:val="Heading1"/>
    <w:pPr>
      <w:shd w:val="clear" w:color="auto" w:fill="FFFFFF"/>
      <w:spacing w:line="451" w:lineRule="exact"/>
      <w:jc w:val="center"/>
      <w:outlineLvl w:val="0"/>
    </w:pPr>
    <w:rPr>
      <w:rFonts w:ascii="Times New Roman" w:eastAsia="Times New Roman" w:hAnsi="Times New Roman" w:cs="Times New Roman"/>
      <w:b/>
      <w:bCs/>
      <w:sz w:val="39"/>
      <w:szCs w:val="39"/>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customStyle="1" w:styleId="Heading20">
    <w:name w:val="Heading #2"/>
    <w:basedOn w:val="Normal"/>
    <w:link w:val="Heading2"/>
    <w:pPr>
      <w:shd w:val="clear" w:color="auto" w:fill="FFFFFF"/>
      <w:spacing w:line="322" w:lineRule="exact"/>
      <w:outlineLvl w:val="1"/>
    </w:pPr>
    <w:rPr>
      <w:rFonts w:ascii="Times New Roman" w:eastAsia="Times New Roman" w:hAnsi="Times New Roman" w:cs="Times New Roman"/>
      <w:b/>
      <w:bCs/>
      <w:sz w:val="26"/>
      <w:szCs w:val="26"/>
    </w:rPr>
  </w:style>
  <w:style w:type="paragraph" w:customStyle="1" w:styleId="Bodytext100">
    <w:name w:val="Body text (10)"/>
    <w:basedOn w:val="Normal"/>
    <w:link w:val="Bodytext10"/>
    <w:pPr>
      <w:shd w:val="clear" w:color="auto" w:fill="FFFFFF"/>
      <w:spacing w:line="0" w:lineRule="atLeast"/>
      <w:jc w:val="right"/>
    </w:pPr>
    <w:rPr>
      <w:rFonts w:ascii="Times New Roman" w:eastAsia="Times New Roman" w:hAnsi="Times New Roman" w:cs="Times New Roman"/>
      <w:i/>
      <w:iCs/>
      <w:sz w:val="21"/>
      <w:szCs w:val="21"/>
    </w:rPr>
  </w:style>
  <w:style w:type="paragraph" w:customStyle="1" w:styleId="Bodytext110">
    <w:name w:val="Body text (11)"/>
    <w:basedOn w:val="Normal"/>
    <w:link w:val="Bodytext11"/>
    <w:pPr>
      <w:shd w:val="clear" w:color="auto" w:fill="FFFFFF"/>
      <w:spacing w:line="0" w:lineRule="atLeast"/>
      <w:ind w:hanging="520"/>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sz w:val="16"/>
      <w:szCs w:val="16"/>
    </w:rPr>
  </w:style>
  <w:style w:type="paragraph" w:customStyle="1" w:styleId="Heading30">
    <w:name w:val="Heading #3"/>
    <w:basedOn w:val="Normal"/>
    <w:link w:val="Heading3"/>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odytext80">
    <w:name w:val="Body text (8)"/>
    <w:basedOn w:val="Normal"/>
    <w:link w:val="Bodytext8"/>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Bodytext90">
    <w:name w:val="Body text (9)"/>
    <w:basedOn w:val="Normal"/>
    <w:link w:val="Bodytext9"/>
    <w:pPr>
      <w:shd w:val="clear" w:color="auto" w:fill="FFFFFF"/>
      <w:spacing w:line="230" w:lineRule="exact"/>
      <w:jc w:val="both"/>
    </w:pPr>
    <w:rPr>
      <w:rFonts w:ascii="Times New Roman" w:eastAsia="Times New Roman" w:hAnsi="Times New Roman" w:cs="Times New Roman"/>
      <w:b/>
      <w:bCs/>
      <w:i/>
      <w:iCs/>
      <w:sz w:val="17"/>
      <w:szCs w:val="17"/>
    </w:rPr>
  </w:style>
  <w:style w:type="paragraph" w:styleId="Header">
    <w:name w:val="header"/>
    <w:basedOn w:val="Normal"/>
    <w:link w:val="HeaderChar"/>
    <w:uiPriority w:val="99"/>
    <w:unhideWhenUsed/>
    <w:rsid w:val="00266907"/>
    <w:pPr>
      <w:tabs>
        <w:tab w:val="center" w:pos="4513"/>
        <w:tab w:val="right" w:pos="9026"/>
      </w:tabs>
    </w:pPr>
  </w:style>
  <w:style w:type="character" w:customStyle="1" w:styleId="HeaderChar">
    <w:name w:val="Header Char"/>
    <w:basedOn w:val="DefaultParagraphFont"/>
    <w:link w:val="Header"/>
    <w:uiPriority w:val="99"/>
    <w:rsid w:val="00266907"/>
    <w:rPr>
      <w:color w:val="000000"/>
    </w:rPr>
  </w:style>
  <w:style w:type="paragraph" w:styleId="Footer">
    <w:name w:val="footer"/>
    <w:basedOn w:val="Normal"/>
    <w:link w:val="FooterChar"/>
    <w:uiPriority w:val="99"/>
    <w:unhideWhenUsed/>
    <w:rsid w:val="00266907"/>
    <w:pPr>
      <w:tabs>
        <w:tab w:val="center" w:pos="4513"/>
        <w:tab w:val="right" w:pos="9026"/>
      </w:tabs>
    </w:pPr>
  </w:style>
  <w:style w:type="character" w:customStyle="1" w:styleId="FooterChar">
    <w:name w:val="Footer Char"/>
    <w:basedOn w:val="DefaultParagraphFont"/>
    <w:link w:val="Footer"/>
    <w:uiPriority w:val="99"/>
    <w:rsid w:val="00266907"/>
    <w:rPr>
      <w:color w:val="000000"/>
    </w:rPr>
  </w:style>
  <w:style w:type="character" w:styleId="CommentReference">
    <w:name w:val="annotation reference"/>
    <w:basedOn w:val="DefaultParagraphFont"/>
    <w:uiPriority w:val="99"/>
    <w:semiHidden/>
    <w:unhideWhenUsed/>
    <w:rsid w:val="001608A4"/>
    <w:rPr>
      <w:sz w:val="16"/>
      <w:szCs w:val="16"/>
    </w:rPr>
  </w:style>
  <w:style w:type="paragraph" w:styleId="CommentText">
    <w:name w:val="annotation text"/>
    <w:basedOn w:val="Normal"/>
    <w:link w:val="CommentTextChar"/>
    <w:uiPriority w:val="99"/>
    <w:semiHidden/>
    <w:unhideWhenUsed/>
    <w:rsid w:val="001608A4"/>
    <w:rPr>
      <w:sz w:val="20"/>
      <w:szCs w:val="20"/>
    </w:rPr>
  </w:style>
  <w:style w:type="character" w:customStyle="1" w:styleId="CommentTextChar">
    <w:name w:val="Comment Text Char"/>
    <w:basedOn w:val="DefaultParagraphFont"/>
    <w:link w:val="CommentText"/>
    <w:uiPriority w:val="99"/>
    <w:semiHidden/>
    <w:rsid w:val="001608A4"/>
    <w:rPr>
      <w:color w:val="000000"/>
      <w:sz w:val="20"/>
      <w:szCs w:val="20"/>
    </w:rPr>
  </w:style>
  <w:style w:type="paragraph" w:styleId="CommentSubject">
    <w:name w:val="annotation subject"/>
    <w:basedOn w:val="CommentText"/>
    <w:next w:val="CommentText"/>
    <w:link w:val="CommentSubjectChar"/>
    <w:uiPriority w:val="99"/>
    <w:semiHidden/>
    <w:unhideWhenUsed/>
    <w:rsid w:val="001608A4"/>
    <w:rPr>
      <w:b/>
      <w:bCs/>
    </w:rPr>
  </w:style>
  <w:style w:type="character" w:customStyle="1" w:styleId="CommentSubjectChar">
    <w:name w:val="Comment Subject Char"/>
    <w:basedOn w:val="CommentTextChar"/>
    <w:link w:val="CommentSubject"/>
    <w:uiPriority w:val="99"/>
    <w:semiHidden/>
    <w:rsid w:val="001608A4"/>
    <w:rPr>
      <w:b/>
      <w:bCs/>
      <w:color w:val="000000"/>
      <w:sz w:val="20"/>
      <w:szCs w:val="20"/>
    </w:rPr>
  </w:style>
  <w:style w:type="paragraph" w:styleId="BalloonText">
    <w:name w:val="Balloon Text"/>
    <w:basedOn w:val="Normal"/>
    <w:link w:val="BalloonTextChar"/>
    <w:uiPriority w:val="99"/>
    <w:semiHidden/>
    <w:unhideWhenUsed/>
    <w:rsid w:val="00160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A4"/>
    <w:rPr>
      <w:rFonts w:ascii="Segoe UI" w:hAnsi="Segoe UI" w:cs="Segoe UI"/>
      <w:color w:val="000000"/>
      <w:sz w:val="18"/>
      <w:szCs w:val="18"/>
    </w:rPr>
  </w:style>
  <w:style w:type="paragraph" w:styleId="Revision">
    <w:name w:val="Revision"/>
    <w:hidden/>
    <w:uiPriority w:val="99"/>
    <w:semiHidden/>
    <w:rsid w:val="00C17524"/>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556D-CD0D-46FA-AA36-F63B3818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2019-09-23T04:37:00Z</dcterms:created>
  <dcterms:modified xsi:type="dcterms:W3CDTF">2019-11-15T02:38:00Z</dcterms:modified>
</cp:coreProperties>
</file>