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9DB78" w14:textId="77777777" w:rsidR="00DE19CA" w:rsidRPr="004A4318" w:rsidRDefault="00657905" w:rsidP="00C61BCD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17B1E48C" wp14:editId="61EC3FF2">
            <wp:extent cx="1455420" cy="1082675"/>
            <wp:effectExtent l="0" t="0" r="0" b="317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585F" w14:textId="77777777" w:rsidR="00DE19CA" w:rsidRPr="00C61BCD" w:rsidRDefault="00DE19CA" w:rsidP="00C61BCD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C61BCD">
        <w:rPr>
          <w:b/>
          <w:bCs/>
          <w:sz w:val="36"/>
          <w:szCs w:val="22"/>
        </w:rPr>
        <w:t>ANL Guarantee Act 1994</w:t>
      </w:r>
    </w:p>
    <w:p w14:paraId="163BFCD2" w14:textId="1729DCF0" w:rsidR="00C61BCD" w:rsidRPr="00844EC6" w:rsidRDefault="00DE19CA" w:rsidP="00C61BCD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844EC6">
        <w:rPr>
          <w:b/>
          <w:bCs/>
          <w:szCs w:val="22"/>
        </w:rPr>
        <w:t>No. 145 of 1994</w:t>
      </w:r>
    </w:p>
    <w:p w14:paraId="165EC2A2" w14:textId="77777777" w:rsidR="00DE19CA" w:rsidRPr="004A4318" w:rsidRDefault="00DE19CA" w:rsidP="00C61BCD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4C5D791F" w14:textId="77777777" w:rsidR="00DE19CA" w:rsidRPr="00C61BCD" w:rsidRDefault="00DE19CA" w:rsidP="00C61BCD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C61BCD">
        <w:rPr>
          <w:b/>
          <w:bCs/>
          <w:sz w:val="26"/>
          <w:szCs w:val="22"/>
        </w:rPr>
        <w:t>An Act to provide for the guarantee of loans made in</w:t>
      </w:r>
      <w:r w:rsidR="00C61BCD">
        <w:rPr>
          <w:b/>
          <w:bCs/>
          <w:sz w:val="26"/>
          <w:szCs w:val="22"/>
        </w:rPr>
        <w:br/>
      </w:r>
      <w:r w:rsidRPr="00C61BCD">
        <w:rPr>
          <w:b/>
          <w:bCs/>
          <w:sz w:val="26"/>
          <w:szCs w:val="22"/>
        </w:rPr>
        <w:t>relation to ANL Limited, and for related purposes</w:t>
      </w:r>
    </w:p>
    <w:p w14:paraId="38FC83E9" w14:textId="77777777" w:rsidR="00DE19CA" w:rsidRPr="004A4318" w:rsidRDefault="00DE19CA" w:rsidP="00C61BCD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4A4318">
        <w:rPr>
          <w:iCs/>
          <w:sz w:val="22"/>
          <w:szCs w:val="22"/>
        </w:rPr>
        <w:t>[</w:t>
      </w:r>
      <w:r w:rsidRPr="004A4318">
        <w:rPr>
          <w:i/>
          <w:iCs/>
          <w:sz w:val="22"/>
          <w:szCs w:val="22"/>
        </w:rPr>
        <w:t>Assented to 8 December 1994</w:t>
      </w:r>
      <w:r w:rsidRPr="004A4318">
        <w:rPr>
          <w:iCs/>
          <w:sz w:val="22"/>
          <w:szCs w:val="22"/>
        </w:rPr>
        <w:t>]</w:t>
      </w:r>
    </w:p>
    <w:p w14:paraId="4A5D5FD4" w14:textId="77777777" w:rsidR="00DE19CA" w:rsidRPr="004A4318" w:rsidRDefault="00DE19CA" w:rsidP="00DE19CA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The Parliament of Australia enacts:</w:t>
      </w:r>
    </w:p>
    <w:p w14:paraId="7B322E37" w14:textId="77777777" w:rsidR="00DE19CA" w:rsidRPr="004A4318" w:rsidRDefault="00DE19CA" w:rsidP="00DE19C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Short title</w:t>
      </w:r>
    </w:p>
    <w:p w14:paraId="4F23EAE4" w14:textId="77777777" w:rsidR="00DE19CA" w:rsidRPr="004A4318" w:rsidRDefault="00DE19CA" w:rsidP="00DE19CA">
      <w:pPr>
        <w:tabs>
          <w:tab w:val="left" w:pos="61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 w:rsidRPr="004A4318">
        <w:rPr>
          <w:sz w:val="22"/>
          <w:szCs w:val="22"/>
        </w:rPr>
        <w:t xml:space="preserve">This Act may be cited as the </w:t>
      </w:r>
      <w:r w:rsidRPr="004A4318">
        <w:rPr>
          <w:i/>
          <w:iCs/>
          <w:sz w:val="22"/>
          <w:szCs w:val="22"/>
        </w:rPr>
        <w:t>ANL Guarantee Act 1994.</w:t>
      </w:r>
    </w:p>
    <w:p w14:paraId="2FF710DC" w14:textId="77777777" w:rsidR="00DE19CA" w:rsidRPr="004A4318" w:rsidRDefault="00DE19CA" w:rsidP="00DE19C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Commencement</w:t>
      </w:r>
    </w:p>
    <w:p w14:paraId="344E8E35" w14:textId="77777777" w:rsidR="00DE19CA" w:rsidRPr="004A4318" w:rsidRDefault="00DE19CA" w:rsidP="00DE19CA">
      <w:pPr>
        <w:tabs>
          <w:tab w:val="left" w:pos="61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2.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This Act commences on the day on which it receives the Royal Assent.</w:t>
      </w:r>
    </w:p>
    <w:p w14:paraId="44B24944" w14:textId="77777777" w:rsidR="00DE19CA" w:rsidRPr="004A4318" w:rsidRDefault="00DE19CA" w:rsidP="00DE19C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Definitions</w:t>
      </w:r>
    </w:p>
    <w:p w14:paraId="06B19085" w14:textId="77777777" w:rsidR="00DE19CA" w:rsidRPr="004A4318" w:rsidRDefault="00DE19CA" w:rsidP="00DE19CA">
      <w:pPr>
        <w:tabs>
          <w:tab w:val="left" w:pos="61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4A4318">
        <w:rPr>
          <w:sz w:val="22"/>
          <w:szCs w:val="22"/>
        </w:rPr>
        <w:t>In this Act, unless the contrary intention appears:</w:t>
      </w:r>
    </w:p>
    <w:p w14:paraId="6501F77C" w14:textId="3C0DB1A3" w:rsidR="00DE19CA" w:rsidRPr="004A4318" w:rsidRDefault="00DE19CA" w:rsidP="00DE19C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 xml:space="preserve">“ANL Limited” </w:t>
      </w:r>
      <w:r w:rsidRPr="004A4318">
        <w:rPr>
          <w:sz w:val="22"/>
          <w:szCs w:val="22"/>
        </w:rPr>
        <w:t xml:space="preserve">means the company of that name referred to in the </w:t>
      </w:r>
      <w:proofErr w:type="spellStart"/>
      <w:r w:rsidRPr="004A4318">
        <w:rPr>
          <w:i/>
          <w:iCs/>
          <w:sz w:val="22"/>
          <w:szCs w:val="22"/>
        </w:rPr>
        <w:t>ANL</w:t>
      </w:r>
      <w:proofErr w:type="spellEnd"/>
      <w:r w:rsidRPr="004A4318">
        <w:rPr>
          <w:i/>
          <w:iCs/>
          <w:sz w:val="22"/>
          <w:szCs w:val="22"/>
        </w:rPr>
        <w:t xml:space="preserve"> Act 1956</w:t>
      </w:r>
      <w:r w:rsidRPr="00844EC6">
        <w:rPr>
          <w:iCs/>
          <w:sz w:val="22"/>
          <w:szCs w:val="22"/>
        </w:rPr>
        <w:t>;</w:t>
      </w:r>
    </w:p>
    <w:p w14:paraId="17804098" w14:textId="77777777" w:rsidR="00DE19CA" w:rsidRPr="004A4318" w:rsidRDefault="00DE19CA" w:rsidP="00DE19C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4A4318">
        <w:rPr>
          <w:sz w:val="22"/>
          <w:szCs w:val="22"/>
        </w:rPr>
        <w:br w:type="page"/>
      </w:r>
      <w:r w:rsidRPr="004A4318">
        <w:rPr>
          <w:b/>
          <w:bCs/>
          <w:sz w:val="22"/>
          <w:szCs w:val="22"/>
        </w:rPr>
        <w:lastRenderedPageBreak/>
        <w:t xml:space="preserve">“payments under a loan agreement” </w:t>
      </w:r>
      <w:r w:rsidRPr="004A4318">
        <w:rPr>
          <w:sz w:val="22"/>
          <w:szCs w:val="22"/>
        </w:rPr>
        <w:t>means repayments of principal, payments of interest, or both, under a loan agreement (including a loan agreement made before the commencement of this Act).</w:t>
      </w:r>
    </w:p>
    <w:p w14:paraId="2E3AB3F4" w14:textId="77777777" w:rsidR="00DE19CA" w:rsidRPr="004A4318" w:rsidRDefault="00DE19CA" w:rsidP="00DE19C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Treasurer may guarantee loans</w:t>
      </w:r>
    </w:p>
    <w:p w14:paraId="1D165BFA" w14:textId="77777777" w:rsidR="00DE19CA" w:rsidRPr="004A4318" w:rsidRDefault="00DE19CA" w:rsidP="00DE19CA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4.(1)</w:t>
      </w:r>
      <w:r w:rsidR="003F571E">
        <w:rPr>
          <w:b/>
          <w:bCs/>
          <w:sz w:val="22"/>
          <w:szCs w:val="22"/>
        </w:rPr>
        <w:t xml:space="preserve"> </w:t>
      </w:r>
      <w:r w:rsidRPr="004A4318">
        <w:rPr>
          <w:sz w:val="22"/>
          <w:szCs w:val="22"/>
        </w:rPr>
        <w:t>To help ANL Limited to continue to trade in an orderly fashion or restructure its business interests, the Treasurer may make determinations, and enter into agreements, under this section.</w:t>
      </w:r>
    </w:p>
    <w:p w14:paraId="7DD35278" w14:textId="77777777" w:rsidR="00DE19CA" w:rsidRPr="004A4318" w:rsidRDefault="00DE19CA" w:rsidP="00DE19CA">
      <w:pPr>
        <w:tabs>
          <w:tab w:val="left" w:pos="725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If the Treasurer makes a written determination that the Commonwealth guarantees payments under a loan agreement, the payments are guaranteed by the Commonwealth by force of this subsection. The guarantee is subject to any terms and conditions set out in the determination.</w:t>
      </w:r>
    </w:p>
    <w:p w14:paraId="2F0FBED4" w14:textId="77777777" w:rsidR="00DE19CA" w:rsidRPr="004A4318" w:rsidRDefault="00DE19CA" w:rsidP="00DE19CA">
      <w:pPr>
        <w:tabs>
          <w:tab w:val="left" w:pos="725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(3)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On behalf of the Commonwealth, the Treasurer may enter into a written agreement under which the Commonwealth guarantees payments under a loan agreement.</w:t>
      </w:r>
    </w:p>
    <w:p w14:paraId="0A18A0F6" w14:textId="77777777" w:rsidR="00DE19CA" w:rsidRPr="004A4318" w:rsidRDefault="00DE19CA" w:rsidP="00DE19CA">
      <w:pPr>
        <w:tabs>
          <w:tab w:val="left" w:pos="725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(4)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This section does not limit the Commonwealth’s executive power, or its power under any other Act, to give guarantees.</w:t>
      </w:r>
    </w:p>
    <w:p w14:paraId="6DE3BDF4" w14:textId="77777777" w:rsidR="00DE19CA" w:rsidRPr="004A4318" w:rsidRDefault="00DE19CA" w:rsidP="00DE19C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Delegation</w:t>
      </w:r>
    </w:p>
    <w:p w14:paraId="54FB2982" w14:textId="77777777" w:rsidR="00DE19CA" w:rsidRPr="004A4318" w:rsidRDefault="00DE19CA" w:rsidP="00DE19CA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5.(1)</w:t>
      </w:r>
      <w:r w:rsidR="003F571E">
        <w:rPr>
          <w:b/>
          <w:bCs/>
          <w:sz w:val="22"/>
          <w:szCs w:val="22"/>
        </w:rPr>
        <w:t xml:space="preserve"> </w:t>
      </w:r>
      <w:r w:rsidRPr="004A4318">
        <w:rPr>
          <w:sz w:val="22"/>
          <w:szCs w:val="22"/>
        </w:rPr>
        <w:t>The Treasurer may delegate by written instrument any of the Treasurer’s powers under this Act to an officer in the Senior Executive Service in the Department.</w:t>
      </w:r>
    </w:p>
    <w:p w14:paraId="42744169" w14:textId="77777777" w:rsidR="00DE19CA" w:rsidRPr="004A4318" w:rsidRDefault="00DE19CA" w:rsidP="00DE19CA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In exercising any of the powers under the delegation, the officer must comply with any directions of the Treasurer.</w:t>
      </w:r>
    </w:p>
    <w:p w14:paraId="00FE232E" w14:textId="77777777" w:rsidR="00DE19CA" w:rsidRPr="004A4318" w:rsidRDefault="00DE19CA" w:rsidP="00DE19C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Regulations</w:t>
      </w:r>
    </w:p>
    <w:p w14:paraId="30983A82" w14:textId="529642FD" w:rsidR="00DE19CA" w:rsidRPr="004A4318" w:rsidRDefault="00DE19CA" w:rsidP="00DE19CA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6</w:t>
      </w:r>
      <w:r w:rsidRPr="00844EC6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The Governor-General may make regulations prescribing matters:</w:t>
      </w:r>
    </w:p>
    <w:p w14:paraId="5B0959CE" w14:textId="77777777" w:rsidR="00DE19CA" w:rsidRPr="004A4318" w:rsidRDefault="00DE19CA" w:rsidP="00DE19CA">
      <w:pPr>
        <w:tabs>
          <w:tab w:val="left" w:pos="73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required or permitted by this Act to be prescribed; or</w:t>
      </w:r>
    </w:p>
    <w:p w14:paraId="10C70B3E" w14:textId="77777777" w:rsidR="00DE19CA" w:rsidRPr="004A4318" w:rsidRDefault="00DE19CA" w:rsidP="00DE19CA">
      <w:pPr>
        <w:tabs>
          <w:tab w:val="left" w:pos="734"/>
        </w:tabs>
        <w:autoSpaceDE w:val="0"/>
        <w:autoSpaceDN w:val="0"/>
        <w:adjustRightInd w:val="0"/>
        <w:spacing w:before="120"/>
        <w:ind w:left="734" w:hanging="408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necessary or convenient to be prescribed for carrying out or giving effect to this Act.</w:t>
      </w:r>
    </w:p>
    <w:p w14:paraId="3F070BC3" w14:textId="6994C5FD" w:rsidR="00DE19CA" w:rsidRPr="0017217A" w:rsidRDefault="00DE19CA" w:rsidP="00844EC6">
      <w:pPr>
        <w:autoSpaceDE w:val="0"/>
        <w:autoSpaceDN w:val="0"/>
        <w:adjustRightInd w:val="0"/>
        <w:spacing w:before="240"/>
        <w:jc w:val="both"/>
        <w:rPr>
          <w:sz w:val="20"/>
          <w:szCs w:val="22"/>
        </w:rPr>
      </w:pPr>
      <w:r w:rsidRPr="0017217A">
        <w:rPr>
          <w:iCs/>
          <w:sz w:val="20"/>
          <w:szCs w:val="22"/>
        </w:rPr>
        <w:t>[</w:t>
      </w:r>
      <w:r w:rsidRPr="0017217A">
        <w:rPr>
          <w:i/>
          <w:iCs/>
          <w:sz w:val="20"/>
          <w:szCs w:val="22"/>
        </w:rPr>
        <w:t>Minister’s second reading speech made in</w:t>
      </w:r>
      <w:r w:rsidRPr="0017217A">
        <w:rPr>
          <w:sz w:val="20"/>
          <w:szCs w:val="22"/>
        </w:rPr>
        <w:t>—</w:t>
      </w:r>
      <w:bookmarkStart w:id="0" w:name="_GoBack"/>
      <w:bookmarkEnd w:id="0"/>
    </w:p>
    <w:p w14:paraId="0C5B0133" w14:textId="77777777" w:rsidR="00DE19CA" w:rsidRPr="0017217A" w:rsidRDefault="00DE19CA" w:rsidP="00C61BCD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17217A">
        <w:rPr>
          <w:i/>
          <w:iCs/>
          <w:sz w:val="20"/>
          <w:szCs w:val="22"/>
        </w:rPr>
        <w:t>House of Representatives on 15 November 1994</w:t>
      </w:r>
    </w:p>
    <w:p w14:paraId="1A49AE56" w14:textId="77777777" w:rsidR="00DC20DB" w:rsidRPr="0017217A" w:rsidRDefault="00DE19CA" w:rsidP="00C61BCD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17217A">
        <w:rPr>
          <w:i/>
          <w:iCs/>
          <w:sz w:val="20"/>
          <w:szCs w:val="22"/>
        </w:rPr>
        <w:t>Senate on 16 November 1994</w:t>
      </w:r>
      <w:r w:rsidR="00EF1473">
        <w:rPr>
          <w:iCs/>
          <w:sz w:val="20"/>
          <w:szCs w:val="22"/>
        </w:rPr>
        <w:t>]</w:t>
      </w:r>
    </w:p>
    <w:sectPr w:rsidR="00DC20DB" w:rsidRPr="0017217A" w:rsidSect="00657905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033A65" w15:done="0"/>
  <w15:commentEx w15:paraId="21B90034" w15:done="0"/>
  <w15:commentEx w15:paraId="07F6D0BC" w15:done="0"/>
  <w15:commentEx w15:paraId="4BACBF7E" w15:done="0"/>
  <w15:commentEx w15:paraId="0561E5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033A65" w16cid:durableId="211D0A64"/>
  <w16cid:commentId w16cid:paraId="21B90034" w16cid:durableId="211D0A74"/>
  <w16cid:commentId w16cid:paraId="07F6D0BC" w16cid:durableId="211D0A8C"/>
  <w16cid:commentId w16cid:paraId="4BACBF7E" w16cid:durableId="211D0A9B"/>
  <w16cid:commentId w16cid:paraId="0561E58E" w16cid:durableId="211D0A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0EFA0" w14:textId="77777777" w:rsidR="00A65090" w:rsidRDefault="00A65090">
      <w:r>
        <w:separator/>
      </w:r>
    </w:p>
  </w:endnote>
  <w:endnote w:type="continuationSeparator" w:id="0">
    <w:p w14:paraId="6741934F" w14:textId="77777777" w:rsidR="00A65090" w:rsidRDefault="00A6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C3131" w14:textId="77777777" w:rsidR="00A65090" w:rsidRDefault="00A65090">
      <w:r>
        <w:separator/>
      </w:r>
    </w:p>
  </w:footnote>
  <w:footnote w:type="continuationSeparator" w:id="0">
    <w:p w14:paraId="20855B88" w14:textId="77777777" w:rsidR="00A65090" w:rsidRDefault="00A6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7A43" w14:textId="77777777" w:rsidR="00C61BCD" w:rsidRDefault="00C61BCD" w:rsidP="003F571E">
    <w:pPr>
      <w:pStyle w:val="Header"/>
      <w:tabs>
        <w:tab w:val="clear" w:pos="4320"/>
        <w:tab w:val="center" w:pos="2430"/>
      </w:tabs>
      <w:jc w:val="center"/>
    </w:pPr>
    <w:r w:rsidRPr="004A4318">
      <w:rPr>
        <w:i/>
        <w:iCs/>
        <w:sz w:val="22"/>
        <w:szCs w:val="22"/>
      </w:rPr>
      <w:t xml:space="preserve">ANL Guarantee </w:t>
    </w:r>
    <w:r w:rsidR="003F571E">
      <w:rPr>
        <w:i/>
        <w:iCs/>
        <w:sz w:val="22"/>
        <w:szCs w:val="22"/>
      </w:rPr>
      <w:tab/>
    </w:r>
    <w:r w:rsidRPr="004A4318">
      <w:rPr>
        <w:i/>
        <w:iCs/>
        <w:sz w:val="22"/>
        <w:szCs w:val="22"/>
      </w:rPr>
      <w:t>No. 145,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CA"/>
    <w:rsid w:val="000B1A3B"/>
    <w:rsid w:val="00111309"/>
    <w:rsid w:val="0017217A"/>
    <w:rsid w:val="001C0037"/>
    <w:rsid w:val="00297CA1"/>
    <w:rsid w:val="0039649B"/>
    <w:rsid w:val="003F571E"/>
    <w:rsid w:val="00437345"/>
    <w:rsid w:val="004A1E14"/>
    <w:rsid w:val="00522A0B"/>
    <w:rsid w:val="00582DF8"/>
    <w:rsid w:val="005F24FB"/>
    <w:rsid w:val="00657905"/>
    <w:rsid w:val="00697913"/>
    <w:rsid w:val="00703976"/>
    <w:rsid w:val="007B5BED"/>
    <w:rsid w:val="00844EC6"/>
    <w:rsid w:val="009F099C"/>
    <w:rsid w:val="00A65090"/>
    <w:rsid w:val="00AA05EF"/>
    <w:rsid w:val="00B04543"/>
    <w:rsid w:val="00B36217"/>
    <w:rsid w:val="00B421ED"/>
    <w:rsid w:val="00C61BCD"/>
    <w:rsid w:val="00CA1489"/>
    <w:rsid w:val="00D06A09"/>
    <w:rsid w:val="00DC20DB"/>
    <w:rsid w:val="00DD36E7"/>
    <w:rsid w:val="00DE19CA"/>
    <w:rsid w:val="00E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AD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B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BC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7039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3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39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3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397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03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39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B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BC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7039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3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39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3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397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03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1778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2019-09-06T06:41:00Z</dcterms:created>
  <dcterms:modified xsi:type="dcterms:W3CDTF">2019-11-08T03:40:00Z</dcterms:modified>
</cp:coreProperties>
</file>