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AA774" w14:textId="77777777" w:rsidR="00837A41" w:rsidRPr="00837A41" w:rsidRDefault="008F4BC5" w:rsidP="00837A41">
      <w:pPr>
        <w:jc w:val="center"/>
        <w:rPr>
          <w:bCs/>
          <w:sz w:val="22"/>
          <w:szCs w:val="42"/>
        </w:rPr>
      </w:pPr>
      <w:bookmarkStart w:id="0" w:name="_GoBack"/>
      <w:r w:rsidRPr="00837A41">
        <w:rPr>
          <w:noProof/>
          <w:sz w:val="22"/>
          <w:szCs w:val="24"/>
          <w:lang w:val="en-AU" w:eastAsia="en-AU"/>
        </w:rPr>
        <w:drawing>
          <wp:inline distT="0" distB="0" distL="0" distR="0" wp14:anchorId="16F0DB5C" wp14:editId="37AA0506">
            <wp:extent cx="1457067" cy="1043796"/>
            <wp:effectExtent l="0" t="0" r="0" b="444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077" t="20004" r="10249" b="8763"/>
                    <a:stretch/>
                  </pic:blipFill>
                  <pic:spPr bwMode="auto">
                    <a:xfrm>
                      <a:off x="0" y="0"/>
                      <a:ext cx="1457946" cy="104442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1386EF99" w14:textId="77777777" w:rsidR="002F5AD0" w:rsidRPr="00837A41" w:rsidRDefault="002F5AD0" w:rsidP="00853700">
      <w:pPr>
        <w:spacing w:before="840"/>
        <w:ind w:left="1440" w:right="1440"/>
        <w:jc w:val="center"/>
        <w:rPr>
          <w:sz w:val="36"/>
        </w:rPr>
      </w:pPr>
      <w:r w:rsidRPr="00837A41">
        <w:rPr>
          <w:b/>
          <w:bCs/>
          <w:sz w:val="36"/>
          <w:szCs w:val="42"/>
        </w:rPr>
        <w:t>Appropriation (Parliamentary Departments) Act (No. 2) 1993-94</w:t>
      </w:r>
    </w:p>
    <w:p w14:paraId="3AA28DFC" w14:textId="77777777" w:rsidR="002F5AD0" w:rsidRPr="009C5886" w:rsidRDefault="002F5AD0" w:rsidP="009C5886">
      <w:pPr>
        <w:shd w:val="clear" w:color="auto" w:fill="FFFFFF"/>
        <w:spacing w:before="480"/>
        <w:jc w:val="center"/>
        <w:rPr>
          <w:sz w:val="26"/>
        </w:rPr>
      </w:pPr>
      <w:r w:rsidRPr="009C5886">
        <w:rPr>
          <w:b/>
          <w:bCs/>
          <w:sz w:val="26"/>
          <w:szCs w:val="28"/>
        </w:rPr>
        <w:t>No. 53 of 1994</w:t>
      </w:r>
    </w:p>
    <w:p w14:paraId="092DC861" w14:textId="77777777" w:rsidR="00E34D98" w:rsidRPr="00BD01F9" w:rsidRDefault="00E34D98" w:rsidP="006B0A89">
      <w:pPr>
        <w:pBdr>
          <w:bottom w:val="thickThinSmallGap" w:sz="12" w:space="1" w:color="auto"/>
        </w:pBdr>
        <w:shd w:val="clear" w:color="auto" w:fill="FFFFFF"/>
        <w:spacing w:before="600" w:after="720"/>
        <w:jc w:val="center"/>
      </w:pPr>
    </w:p>
    <w:p w14:paraId="3C6CDDD2" w14:textId="77777777" w:rsidR="002F5AD0" w:rsidRPr="00675023" w:rsidRDefault="002F5AD0" w:rsidP="009F102C">
      <w:pPr>
        <w:shd w:val="clear" w:color="auto" w:fill="FFFFFF"/>
        <w:jc w:val="center"/>
        <w:rPr>
          <w:sz w:val="26"/>
          <w:szCs w:val="26"/>
        </w:rPr>
      </w:pPr>
      <w:r w:rsidRPr="00675023">
        <w:rPr>
          <w:b/>
          <w:bCs/>
          <w:sz w:val="26"/>
          <w:szCs w:val="26"/>
        </w:rPr>
        <w:t xml:space="preserve">An Act to appropriate a sum out of the Consolidated Revenue Fund, additional to the sums appropriated by the </w:t>
      </w:r>
      <w:r w:rsidRPr="00675023">
        <w:rPr>
          <w:b/>
          <w:bCs/>
          <w:i/>
          <w:iCs/>
          <w:sz w:val="26"/>
          <w:szCs w:val="26"/>
        </w:rPr>
        <w:t xml:space="preserve">Appropriation (Parliamentary Departments) Act 1993-94, </w:t>
      </w:r>
      <w:r w:rsidRPr="00675023">
        <w:rPr>
          <w:b/>
          <w:bCs/>
          <w:sz w:val="26"/>
          <w:szCs w:val="26"/>
        </w:rPr>
        <w:t>for certain expenditure in relation to the Parliamentary Departments in respect of the year ending on 30 June 1994, and for related purposes</w:t>
      </w:r>
    </w:p>
    <w:p w14:paraId="37869E0D" w14:textId="77777777" w:rsidR="002F5AD0" w:rsidRPr="006B0A89" w:rsidRDefault="002F5AD0" w:rsidP="006B0A89">
      <w:pPr>
        <w:shd w:val="clear" w:color="auto" w:fill="FFFFFF"/>
        <w:spacing w:before="240"/>
        <w:jc w:val="right"/>
        <w:rPr>
          <w:sz w:val="24"/>
        </w:rPr>
      </w:pPr>
      <w:r w:rsidRPr="006B0A89">
        <w:rPr>
          <w:sz w:val="24"/>
          <w:szCs w:val="22"/>
        </w:rPr>
        <w:t>[</w:t>
      </w:r>
      <w:r w:rsidRPr="006B0A89">
        <w:rPr>
          <w:i/>
          <w:iCs/>
          <w:sz w:val="24"/>
          <w:szCs w:val="22"/>
        </w:rPr>
        <w:t>Assented to 7 April 1994</w:t>
      </w:r>
      <w:r w:rsidRPr="006B0A89">
        <w:rPr>
          <w:sz w:val="24"/>
          <w:szCs w:val="22"/>
        </w:rPr>
        <w:t>]</w:t>
      </w:r>
    </w:p>
    <w:p w14:paraId="426A2D9E" w14:textId="77777777" w:rsidR="002F5AD0" w:rsidRPr="006B0A89" w:rsidRDefault="002F5AD0" w:rsidP="00675023">
      <w:pPr>
        <w:shd w:val="clear" w:color="auto" w:fill="FFFFFF"/>
        <w:spacing w:before="120"/>
        <w:ind w:left="206"/>
        <w:jc w:val="both"/>
        <w:rPr>
          <w:sz w:val="22"/>
        </w:rPr>
      </w:pPr>
      <w:r w:rsidRPr="006B0A89">
        <w:rPr>
          <w:sz w:val="22"/>
          <w:szCs w:val="22"/>
        </w:rPr>
        <w:t>The Parliament of Australia enacts:</w:t>
      </w:r>
    </w:p>
    <w:p w14:paraId="7E64D884" w14:textId="77777777" w:rsidR="002F5AD0" w:rsidRPr="006B0A89" w:rsidRDefault="002F5AD0" w:rsidP="00675023">
      <w:pPr>
        <w:shd w:val="clear" w:color="auto" w:fill="FFFFFF"/>
        <w:spacing w:before="120" w:after="60"/>
        <w:ind w:left="24"/>
        <w:jc w:val="both"/>
        <w:rPr>
          <w:sz w:val="22"/>
        </w:rPr>
      </w:pPr>
      <w:r w:rsidRPr="006B0A89">
        <w:rPr>
          <w:b/>
          <w:bCs/>
          <w:sz w:val="22"/>
          <w:szCs w:val="22"/>
        </w:rPr>
        <w:t>Short title</w:t>
      </w:r>
    </w:p>
    <w:p w14:paraId="7DD34326" w14:textId="77777777" w:rsidR="002F5AD0" w:rsidRPr="006B0A89" w:rsidRDefault="002F5AD0" w:rsidP="006B0A89">
      <w:pPr>
        <w:shd w:val="clear" w:color="auto" w:fill="FFFFFF"/>
        <w:spacing w:before="120"/>
        <w:ind w:left="5" w:firstLine="192"/>
        <w:jc w:val="both"/>
        <w:rPr>
          <w:sz w:val="22"/>
        </w:rPr>
      </w:pPr>
      <w:r w:rsidRPr="006B0A89">
        <w:rPr>
          <w:b/>
          <w:bCs/>
          <w:sz w:val="22"/>
          <w:szCs w:val="22"/>
        </w:rPr>
        <w:t>1.</w:t>
      </w:r>
      <w:r w:rsidRPr="006B0A89">
        <w:rPr>
          <w:sz w:val="22"/>
          <w:szCs w:val="22"/>
        </w:rPr>
        <w:t xml:space="preserve"> This Act may be cited as the </w:t>
      </w:r>
      <w:r w:rsidRPr="006B0A89">
        <w:rPr>
          <w:i/>
          <w:iCs/>
          <w:sz w:val="22"/>
          <w:szCs w:val="22"/>
        </w:rPr>
        <w:t xml:space="preserve">Appropriation </w:t>
      </w:r>
      <w:r w:rsidRPr="006B0A89">
        <w:rPr>
          <w:sz w:val="22"/>
          <w:szCs w:val="22"/>
        </w:rPr>
        <w:t>(</w:t>
      </w:r>
      <w:r w:rsidRPr="006B0A89">
        <w:rPr>
          <w:i/>
          <w:iCs/>
          <w:sz w:val="22"/>
          <w:szCs w:val="22"/>
        </w:rPr>
        <w:t>Parliamentary Departments</w:t>
      </w:r>
      <w:r w:rsidRPr="006B0A89">
        <w:rPr>
          <w:sz w:val="22"/>
          <w:szCs w:val="22"/>
        </w:rPr>
        <w:t xml:space="preserve">) </w:t>
      </w:r>
      <w:r w:rsidRPr="006B0A89">
        <w:rPr>
          <w:i/>
          <w:iCs/>
          <w:sz w:val="22"/>
          <w:szCs w:val="22"/>
        </w:rPr>
        <w:t xml:space="preserve">Act </w:t>
      </w:r>
      <w:r w:rsidRPr="006B0A89">
        <w:rPr>
          <w:sz w:val="22"/>
          <w:szCs w:val="22"/>
        </w:rPr>
        <w:t>(</w:t>
      </w:r>
      <w:r w:rsidRPr="006B0A89">
        <w:rPr>
          <w:i/>
          <w:iCs/>
          <w:sz w:val="22"/>
          <w:szCs w:val="22"/>
        </w:rPr>
        <w:t>No. 2</w:t>
      </w:r>
      <w:r w:rsidRPr="006B0A89">
        <w:rPr>
          <w:sz w:val="22"/>
          <w:szCs w:val="22"/>
        </w:rPr>
        <w:t>)</w:t>
      </w:r>
      <w:r w:rsidRPr="006B0A89">
        <w:rPr>
          <w:i/>
          <w:iCs/>
          <w:sz w:val="22"/>
          <w:szCs w:val="22"/>
        </w:rPr>
        <w:t xml:space="preserve"> 1993-94.</w:t>
      </w:r>
    </w:p>
    <w:p w14:paraId="2CC40B1B" w14:textId="77777777" w:rsidR="002F5AD0" w:rsidRPr="006B0A89" w:rsidRDefault="002F5AD0" w:rsidP="00675023">
      <w:pPr>
        <w:shd w:val="clear" w:color="auto" w:fill="FFFFFF"/>
        <w:spacing w:before="120" w:after="60"/>
        <w:ind w:left="24"/>
        <w:jc w:val="both"/>
        <w:rPr>
          <w:sz w:val="22"/>
        </w:rPr>
      </w:pPr>
      <w:r w:rsidRPr="006B0A89">
        <w:rPr>
          <w:b/>
          <w:bCs/>
          <w:sz w:val="22"/>
          <w:szCs w:val="22"/>
        </w:rPr>
        <w:t>Commencement</w:t>
      </w:r>
    </w:p>
    <w:p w14:paraId="77EADFD9" w14:textId="77777777" w:rsidR="002F5AD0" w:rsidRPr="006B0A89" w:rsidRDefault="002F5AD0" w:rsidP="006B0A89">
      <w:pPr>
        <w:shd w:val="clear" w:color="auto" w:fill="FFFFFF"/>
        <w:spacing w:before="120"/>
        <w:ind w:left="182"/>
        <w:jc w:val="both"/>
        <w:rPr>
          <w:sz w:val="22"/>
        </w:rPr>
      </w:pPr>
      <w:r w:rsidRPr="006B0A89">
        <w:rPr>
          <w:b/>
          <w:bCs/>
          <w:sz w:val="22"/>
          <w:szCs w:val="22"/>
        </w:rPr>
        <w:t>2.</w:t>
      </w:r>
      <w:r w:rsidRPr="006B0A89">
        <w:rPr>
          <w:sz w:val="22"/>
          <w:szCs w:val="22"/>
        </w:rPr>
        <w:t xml:space="preserve"> This Act commences on the day on which it receives the Royal Assent.</w:t>
      </w:r>
    </w:p>
    <w:p w14:paraId="089A8E42" w14:textId="77777777" w:rsidR="002F5AD0" w:rsidRPr="006B0A89" w:rsidRDefault="002F5AD0" w:rsidP="00675023">
      <w:pPr>
        <w:shd w:val="clear" w:color="auto" w:fill="FFFFFF"/>
        <w:spacing w:before="120" w:after="60"/>
        <w:ind w:left="24"/>
        <w:jc w:val="both"/>
        <w:rPr>
          <w:sz w:val="22"/>
        </w:rPr>
      </w:pPr>
      <w:r w:rsidRPr="006B0A89">
        <w:rPr>
          <w:b/>
          <w:bCs/>
          <w:sz w:val="22"/>
          <w:szCs w:val="22"/>
        </w:rPr>
        <w:t xml:space="preserve">Issue and application of </w:t>
      </w:r>
      <w:r w:rsidRPr="006B0A89">
        <w:rPr>
          <w:sz w:val="22"/>
          <w:szCs w:val="22"/>
        </w:rPr>
        <w:t xml:space="preserve">$ </w:t>
      </w:r>
      <w:r w:rsidRPr="006B0A89">
        <w:rPr>
          <w:b/>
          <w:bCs/>
          <w:sz w:val="22"/>
          <w:szCs w:val="22"/>
        </w:rPr>
        <w:t>2 013 000</w:t>
      </w:r>
    </w:p>
    <w:p w14:paraId="2C50285C" w14:textId="77777777" w:rsidR="002F5AD0" w:rsidRPr="006B0A89" w:rsidRDefault="002F5AD0" w:rsidP="006B0A89">
      <w:pPr>
        <w:shd w:val="clear" w:color="auto" w:fill="FFFFFF"/>
        <w:spacing w:before="120"/>
        <w:ind w:firstLine="178"/>
        <w:jc w:val="both"/>
        <w:rPr>
          <w:sz w:val="22"/>
        </w:rPr>
      </w:pPr>
      <w:r w:rsidRPr="006B0A89">
        <w:rPr>
          <w:b/>
          <w:bCs/>
          <w:sz w:val="22"/>
          <w:szCs w:val="22"/>
        </w:rPr>
        <w:t xml:space="preserve">3. </w:t>
      </w:r>
      <w:r w:rsidRPr="006B0A89">
        <w:rPr>
          <w:sz w:val="22"/>
          <w:szCs w:val="22"/>
        </w:rPr>
        <w:t>The Minister may issue out of the Consolidated Revenue Fund and apply for the services specified in the Schedule, in respect of the year ending on 30 June 1994, the sum of $ 2 013 000.</w:t>
      </w:r>
    </w:p>
    <w:p w14:paraId="1A29159C" w14:textId="77777777" w:rsidR="002F5AD0" w:rsidRPr="00B87A0A" w:rsidRDefault="002F5AD0" w:rsidP="006B0A89">
      <w:pPr>
        <w:shd w:val="clear" w:color="auto" w:fill="FFFFFF"/>
        <w:spacing w:before="120"/>
        <w:jc w:val="both"/>
      </w:pPr>
      <w:r w:rsidRPr="00B87A0A">
        <w:rPr>
          <w:szCs w:val="18"/>
        </w:rPr>
        <w:t>53753 Cat. No. 94 4348 3</w:t>
      </w:r>
    </w:p>
    <w:p w14:paraId="352EC063" w14:textId="77777777" w:rsidR="002F5AD0" w:rsidRPr="006B0A89" w:rsidRDefault="00837A41" w:rsidP="00675023">
      <w:pPr>
        <w:shd w:val="clear" w:color="auto" w:fill="FFFFFF"/>
        <w:spacing w:before="120" w:after="60"/>
        <w:ind w:left="24"/>
        <w:jc w:val="both"/>
        <w:rPr>
          <w:sz w:val="22"/>
        </w:rPr>
      </w:pPr>
      <w:r w:rsidRPr="006B0A89">
        <w:rPr>
          <w:sz w:val="22"/>
        </w:rPr>
        <w:br w:type="page"/>
      </w:r>
      <w:r w:rsidR="002F5AD0" w:rsidRPr="006B0A89">
        <w:rPr>
          <w:b/>
          <w:bCs/>
          <w:sz w:val="22"/>
          <w:szCs w:val="22"/>
        </w:rPr>
        <w:lastRenderedPageBreak/>
        <w:t>Appropriation of $2 013 000</w:t>
      </w:r>
    </w:p>
    <w:p w14:paraId="5D977113" w14:textId="77777777" w:rsidR="002F5AD0" w:rsidRPr="006B0A89" w:rsidRDefault="002F5AD0" w:rsidP="006B0A89">
      <w:pPr>
        <w:shd w:val="clear" w:color="auto" w:fill="FFFFFF"/>
        <w:spacing w:before="120"/>
        <w:ind w:left="5" w:firstLine="178"/>
        <w:jc w:val="both"/>
        <w:rPr>
          <w:sz w:val="22"/>
        </w:rPr>
      </w:pPr>
      <w:r w:rsidRPr="006B0A89">
        <w:rPr>
          <w:b/>
          <w:bCs/>
          <w:sz w:val="22"/>
          <w:szCs w:val="22"/>
        </w:rPr>
        <w:t xml:space="preserve">4. </w:t>
      </w:r>
      <w:r w:rsidRPr="006B0A89">
        <w:rPr>
          <w:sz w:val="22"/>
          <w:szCs w:val="22"/>
        </w:rPr>
        <w:t>The sum authorised by this Act to be issued out of the Consolidated Revenue Fund is appropriated, and is taken to have been appropriated as from 1 July 1993, for the services specified in the Schedule in respect of the year that commenced on that day.</w:t>
      </w:r>
    </w:p>
    <w:p w14:paraId="15D9E150" w14:textId="77777777" w:rsidR="002F5AD0" w:rsidRPr="006B0A89" w:rsidRDefault="002F5AD0" w:rsidP="00675023">
      <w:pPr>
        <w:shd w:val="clear" w:color="auto" w:fill="FFFFFF"/>
        <w:spacing w:before="120" w:after="60"/>
        <w:ind w:left="24"/>
        <w:jc w:val="both"/>
        <w:rPr>
          <w:sz w:val="22"/>
        </w:rPr>
      </w:pPr>
      <w:r w:rsidRPr="006B0A89">
        <w:rPr>
          <w:b/>
          <w:bCs/>
          <w:sz w:val="22"/>
          <w:szCs w:val="22"/>
        </w:rPr>
        <w:t>Additional appropriation in respect of increases in salaries</w:t>
      </w:r>
    </w:p>
    <w:p w14:paraId="62A573C1" w14:textId="77777777" w:rsidR="002F5AD0" w:rsidRPr="006B0A89" w:rsidRDefault="002F5AD0" w:rsidP="006B0A89">
      <w:pPr>
        <w:shd w:val="clear" w:color="auto" w:fill="FFFFFF"/>
        <w:spacing w:before="120"/>
        <w:ind w:left="5" w:firstLine="178"/>
        <w:jc w:val="both"/>
        <w:rPr>
          <w:sz w:val="22"/>
        </w:rPr>
      </w:pPr>
      <w:r w:rsidRPr="006B0A89">
        <w:rPr>
          <w:b/>
          <w:bCs/>
          <w:sz w:val="22"/>
          <w:szCs w:val="22"/>
        </w:rPr>
        <w:t>5.</w:t>
      </w:r>
      <w:r w:rsidRPr="006B0A89">
        <w:rPr>
          <w:sz w:val="22"/>
          <w:szCs w:val="22"/>
        </w:rPr>
        <w:t xml:space="preserve"> Section 5 of the </w:t>
      </w:r>
      <w:r w:rsidRPr="006B0A89">
        <w:rPr>
          <w:i/>
          <w:iCs/>
          <w:sz w:val="22"/>
          <w:szCs w:val="22"/>
        </w:rPr>
        <w:t xml:space="preserve">Appropriation (Parliamentary Departments) Act 1993-94 </w:t>
      </w:r>
      <w:r w:rsidRPr="006B0A89">
        <w:rPr>
          <w:sz w:val="22"/>
          <w:szCs w:val="22"/>
        </w:rPr>
        <w:t>has effect, on and from the commencement of this Act, as if any reference in that section to Schedule 2 to that Act included a refere</w:t>
      </w:r>
      <w:r w:rsidR="00B87A0A">
        <w:rPr>
          <w:sz w:val="22"/>
          <w:szCs w:val="22"/>
        </w:rPr>
        <w:t>nce to the Schedule to this Act</w:t>
      </w:r>
      <w:r w:rsidRPr="006B0A89">
        <w:rPr>
          <w:sz w:val="22"/>
          <w:szCs w:val="22"/>
        </w:rPr>
        <w:t>.</w:t>
      </w:r>
    </w:p>
    <w:p w14:paraId="0056AE13" w14:textId="77777777" w:rsidR="002F5AD0" w:rsidRPr="006B0A89" w:rsidRDefault="002F5AD0" w:rsidP="00675023">
      <w:pPr>
        <w:shd w:val="clear" w:color="auto" w:fill="FFFFFF"/>
        <w:spacing w:before="120" w:after="60"/>
        <w:ind w:left="24"/>
        <w:jc w:val="both"/>
        <w:rPr>
          <w:sz w:val="22"/>
        </w:rPr>
      </w:pPr>
      <w:r w:rsidRPr="006B0A89">
        <w:rPr>
          <w:b/>
          <w:bCs/>
          <w:sz w:val="22"/>
          <w:szCs w:val="22"/>
        </w:rPr>
        <w:t>Net annotated appropriations</w:t>
      </w:r>
    </w:p>
    <w:p w14:paraId="1860C527" w14:textId="77777777" w:rsidR="002F5AD0" w:rsidRPr="006B0A89" w:rsidRDefault="002F5AD0" w:rsidP="006B0A89">
      <w:pPr>
        <w:shd w:val="clear" w:color="auto" w:fill="FFFFFF"/>
        <w:spacing w:before="120"/>
        <w:ind w:firstLine="182"/>
        <w:jc w:val="both"/>
        <w:rPr>
          <w:sz w:val="22"/>
        </w:rPr>
      </w:pPr>
      <w:r w:rsidRPr="006B0A89">
        <w:rPr>
          <w:b/>
          <w:bCs/>
          <w:sz w:val="22"/>
          <w:szCs w:val="22"/>
        </w:rPr>
        <w:t>6.</w:t>
      </w:r>
      <w:r w:rsidRPr="006B0A89">
        <w:rPr>
          <w:sz w:val="22"/>
          <w:szCs w:val="22"/>
        </w:rPr>
        <w:t xml:space="preserve"> (1) If the description of the purpose of an appropriation set out in an item, subdivision or Division in the Schedule includes the words </w:t>
      </w:r>
      <w:r w:rsidR="00A6453F" w:rsidRPr="006B0A89">
        <w:rPr>
          <w:sz w:val="22"/>
          <w:szCs w:val="22"/>
        </w:rPr>
        <w:t>“</w:t>
      </w:r>
      <w:r w:rsidRPr="006B0A89">
        <w:rPr>
          <w:sz w:val="22"/>
          <w:szCs w:val="22"/>
        </w:rPr>
        <w:t xml:space="preserve">(net appropriation </w:t>
      </w:r>
      <w:r w:rsidRPr="006B0A89">
        <w:rPr>
          <w:rFonts w:eastAsia="Times New Roman"/>
          <w:sz w:val="22"/>
          <w:szCs w:val="22"/>
        </w:rPr>
        <w:t>— see section 6)</w:t>
      </w:r>
      <w:r w:rsidR="00A6453F" w:rsidRPr="006B0A89">
        <w:rPr>
          <w:rFonts w:eastAsia="Times New Roman"/>
          <w:sz w:val="22"/>
          <w:szCs w:val="22"/>
        </w:rPr>
        <w:t>”</w:t>
      </w:r>
      <w:r w:rsidRPr="006B0A89">
        <w:rPr>
          <w:rFonts w:eastAsia="Times New Roman"/>
          <w:sz w:val="22"/>
          <w:szCs w:val="22"/>
        </w:rPr>
        <w:t xml:space="preserve">, that Schedule is taken, for the purposes of this Act and the </w:t>
      </w:r>
      <w:r w:rsidRPr="006B0A89">
        <w:rPr>
          <w:rFonts w:eastAsia="Times New Roman"/>
          <w:i/>
          <w:iCs/>
          <w:sz w:val="22"/>
          <w:szCs w:val="22"/>
        </w:rPr>
        <w:t xml:space="preserve">Audit Act 1901, </w:t>
      </w:r>
      <w:r w:rsidRPr="006B0A89">
        <w:rPr>
          <w:rFonts w:eastAsia="Times New Roman"/>
          <w:sz w:val="22"/>
          <w:szCs w:val="22"/>
        </w:rPr>
        <w:t>to provide that any money received:</w:t>
      </w:r>
    </w:p>
    <w:p w14:paraId="53783020" w14:textId="77777777" w:rsidR="002F5AD0" w:rsidRPr="006B0A89" w:rsidRDefault="002F5AD0" w:rsidP="006B0A89">
      <w:pPr>
        <w:numPr>
          <w:ilvl w:val="0"/>
          <w:numId w:val="1"/>
        </w:numPr>
        <w:shd w:val="clear" w:color="auto" w:fill="FFFFFF"/>
        <w:tabs>
          <w:tab w:val="left" w:pos="547"/>
        </w:tabs>
        <w:spacing w:before="120"/>
        <w:ind w:left="547" w:hanging="346"/>
        <w:jc w:val="both"/>
        <w:rPr>
          <w:sz w:val="22"/>
          <w:szCs w:val="22"/>
        </w:rPr>
      </w:pPr>
      <w:r w:rsidRPr="006B0A89">
        <w:rPr>
          <w:sz w:val="22"/>
          <w:szCs w:val="22"/>
        </w:rPr>
        <w:t>from the sale, leasing or hiring out of, or other dealing with, goods or personal property; or</w:t>
      </w:r>
    </w:p>
    <w:p w14:paraId="44DB245B" w14:textId="77777777" w:rsidR="002F5AD0" w:rsidRPr="006B0A89" w:rsidRDefault="002F5AD0" w:rsidP="006B0A89">
      <w:pPr>
        <w:numPr>
          <w:ilvl w:val="0"/>
          <w:numId w:val="1"/>
        </w:numPr>
        <w:shd w:val="clear" w:color="auto" w:fill="FFFFFF"/>
        <w:tabs>
          <w:tab w:val="left" w:pos="547"/>
        </w:tabs>
        <w:spacing w:before="120"/>
        <w:ind w:left="547" w:hanging="346"/>
        <w:jc w:val="both"/>
        <w:rPr>
          <w:sz w:val="22"/>
          <w:szCs w:val="22"/>
        </w:rPr>
      </w:pPr>
      <w:r w:rsidRPr="006B0A89">
        <w:rPr>
          <w:sz w:val="22"/>
          <w:szCs w:val="22"/>
        </w:rPr>
        <w:t>from the sale of real property used for the purpose of providing staff residential accommodation or from the leasing of real property for that purpose; or</w:t>
      </w:r>
    </w:p>
    <w:p w14:paraId="260E9638" w14:textId="77777777" w:rsidR="002F5AD0" w:rsidRPr="006B0A89" w:rsidRDefault="002F5AD0" w:rsidP="006B0A89">
      <w:pPr>
        <w:numPr>
          <w:ilvl w:val="0"/>
          <w:numId w:val="2"/>
        </w:numPr>
        <w:shd w:val="clear" w:color="auto" w:fill="FFFFFF"/>
        <w:tabs>
          <w:tab w:val="left" w:pos="547"/>
        </w:tabs>
        <w:spacing w:before="120"/>
        <w:ind w:left="202"/>
        <w:jc w:val="both"/>
        <w:rPr>
          <w:sz w:val="22"/>
          <w:szCs w:val="22"/>
        </w:rPr>
      </w:pPr>
      <w:r w:rsidRPr="006B0A89">
        <w:rPr>
          <w:sz w:val="22"/>
          <w:szCs w:val="22"/>
        </w:rPr>
        <w:t>from the provision of services; or</w:t>
      </w:r>
    </w:p>
    <w:p w14:paraId="18A5B00C" w14:textId="77777777" w:rsidR="002F5AD0" w:rsidRPr="006B0A89" w:rsidRDefault="002F5AD0" w:rsidP="006B0A89">
      <w:pPr>
        <w:numPr>
          <w:ilvl w:val="0"/>
          <w:numId w:val="1"/>
        </w:numPr>
        <w:shd w:val="clear" w:color="auto" w:fill="FFFFFF"/>
        <w:tabs>
          <w:tab w:val="left" w:pos="547"/>
        </w:tabs>
        <w:spacing w:before="120"/>
        <w:ind w:left="547" w:hanging="346"/>
        <w:jc w:val="both"/>
        <w:rPr>
          <w:sz w:val="22"/>
          <w:szCs w:val="22"/>
        </w:rPr>
      </w:pPr>
      <w:r w:rsidRPr="006B0A89">
        <w:rPr>
          <w:sz w:val="22"/>
          <w:szCs w:val="22"/>
        </w:rPr>
        <w:t xml:space="preserve">from a person </w:t>
      </w:r>
      <w:r w:rsidRPr="006B0A89">
        <w:rPr>
          <w:b/>
          <w:bCs/>
          <w:sz w:val="22"/>
          <w:szCs w:val="22"/>
        </w:rPr>
        <w:t>(</w:t>
      </w:r>
      <w:r w:rsidR="00A6453F" w:rsidRPr="006B0A89">
        <w:rPr>
          <w:b/>
          <w:bCs/>
          <w:sz w:val="22"/>
          <w:szCs w:val="22"/>
        </w:rPr>
        <w:t>“</w:t>
      </w:r>
      <w:r w:rsidRPr="006B0A89">
        <w:rPr>
          <w:b/>
          <w:bCs/>
          <w:sz w:val="22"/>
          <w:szCs w:val="22"/>
        </w:rPr>
        <w:t>employee</w:t>
      </w:r>
      <w:r w:rsidR="00A6453F" w:rsidRPr="006B0A89">
        <w:rPr>
          <w:b/>
          <w:bCs/>
          <w:sz w:val="22"/>
          <w:szCs w:val="22"/>
        </w:rPr>
        <w:t>”</w:t>
      </w:r>
      <w:r w:rsidRPr="006B0A89">
        <w:rPr>
          <w:b/>
          <w:bCs/>
          <w:sz w:val="22"/>
          <w:szCs w:val="22"/>
        </w:rPr>
        <w:t xml:space="preserve">) </w:t>
      </w:r>
      <w:r w:rsidRPr="006B0A89">
        <w:rPr>
          <w:sz w:val="22"/>
          <w:szCs w:val="22"/>
        </w:rPr>
        <w:t>appointed or employed by, or performing services for, the Commonwealth as payment for any benefit provided (whether to the employee or another person) in respect of the appointment or employment of, or the services performed by, the employee;</w:t>
      </w:r>
    </w:p>
    <w:p w14:paraId="275F7DB3" w14:textId="77777777" w:rsidR="002F5AD0" w:rsidRPr="006B0A89" w:rsidRDefault="002F5AD0" w:rsidP="006B0A89">
      <w:pPr>
        <w:shd w:val="clear" w:color="auto" w:fill="FFFFFF"/>
        <w:spacing w:before="120"/>
        <w:ind w:left="10"/>
        <w:jc w:val="both"/>
        <w:rPr>
          <w:sz w:val="22"/>
        </w:rPr>
      </w:pPr>
      <w:r w:rsidRPr="006B0A89">
        <w:rPr>
          <w:sz w:val="22"/>
          <w:szCs w:val="22"/>
        </w:rPr>
        <w:t>may be credited to that item, subdivision or Division, to such extent as is, and on such conditions as are, agreed between the Minister and the Presiding Officer or Presiding Officers responsible for the Department for which the appropriation is made.</w:t>
      </w:r>
    </w:p>
    <w:p w14:paraId="1565FE7E" w14:textId="77777777" w:rsidR="002F5AD0" w:rsidRPr="006B0A89" w:rsidRDefault="00837A41" w:rsidP="006B0A89">
      <w:pPr>
        <w:shd w:val="clear" w:color="auto" w:fill="FFFFFF"/>
        <w:spacing w:before="120"/>
        <w:ind w:left="5" w:firstLine="187"/>
        <w:jc w:val="both"/>
        <w:rPr>
          <w:sz w:val="22"/>
        </w:rPr>
      </w:pPr>
      <w:r w:rsidRPr="006B0A89">
        <w:rPr>
          <w:sz w:val="22"/>
        </w:rPr>
        <w:br w:type="page"/>
      </w:r>
      <w:r w:rsidR="002F5AD0" w:rsidRPr="006B0A89">
        <w:rPr>
          <w:b/>
          <w:bCs/>
          <w:sz w:val="22"/>
          <w:szCs w:val="22"/>
        </w:rPr>
        <w:lastRenderedPageBreak/>
        <w:t>(2)</w:t>
      </w:r>
      <w:r w:rsidR="002F5AD0" w:rsidRPr="006B0A89">
        <w:rPr>
          <w:sz w:val="22"/>
          <w:szCs w:val="22"/>
        </w:rPr>
        <w:t xml:space="preserve"> If the Consolidated Revenue Fund is credited with an amount purported to have been paid in respect of:</w:t>
      </w:r>
    </w:p>
    <w:p w14:paraId="04E0DFAD" w14:textId="77777777" w:rsidR="002F5AD0" w:rsidRPr="006B0A89" w:rsidRDefault="002F5AD0" w:rsidP="006B0A89">
      <w:pPr>
        <w:numPr>
          <w:ilvl w:val="0"/>
          <w:numId w:val="3"/>
        </w:numPr>
        <w:shd w:val="clear" w:color="auto" w:fill="FFFFFF"/>
        <w:tabs>
          <w:tab w:val="left" w:pos="547"/>
        </w:tabs>
        <w:spacing w:before="120"/>
        <w:ind w:left="187"/>
        <w:jc w:val="both"/>
        <w:rPr>
          <w:sz w:val="22"/>
          <w:szCs w:val="22"/>
        </w:rPr>
      </w:pPr>
      <w:r w:rsidRPr="006B0A89">
        <w:rPr>
          <w:sz w:val="22"/>
          <w:szCs w:val="22"/>
        </w:rPr>
        <w:t>a sale, or other transaction, referred to in paragraph (1)(a) or (b); or</w:t>
      </w:r>
    </w:p>
    <w:p w14:paraId="41F1904B" w14:textId="77777777" w:rsidR="002F5AD0" w:rsidRPr="006B0A89" w:rsidRDefault="002F5AD0" w:rsidP="006B0A89">
      <w:pPr>
        <w:numPr>
          <w:ilvl w:val="0"/>
          <w:numId w:val="3"/>
        </w:numPr>
        <w:shd w:val="clear" w:color="auto" w:fill="FFFFFF"/>
        <w:tabs>
          <w:tab w:val="left" w:pos="547"/>
        </w:tabs>
        <w:spacing w:before="120"/>
        <w:ind w:left="187"/>
        <w:jc w:val="both"/>
        <w:rPr>
          <w:sz w:val="22"/>
          <w:szCs w:val="22"/>
        </w:rPr>
      </w:pPr>
      <w:r w:rsidRPr="006B0A89">
        <w:rPr>
          <w:sz w:val="22"/>
          <w:szCs w:val="22"/>
        </w:rPr>
        <w:t>the provision of services; or</w:t>
      </w:r>
    </w:p>
    <w:p w14:paraId="6B3959AC" w14:textId="77777777" w:rsidR="002F5AD0" w:rsidRPr="006B0A89" w:rsidRDefault="002F5AD0" w:rsidP="006B0A89">
      <w:pPr>
        <w:numPr>
          <w:ilvl w:val="0"/>
          <w:numId w:val="3"/>
        </w:numPr>
        <w:shd w:val="clear" w:color="auto" w:fill="FFFFFF"/>
        <w:tabs>
          <w:tab w:val="left" w:pos="547"/>
        </w:tabs>
        <w:spacing w:before="120"/>
        <w:ind w:left="187"/>
        <w:jc w:val="both"/>
        <w:rPr>
          <w:sz w:val="22"/>
          <w:szCs w:val="22"/>
        </w:rPr>
      </w:pPr>
      <w:r w:rsidRPr="006B0A89">
        <w:rPr>
          <w:sz w:val="22"/>
          <w:szCs w:val="22"/>
        </w:rPr>
        <w:t>any benefit referred to in paragraph (1)(d);</w:t>
      </w:r>
    </w:p>
    <w:p w14:paraId="1231FFD1" w14:textId="77777777" w:rsidR="002F5AD0" w:rsidRPr="006B0A89" w:rsidRDefault="0012431E" w:rsidP="006B0A89">
      <w:pPr>
        <w:shd w:val="clear" w:color="auto" w:fill="FFFFFF"/>
        <w:spacing w:before="120"/>
        <w:jc w:val="both"/>
        <w:rPr>
          <w:sz w:val="22"/>
        </w:rPr>
      </w:pPr>
      <w:r>
        <w:rPr>
          <w:noProof/>
          <w:sz w:val="22"/>
          <w:szCs w:val="22"/>
          <w:lang w:val="en-AU" w:eastAsia="en-AU"/>
        </w:rPr>
        <mc:AlternateContent>
          <mc:Choice Requires="wps">
            <w:drawing>
              <wp:anchor distT="0" distB="0" distL="114300" distR="114300" simplePos="0" relativeHeight="251659264" behindDoc="0" locked="0" layoutInCell="1" allowOverlap="1" wp14:anchorId="1F2EC3A1" wp14:editId="6013C184">
                <wp:simplePos x="0" y="0"/>
                <wp:positionH relativeFrom="column">
                  <wp:posOffset>2242868</wp:posOffset>
                </wp:positionH>
                <wp:positionV relativeFrom="paragraph">
                  <wp:posOffset>1521544</wp:posOffset>
                </wp:positionV>
                <wp:extent cx="1449238"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44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C2DE6E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6pt,119.8pt" to="290.7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mtAEAALcDAAAOAAAAZHJzL2Uyb0RvYy54bWysU8GO0zAQvSPxD5bvNGmpEERN99AVXBBU&#10;LHyA1xk3FrbHGpum/XvGbptFgBBCXByP/d6beePJ5u7knTgCJYuhl8tFKwUEjYMNh15++fz2xW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crtdvVi95GvTtrnkiRkr5&#10;HaAXZdNLZ0OxrTp1fJ8yJ2PoDcJBKeSSuu7y2UEBu/AJDFspySq7DhHsHImj4ucfvi6LDdaqyEIx&#10;1rmZ1P6ZdMUWGtTB+lvijK4ZMeSZ6G1A+l3WfLqVai74m+uL12L7EYdzfYjaDp6O6uw6yWX8fowr&#10;/el/234HAAD//wMAUEsDBBQABgAIAAAAIQBZ/27z4AAAAAsBAAAPAAAAZHJzL2Rvd25yZXYueG1s&#10;TI/BToNAEIbvJr7DZky82aVgW0SWpql6sgekPXjcsiOQsrOE3QL69K5Jk3qcmS//fH+6nnTLBuxt&#10;Y0jAfBYAQyqNaqgScNi/PcTArJOkZGsIBXyjhXV2e5PKRJmRPnAoXMV8CNlECqid6xLObVmjlnZm&#10;OiR/+zK9ls6PfcVVL0cfrlseBsGSa9mQ/1DLDrc1lqfirAWsXt+LvBtfdj85X/E8H4yLT59C3N9N&#10;m2dgDid3heFP36tD5p2O5kzKslZAtIhCjwoIo6clME8s4vkjsONlw7OU/++Q/QIAAP//AwBQSwEC&#10;LQAUAAYACAAAACEAtoM4kv4AAADhAQAAEwAAAAAAAAAAAAAAAAAAAAAAW0NvbnRlbnRfVHlwZXNd&#10;LnhtbFBLAQItABQABgAIAAAAIQA4/SH/1gAAAJQBAAALAAAAAAAAAAAAAAAAAC8BAABfcmVscy8u&#10;cmVsc1BLAQItABQABgAIAAAAIQBx+ZpmtAEAALcDAAAOAAAAAAAAAAAAAAAAAC4CAABkcnMvZTJv&#10;RG9jLnhtbFBLAQItABQABgAIAAAAIQBZ/27z4AAAAAsBAAAPAAAAAAAAAAAAAAAAAA4EAABkcnMv&#10;ZG93bnJldi54bWxQSwUGAAAAAAQABADzAAAAGwUAAAAA&#10;" strokecolor="black [3040]"/>
            </w:pict>
          </mc:Fallback>
        </mc:AlternateContent>
      </w:r>
      <w:r w:rsidR="002F5AD0" w:rsidRPr="006B0A89">
        <w:rPr>
          <w:sz w:val="22"/>
          <w:szCs w:val="22"/>
        </w:rPr>
        <w:t>that amount is taken, for the purposes of subsection (1), to be money received from that sale or other transaction or from the provision of those services or as payment for that benefit (as the case may be), whether or not money has in fact been received in payment of that amount.</w:t>
      </w:r>
    </w:p>
    <w:p w14:paraId="232FB0CC" w14:textId="77777777" w:rsidR="0012431E" w:rsidRDefault="0012431E" w:rsidP="003442DF">
      <w:pPr>
        <w:shd w:val="clear" w:color="auto" w:fill="FFFFFF"/>
        <w:tabs>
          <w:tab w:val="left" w:pos="3870"/>
        </w:tabs>
        <w:jc w:val="right"/>
        <w:sectPr w:rsidR="0012431E" w:rsidSect="0012431E">
          <w:headerReference w:type="even" r:id="rId9"/>
          <w:headerReference w:type="default" r:id="rId10"/>
          <w:pgSz w:w="11909" w:h="16834"/>
          <w:pgMar w:top="1440" w:right="1440" w:bottom="1440" w:left="1440" w:header="720" w:footer="720" w:gutter="0"/>
          <w:cols w:space="720"/>
          <w:noEndnote/>
          <w:titlePg/>
          <w:docGrid w:linePitch="272"/>
        </w:sectPr>
      </w:pPr>
    </w:p>
    <w:p w14:paraId="779E3A9A" w14:textId="77777777" w:rsidR="002F5AD0" w:rsidRPr="00837A41" w:rsidRDefault="00837A41" w:rsidP="003442DF">
      <w:pPr>
        <w:shd w:val="clear" w:color="auto" w:fill="FFFFFF"/>
        <w:tabs>
          <w:tab w:val="left" w:pos="3870"/>
        </w:tabs>
        <w:jc w:val="right"/>
      </w:pPr>
      <w:r w:rsidRPr="00837A41">
        <w:br w:type="page"/>
      </w:r>
      <w:r w:rsidR="002F5AD0" w:rsidRPr="00837A41">
        <w:rPr>
          <w:b/>
          <w:bCs/>
          <w:sz w:val="24"/>
          <w:szCs w:val="24"/>
        </w:rPr>
        <w:t>SCHEDULE</w:t>
      </w:r>
      <w:r w:rsidR="003442DF">
        <w:rPr>
          <w:b/>
          <w:bCs/>
          <w:sz w:val="24"/>
          <w:szCs w:val="24"/>
        </w:rPr>
        <w:tab/>
      </w:r>
      <w:r w:rsidR="002F5AD0" w:rsidRPr="00837A41">
        <w:rPr>
          <w:szCs w:val="18"/>
        </w:rPr>
        <w:t>Sections 3 and 4</w:t>
      </w:r>
    </w:p>
    <w:p w14:paraId="0C3B2481" w14:textId="77777777" w:rsidR="002F5AD0" w:rsidRPr="003442DF" w:rsidRDefault="002F5AD0" w:rsidP="003442DF">
      <w:pPr>
        <w:shd w:val="clear" w:color="auto" w:fill="FFFFFF"/>
        <w:spacing w:before="120" w:after="120"/>
        <w:jc w:val="center"/>
      </w:pPr>
      <w:r w:rsidRPr="003442DF">
        <w:rPr>
          <w:b/>
          <w:bCs/>
          <w:szCs w:val="24"/>
        </w:rPr>
        <w:t>ABSTRACT</w:t>
      </w:r>
    </w:p>
    <w:p w14:paraId="53F41465" w14:textId="77777777" w:rsidR="002F5AD0" w:rsidRPr="00837A41" w:rsidRDefault="002F5AD0" w:rsidP="00837A41">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08"/>
        <w:gridCol w:w="6719"/>
        <w:gridCol w:w="1482"/>
      </w:tblGrid>
      <w:tr w:rsidR="002F5AD0" w:rsidRPr="00837A41" w14:paraId="01CD459E" w14:textId="77777777" w:rsidTr="00D84C45">
        <w:trPr>
          <w:trHeight w:val="561"/>
          <w:jc w:val="center"/>
        </w:trPr>
        <w:tc>
          <w:tcPr>
            <w:tcW w:w="900" w:type="dxa"/>
            <w:tcBorders>
              <w:top w:val="single" w:sz="6" w:space="0" w:color="auto"/>
              <w:left w:val="nil"/>
              <w:bottom w:val="single" w:sz="6" w:space="0" w:color="auto"/>
              <w:right w:val="nil"/>
            </w:tcBorders>
            <w:shd w:val="clear" w:color="auto" w:fill="FFFFFF"/>
            <w:vAlign w:val="bottom"/>
          </w:tcPr>
          <w:p w14:paraId="55BF54FC" w14:textId="77777777" w:rsidR="002F5AD0" w:rsidRPr="00837A41" w:rsidRDefault="002F5AD0" w:rsidP="007F3B30">
            <w:pPr>
              <w:shd w:val="clear" w:color="auto" w:fill="FFFFFF"/>
              <w:spacing w:after="60"/>
              <w:jc w:val="both"/>
            </w:pPr>
            <w:r w:rsidRPr="00837A41">
              <w:rPr>
                <w:szCs w:val="18"/>
              </w:rPr>
              <w:t>Page Reference</w:t>
            </w:r>
          </w:p>
        </w:tc>
        <w:tc>
          <w:tcPr>
            <w:tcW w:w="6660" w:type="dxa"/>
            <w:tcBorders>
              <w:top w:val="single" w:sz="6" w:space="0" w:color="auto"/>
              <w:left w:val="nil"/>
              <w:bottom w:val="single" w:sz="6" w:space="0" w:color="auto"/>
              <w:right w:val="nil"/>
            </w:tcBorders>
            <w:shd w:val="clear" w:color="auto" w:fill="FFFFFF"/>
            <w:vAlign w:val="bottom"/>
          </w:tcPr>
          <w:p w14:paraId="282C2FC6" w14:textId="77777777" w:rsidR="002F5AD0" w:rsidRPr="00837A41" w:rsidRDefault="002F5AD0" w:rsidP="00D84C45">
            <w:pPr>
              <w:shd w:val="clear" w:color="auto" w:fill="FFFFFF"/>
              <w:tabs>
                <w:tab w:val="left" w:leader="dot" w:pos="6480"/>
              </w:tabs>
              <w:spacing w:after="60"/>
              <w:jc w:val="center"/>
            </w:pPr>
            <w:r w:rsidRPr="00837A41">
              <w:rPr>
                <w:szCs w:val="18"/>
              </w:rPr>
              <w:t>Departments and Services</w:t>
            </w:r>
          </w:p>
        </w:tc>
        <w:tc>
          <w:tcPr>
            <w:tcW w:w="1469" w:type="dxa"/>
            <w:tcBorders>
              <w:top w:val="single" w:sz="6" w:space="0" w:color="auto"/>
              <w:left w:val="nil"/>
              <w:bottom w:val="single" w:sz="6" w:space="0" w:color="auto"/>
              <w:right w:val="nil"/>
            </w:tcBorders>
            <w:shd w:val="clear" w:color="auto" w:fill="FFFFFF"/>
            <w:vAlign w:val="bottom"/>
          </w:tcPr>
          <w:p w14:paraId="42318BCE" w14:textId="77777777" w:rsidR="002F5AD0" w:rsidRPr="00837A41" w:rsidRDefault="002F5AD0" w:rsidP="007F3B30">
            <w:pPr>
              <w:shd w:val="clear" w:color="auto" w:fill="FFFFFF"/>
              <w:spacing w:after="60"/>
              <w:jc w:val="right"/>
            </w:pPr>
            <w:r w:rsidRPr="00837A41">
              <w:rPr>
                <w:szCs w:val="18"/>
              </w:rPr>
              <w:t>Total</w:t>
            </w:r>
          </w:p>
        </w:tc>
      </w:tr>
      <w:tr w:rsidR="002F5AD0" w:rsidRPr="00837A41" w14:paraId="02B450DF" w14:textId="77777777" w:rsidTr="00D84C45">
        <w:trPr>
          <w:trHeight w:val="20"/>
          <w:jc w:val="center"/>
        </w:trPr>
        <w:tc>
          <w:tcPr>
            <w:tcW w:w="900" w:type="dxa"/>
            <w:tcBorders>
              <w:top w:val="single" w:sz="6" w:space="0" w:color="auto"/>
              <w:left w:val="nil"/>
              <w:bottom w:val="nil"/>
              <w:right w:val="nil"/>
            </w:tcBorders>
            <w:shd w:val="clear" w:color="auto" w:fill="FFFFFF"/>
          </w:tcPr>
          <w:p w14:paraId="3AF46177" w14:textId="77777777" w:rsidR="002F5AD0" w:rsidRPr="00837A41" w:rsidRDefault="002F5AD0" w:rsidP="00837A41">
            <w:pPr>
              <w:shd w:val="clear" w:color="auto" w:fill="FFFFFF"/>
              <w:jc w:val="both"/>
            </w:pPr>
          </w:p>
        </w:tc>
        <w:tc>
          <w:tcPr>
            <w:tcW w:w="6660" w:type="dxa"/>
            <w:tcBorders>
              <w:top w:val="single" w:sz="6" w:space="0" w:color="auto"/>
              <w:left w:val="nil"/>
              <w:right w:val="nil"/>
            </w:tcBorders>
            <w:shd w:val="clear" w:color="auto" w:fill="FFFFFF"/>
          </w:tcPr>
          <w:p w14:paraId="4C4BEC5F" w14:textId="77777777" w:rsidR="002F5AD0" w:rsidRPr="00837A41" w:rsidRDefault="002F5AD0" w:rsidP="00D84C45">
            <w:pPr>
              <w:shd w:val="clear" w:color="auto" w:fill="FFFFFF"/>
              <w:tabs>
                <w:tab w:val="left" w:leader="dot" w:pos="6480"/>
              </w:tabs>
              <w:jc w:val="both"/>
            </w:pPr>
          </w:p>
        </w:tc>
        <w:tc>
          <w:tcPr>
            <w:tcW w:w="1469" w:type="dxa"/>
            <w:tcBorders>
              <w:top w:val="single" w:sz="6" w:space="0" w:color="auto"/>
              <w:left w:val="nil"/>
              <w:bottom w:val="nil"/>
              <w:right w:val="nil"/>
            </w:tcBorders>
            <w:shd w:val="clear" w:color="auto" w:fill="FFFFFF"/>
          </w:tcPr>
          <w:p w14:paraId="17B7D6B3" w14:textId="77777777" w:rsidR="002F5AD0" w:rsidRPr="00837A41" w:rsidRDefault="002F5AD0" w:rsidP="00837A41">
            <w:pPr>
              <w:shd w:val="clear" w:color="auto" w:fill="FFFFFF"/>
              <w:jc w:val="right"/>
            </w:pPr>
            <w:r w:rsidRPr="00837A41">
              <w:rPr>
                <w:szCs w:val="18"/>
              </w:rPr>
              <w:t>$</w:t>
            </w:r>
          </w:p>
        </w:tc>
      </w:tr>
      <w:tr w:rsidR="002F5AD0" w:rsidRPr="00837A41" w14:paraId="0ECD6B33" w14:textId="77777777" w:rsidTr="00D84C45">
        <w:trPr>
          <w:trHeight w:val="20"/>
          <w:jc w:val="center"/>
        </w:trPr>
        <w:tc>
          <w:tcPr>
            <w:tcW w:w="900" w:type="dxa"/>
            <w:tcBorders>
              <w:top w:val="nil"/>
              <w:left w:val="nil"/>
              <w:bottom w:val="nil"/>
              <w:right w:val="nil"/>
            </w:tcBorders>
            <w:shd w:val="clear" w:color="auto" w:fill="FFFFFF"/>
          </w:tcPr>
          <w:p w14:paraId="5A8F2532" w14:textId="77777777" w:rsidR="002F5AD0" w:rsidRPr="00837A41" w:rsidRDefault="002F5AD0" w:rsidP="00D84C45">
            <w:pPr>
              <w:shd w:val="clear" w:color="auto" w:fill="FFFFFF"/>
              <w:ind w:left="720" w:hanging="576"/>
              <w:jc w:val="both"/>
            </w:pPr>
            <w:r w:rsidRPr="00837A41">
              <w:rPr>
                <w:szCs w:val="18"/>
              </w:rPr>
              <w:t>6</w:t>
            </w:r>
          </w:p>
        </w:tc>
        <w:tc>
          <w:tcPr>
            <w:tcW w:w="6660" w:type="dxa"/>
            <w:tcBorders>
              <w:top w:val="nil"/>
              <w:left w:val="nil"/>
              <w:right w:val="nil"/>
            </w:tcBorders>
            <w:shd w:val="clear" w:color="auto" w:fill="FFFFFF"/>
          </w:tcPr>
          <w:p w14:paraId="4092D31F" w14:textId="77777777" w:rsidR="002F5AD0" w:rsidRPr="00837A41" w:rsidRDefault="002F5AD0" w:rsidP="00D84C45">
            <w:pPr>
              <w:shd w:val="clear" w:color="auto" w:fill="FFFFFF"/>
              <w:tabs>
                <w:tab w:val="left" w:leader="dot" w:pos="6480"/>
              </w:tabs>
              <w:jc w:val="both"/>
            </w:pPr>
            <w:r w:rsidRPr="00837A41">
              <w:rPr>
                <w:szCs w:val="18"/>
              </w:rPr>
              <w:t>Senate</w:t>
            </w:r>
            <w:r w:rsidR="00D84C45">
              <w:rPr>
                <w:szCs w:val="18"/>
              </w:rPr>
              <w:tab/>
            </w:r>
          </w:p>
        </w:tc>
        <w:tc>
          <w:tcPr>
            <w:tcW w:w="1469" w:type="dxa"/>
            <w:tcBorders>
              <w:top w:val="nil"/>
              <w:left w:val="nil"/>
              <w:bottom w:val="nil"/>
              <w:right w:val="nil"/>
            </w:tcBorders>
            <w:shd w:val="clear" w:color="auto" w:fill="FFFFFF"/>
          </w:tcPr>
          <w:p w14:paraId="5BBA2294" w14:textId="77777777" w:rsidR="002F5AD0" w:rsidRPr="00837A41" w:rsidRDefault="002F5AD0" w:rsidP="00837A41">
            <w:pPr>
              <w:shd w:val="clear" w:color="auto" w:fill="FFFFFF"/>
              <w:jc w:val="right"/>
            </w:pPr>
            <w:r w:rsidRPr="00837A41">
              <w:rPr>
                <w:szCs w:val="18"/>
              </w:rPr>
              <w:t>396 000</w:t>
            </w:r>
          </w:p>
        </w:tc>
      </w:tr>
      <w:tr w:rsidR="002F5AD0" w:rsidRPr="00837A41" w14:paraId="3194EA58" w14:textId="77777777" w:rsidTr="00D84C45">
        <w:trPr>
          <w:trHeight w:val="20"/>
          <w:jc w:val="center"/>
        </w:trPr>
        <w:tc>
          <w:tcPr>
            <w:tcW w:w="900" w:type="dxa"/>
            <w:tcBorders>
              <w:top w:val="nil"/>
              <w:left w:val="nil"/>
              <w:bottom w:val="nil"/>
              <w:right w:val="nil"/>
            </w:tcBorders>
            <w:shd w:val="clear" w:color="auto" w:fill="FFFFFF"/>
          </w:tcPr>
          <w:p w14:paraId="7996386C" w14:textId="77777777" w:rsidR="002F5AD0" w:rsidRPr="00837A41" w:rsidRDefault="002F5AD0" w:rsidP="00D84C45">
            <w:pPr>
              <w:shd w:val="clear" w:color="auto" w:fill="FFFFFF"/>
              <w:ind w:left="720" w:hanging="576"/>
              <w:jc w:val="both"/>
            </w:pPr>
            <w:r w:rsidRPr="00837A41">
              <w:rPr>
                <w:szCs w:val="18"/>
              </w:rPr>
              <w:t>6</w:t>
            </w:r>
          </w:p>
        </w:tc>
        <w:tc>
          <w:tcPr>
            <w:tcW w:w="6660" w:type="dxa"/>
            <w:tcBorders>
              <w:left w:val="nil"/>
              <w:bottom w:val="nil"/>
              <w:right w:val="nil"/>
            </w:tcBorders>
            <w:shd w:val="clear" w:color="auto" w:fill="FFFFFF"/>
          </w:tcPr>
          <w:p w14:paraId="12FF9095" w14:textId="77777777" w:rsidR="002F5AD0" w:rsidRPr="00837A41" w:rsidRDefault="002F5AD0" w:rsidP="00D84C45">
            <w:pPr>
              <w:shd w:val="clear" w:color="auto" w:fill="FFFFFF"/>
              <w:tabs>
                <w:tab w:val="left" w:leader="dot" w:pos="6480"/>
              </w:tabs>
              <w:jc w:val="both"/>
            </w:pPr>
            <w:r w:rsidRPr="00837A41">
              <w:rPr>
                <w:szCs w:val="18"/>
              </w:rPr>
              <w:t>House of Representatives</w:t>
            </w:r>
            <w:r w:rsidR="00D84C45">
              <w:rPr>
                <w:szCs w:val="18"/>
              </w:rPr>
              <w:tab/>
            </w:r>
          </w:p>
        </w:tc>
        <w:tc>
          <w:tcPr>
            <w:tcW w:w="1469" w:type="dxa"/>
            <w:tcBorders>
              <w:top w:val="nil"/>
              <w:left w:val="nil"/>
              <w:bottom w:val="nil"/>
              <w:right w:val="nil"/>
            </w:tcBorders>
            <w:shd w:val="clear" w:color="auto" w:fill="FFFFFF"/>
          </w:tcPr>
          <w:p w14:paraId="715A55A7" w14:textId="77777777" w:rsidR="002F5AD0" w:rsidRPr="00837A41" w:rsidRDefault="002F5AD0" w:rsidP="00837A41">
            <w:pPr>
              <w:shd w:val="clear" w:color="auto" w:fill="FFFFFF"/>
              <w:jc w:val="right"/>
            </w:pPr>
            <w:r w:rsidRPr="00837A41">
              <w:rPr>
                <w:szCs w:val="18"/>
              </w:rPr>
              <w:t>117 000</w:t>
            </w:r>
          </w:p>
        </w:tc>
      </w:tr>
      <w:tr w:rsidR="002F5AD0" w:rsidRPr="00837A41" w14:paraId="324C17EF" w14:textId="77777777" w:rsidTr="00D84C45">
        <w:trPr>
          <w:trHeight w:val="20"/>
          <w:jc w:val="center"/>
        </w:trPr>
        <w:tc>
          <w:tcPr>
            <w:tcW w:w="900" w:type="dxa"/>
            <w:tcBorders>
              <w:top w:val="nil"/>
              <w:left w:val="nil"/>
              <w:bottom w:val="nil"/>
              <w:right w:val="nil"/>
            </w:tcBorders>
            <w:shd w:val="clear" w:color="auto" w:fill="FFFFFF"/>
          </w:tcPr>
          <w:p w14:paraId="38EF036B" w14:textId="77777777" w:rsidR="002F5AD0" w:rsidRPr="00837A41" w:rsidRDefault="002F5AD0" w:rsidP="00D84C45">
            <w:pPr>
              <w:shd w:val="clear" w:color="auto" w:fill="FFFFFF"/>
              <w:ind w:left="720" w:hanging="576"/>
              <w:jc w:val="both"/>
            </w:pPr>
            <w:r w:rsidRPr="00837A41">
              <w:rPr>
                <w:szCs w:val="18"/>
              </w:rPr>
              <w:t>6</w:t>
            </w:r>
          </w:p>
        </w:tc>
        <w:tc>
          <w:tcPr>
            <w:tcW w:w="6660" w:type="dxa"/>
            <w:tcBorders>
              <w:top w:val="nil"/>
              <w:left w:val="nil"/>
              <w:bottom w:val="nil"/>
              <w:right w:val="nil"/>
            </w:tcBorders>
            <w:shd w:val="clear" w:color="auto" w:fill="FFFFFF"/>
          </w:tcPr>
          <w:p w14:paraId="4462E45B" w14:textId="77777777" w:rsidR="002F5AD0" w:rsidRPr="00837A41" w:rsidRDefault="002F5AD0" w:rsidP="00D84C45">
            <w:pPr>
              <w:shd w:val="clear" w:color="auto" w:fill="FFFFFF"/>
              <w:tabs>
                <w:tab w:val="left" w:leader="dot" w:pos="6480"/>
              </w:tabs>
              <w:jc w:val="both"/>
            </w:pPr>
            <w:r w:rsidRPr="00837A41">
              <w:rPr>
                <w:szCs w:val="18"/>
              </w:rPr>
              <w:t>Parliamentary Reporting Staff</w:t>
            </w:r>
            <w:r w:rsidR="00D84C45">
              <w:rPr>
                <w:szCs w:val="18"/>
              </w:rPr>
              <w:tab/>
            </w:r>
          </w:p>
        </w:tc>
        <w:tc>
          <w:tcPr>
            <w:tcW w:w="1469" w:type="dxa"/>
            <w:tcBorders>
              <w:top w:val="nil"/>
              <w:left w:val="nil"/>
              <w:bottom w:val="nil"/>
              <w:right w:val="nil"/>
            </w:tcBorders>
            <w:shd w:val="clear" w:color="auto" w:fill="FFFFFF"/>
          </w:tcPr>
          <w:p w14:paraId="20DF51A6" w14:textId="77777777" w:rsidR="002F5AD0" w:rsidRPr="00837A41" w:rsidRDefault="002F5AD0" w:rsidP="00837A41">
            <w:pPr>
              <w:shd w:val="clear" w:color="auto" w:fill="FFFFFF"/>
              <w:jc w:val="right"/>
            </w:pPr>
            <w:r w:rsidRPr="00837A41">
              <w:rPr>
                <w:szCs w:val="18"/>
              </w:rPr>
              <w:t>602 000</w:t>
            </w:r>
          </w:p>
        </w:tc>
      </w:tr>
      <w:tr w:rsidR="002F5AD0" w:rsidRPr="00837A41" w14:paraId="01D55F01" w14:textId="77777777" w:rsidTr="00D84C45">
        <w:trPr>
          <w:trHeight w:val="20"/>
          <w:jc w:val="center"/>
        </w:trPr>
        <w:tc>
          <w:tcPr>
            <w:tcW w:w="900" w:type="dxa"/>
            <w:tcBorders>
              <w:top w:val="nil"/>
              <w:left w:val="nil"/>
              <w:bottom w:val="nil"/>
              <w:right w:val="nil"/>
            </w:tcBorders>
            <w:shd w:val="clear" w:color="auto" w:fill="FFFFFF"/>
          </w:tcPr>
          <w:p w14:paraId="2C3F025E" w14:textId="77777777" w:rsidR="002F5AD0" w:rsidRPr="00837A41" w:rsidRDefault="002F5AD0" w:rsidP="00D84C45">
            <w:pPr>
              <w:shd w:val="clear" w:color="auto" w:fill="FFFFFF"/>
              <w:ind w:left="720" w:hanging="576"/>
              <w:jc w:val="both"/>
            </w:pPr>
            <w:r w:rsidRPr="00837A41">
              <w:rPr>
                <w:szCs w:val="18"/>
              </w:rPr>
              <w:t>6</w:t>
            </w:r>
          </w:p>
        </w:tc>
        <w:tc>
          <w:tcPr>
            <w:tcW w:w="6660" w:type="dxa"/>
            <w:tcBorders>
              <w:top w:val="nil"/>
              <w:left w:val="nil"/>
              <w:bottom w:val="nil"/>
              <w:right w:val="nil"/>
            </w:tcBorders>
            <w:shd w:val="clear" w:color="auto" w:fill="FFFFFF"/>
          </w:tcPr>
          <w:p w14:paraId="084AA220" w14:textId="77777777" w:rsidR="002F5AD0" w:rsidRPr="00837A41" w:rsidRDefault="002F5AD0" w:rsidP="00D84C45">
            <w:pPr>
              <w:shd w:val="clear" w:color="auto" w:fill="FFFFFF"/>
              <w:tabs>
                <w:tab w:val="left" w:leader="dot" w:pos="6480"/>
              </w:tabs>
              <w:jc w:val="both"/>
            </w:pPr>
            <w:r w:rsidRPr="00837A41">
              <w:rPr>
                <w:szCs w:val="18"/>
              </w:rPr>
              <w:t>Parliamentary Library</w:t>
            </w:r>
            <w:r w:rsidR="00D84C45">
              <w:rPr>
                <w:szCs w:val="18"/>
              </w:rPr>
              <w:tab/>
            </w:r>
          </w:p>
        </w:tc>
        <w:tc>
          <w:tcPr>
            <w:tcW w:w="1469" w:type="dxa"/>
            <w:tcBorders>
              <w:top w:val="nil"/>
              <w:left w:val="nil"/>
              <w:bottom w:val="nil"/>
              <w:right w:val="nil"/>
            </w:tcBorders>
            <w:shd w:val="clear" w:color="auto" w:fill="FFFFFF"/>
          </w:tcPr>
          <w:p w14:paraId="323A4E2A" w14:textId="77777777" w:rsidR="002F5AD0" w:rsidRPr="00837A41" w:rsidRDefault="002F5AD0" w:rsidP="00837A41">
            <w:pPr>
              <w:shd w:val="clear" w:color="auto" w:fill="FFFFFF"/>
              <w:jc w:val="right"/>
            </w:pPr>
            <w:r w:rsidRPr="00837A41">
              <w:rPr>
                <w:szCs w:val="18"/>
              </w:rPr>
              <w:t>773 000</w:t>
            </w:r>
          </w:p>
        </w:tc>
      </w:tr>
      <w:tr w:rsidR="002F5AD0" w:rsidRPr="00837A41" w14:paraId="199EB9E8" w14:textId="77777777" w:rsidTr="00D84C45">
        <w:trPr>
          <w:trHeight w:val="20"/>
          <w:jc w:val="center"/>
        </w:trPr>
        <w:tc>
          <w:tcPr>
            <w:tcW w:w="900" w:type="dxa"/>
            <w:tcBorders>
              <w:top w:val="nil"/>
              <w:left w:val="nil"/>
              <w:bottom w:val="nil"/>
              <w:right w:val="nil"/>
            </w:tcBorders>
            <w:shd w:val="clear" w:color="auto" w:fill="FFFFFF"/>
          </w:tcPr>
          <w:p w14:paraId="71AA5040" w14:textId="77777777" w:rsidR="002F5AD0" w:rsidRPr="00837A41" w:rsidRDefault="002F5AD0" w:rsidP="00D84C45">
            <w:pPr>
              <w:shd w:val="clear" w:color="auto" w:fill="FFFFFF"/>
              <w:ind w:left="720" w:hanging="576"/>
              <w:jc w:val="both"/>
            </w:pPr>
            <w:r w:rsidRPr="00837A41">
              <w:rPr>
                <w:szCs w:val="18"/>
              </w:rPr>
              <w:t>6</w:t>
            </w:r>
          </w:p>
        </w:tc>
        <w:tc>
          <w:tcPr>
            <w:tcW w:w="6660" w:type="dxa"/>
            <w:tcBorders>
              <w:top w:val="nil"/>
              <w:left w:val="nil"/>
              <w:bottom w:val="nil"/>
              <w:right w:val="nil"/>
            </w:tcBorders>
            <w:shd w:val="clear" w:color="auto" w:fill="FFFFFF"/>
          </w:tcPr>
          <w:p w14:paraId="2DD58B82" w14:textId="77777777" w:rsidR="002F5AD0" w:rsidRPr="00837A41" w:rsidRDefault="002F5AD0" w:rsidP="00D84C45">
            <w:pPr>
              <w:shd w:val="clear" w:color="auto" w:fill="FFFFFF"/>
              <w:tabs>
                <w:tab w:val="left" w:leader="dot" w:pos="6480"/>
              </w:tabs>
              <w:jc w:val="both"/>
            </w:pPr>
            <w:r w:rsidRPr="00837A41">
              <w:rPr>
                <w:szCs w:val="18"/>
              </w:rPr>
              <w:t>Joint House Department</w:t>
            </w:r>
            <w:r w:rsidR="00D84C45">
              <w:rPr>
                <w:szCs w:val="18"/>
              </w:rPr>
              <w:tab/>
            </w:r>
          </w:p>
        </w:tc>
        <w:tc>
          <w:tcPr>
            <w:tcW w:w="1469" w:type="dxa"/>
            <w:tcBorders>
              <w:top w:val="nil"/>
              <w:left w:val="nil"/>
              <w:bottom w:val="single" w:sz="6" w:space="0" w:color="auto"/>
              <w:right w:val="nil"/>
            </w:tcBorders>
            <w:shd w:val="clear" w:color="auto" w:fill="FFFFFF"/>
          </w:tcPr>
          <w:p w14:paraId="7455C620" w14:textId="77777777" w:rsidR="002F5AD0" w:rsidRPr="00837A41" w:rsidRDefault="002F5AD0" w:rsidP="00837A41">
            <w:pPr>
              <w:shd w:val="clear" w:color="auto" w:fill="FFFFFF"/>
              <w:jc w:val="right"/>
            </w:pPr>
            <w:r w:rsidRPr="00837A41">
              <w:rPr>
                <w:szCs w:val="18"/>
              </w:rPr>
              <w:t>125 000</w:t>
            </w:r>
          </w:p>
        </w:tc>
      </w:tr>
      <w:tr w:rsidR="002F5AD0" w:rsidRPr="00837A41" w14:paraId="72D4E7E2" w14:textId="77777777" w:rsidTr="00D84C45">
        <w:trPr>
          <w:trHeight w:val="20"/>
          <w:jc w:val="center"/>
        </w:trPr>
        <w:tc>
          <w:tcPr>
            <w:tcW w:w="900" w:type="dxa"/>
            <w:tcBorders>
              <w:top w:val="nil"/>
              <w:left w:val="nil"/>
              <w:bottom w:val="single" w:sz="6" w:space="0" w:color="auto"/>
              <w:right w:val="nil"/>
            </w:tcBorders>
            <w:shd w:val="clear" w:color="auto" w:fill="FFFFFF"/>
          </w:tcPr>
          <w:p w14:paraId="794EAB8E" w14:textId="77777777" w:rsidR="002F5AD0" w:rsidRPr="00837A41" w:rsidRDefault="002F5AD0" w:rsidP="00837A41">
            <w:pPr>
              <w:shd w:val="clear" w:color="auto" w:fill="FFFFFF"/>
              <w:jc w:val="both"/>
            </w:pPr>
          </w:p>
        </w:tc>
        <w:tc>
          <w:tcPr>
            <w:tcW w:w="6660" w:type="dxa"/>
            <w:tcBorders>
              <w:top w:val="nil"/>
              <w:left w:val="nil"/>
              <w:bottom w:val="single" w:sz="6" w:space="0" w:color="auto"/>
              <w:right w:val="nil"/>
            </w:tcBorders>
            <w:shd w:val="clear" w:color="auto" w:fill="FFFFFF"/>
          </w:tcPr>
          <w:p w14:paraId="5A186237" w14:textId="77777777" w:rsidR="002F5AD0" w:rsidRPr="00837A41" w:rsidRDefault="002F5AD0" w:rsidP="00D84C45">
            <w:pPr>
              <w:shd w:val="clear" w:color="auto" w:fill="FFFFFF"/>
              <w:tabs>
                <w:tab w:val="left" w:leader="dot" w:pos="6480"/>
              </w:tabs>
              <w:spacing w:before="120" w:after="120"/>
              <w:jc w:val="both"/>
            </w:pPr>
            <w:r w:rsidRPr="00837A41">
              <w:rPr>
                <w:b/>
                <w:bCs/>
                <w:szCs w:val="18"/>
              </w:rPr>
              <w:t>Total</w:t>
            </w:r>
            <w:r w:rsidR="00D84C45">
              <w:rPr>
                <w:b/>
                <w:bCs/>
                <w:szCs w:val="18"/>
              </w:rPr>
              <w:tab/>
            </w:r>
          </w:p>
        </w:tc>
        <w:tc>
          <w:tcPr>
            <w:tcW w:w="1469" w:type="dxa"/>
            <w:tcBorders>
              <w:top w:val="single" w:sz="6" w:space="0" w:color="auto"/>
              <w:left w:val="nil"/>
              <w:bottom w:val="single" w:sz="6" w:space="0" w:color="auto"/>
              <w:right w:val="nil"/>
            </w:tcBorders>
            <w:shd w:val="clear" w:color="auto" w:fill="FFFFFF"/>
          </w:tcPr>
          <w:p w14:paraId="747CCD17" w14:textId="77777777" w:rsidR="002F5AD0" w:rsidRPr="00837A41" w:rsidRDefault="002F5AD0" w:rsidP="00D84C45">
            <w:pPr>
              <w:shd w:val="clear" w:color="auto" w:fill="FFFFFF"/>
              <w:spacing w:before="120" w:after="120"/>
              <w:jc w:val="right"/>
            </w:pPr>
            <w:r w:rsidRPr="00837A41">
              <w:rPr>
                <w:b/>
                <w:bCs/>
                <w:szCs w:val="18"/>
              </w:rPr>
              <w:t>2</w:t>
            </w:r>
            <w:r w:rsidRPr="00837A41">
              <w:rPr>
                <w:szCs w:val="18"/>
              </w:rPr>
              <w:t xml:space="preserve"> </w:t>
            </w:r>
            <w:r w:rsidRPr="00837A41">
              <w:rPr>
                <w:b/>
                <w:bCs/>
                <w:szCs w:val="18"/>
              </w:rPr>
              <w:t>013 000</w:t>
            </w:r>
          </w:p>
        </w:tc>
      </w:tr>
    </w:tbl>
    <w:p w14:paraId="6CD0C51B" w14:textId="77777777" w:rsidR="002F5AD0" w:rsidRPr="00837A41" w:rsidRDefault="002F5AD0" w:rsidP="0073531A">
      <w:pPr>
        <w:shd w:val="clear" w:color="auto" w:fill="FFFFFF"/>
        <w:spacing w:before="120" w:after="120"/>
        <w:jc w:val="center"/>
      </w:pPr>
      <w:r w:rsidRPr="0073531A">
        <w:rPr>
          <w:bCs/>
          <w:sz w:val="24"/>
          <w:szCs w:val="24"/>
        </w:rPr>
        <w:t>SUMMARY</w:t>
      </w:r>
    </w:p>
    <w:p w14:paraId="20268E54" w14:textId="77777777" w:rsidR="002F5AD0" w:rsidRPr="00837A41" w:rsidRDefault="002F5AD0" w:rsidP="0073531A">
      <w:pPr>
        <w:shd w:val="clear" w:color="auto" w:fill="FFFFFF"/>
        <w:spacing w:before="120" w:after="120"/>
        <w:jc w:val="center"/>
      </w:pPr>
      <w:r w:rsidRPr="00837A41">
        <w:rPr>
          <w:b/>
          <w:bCs/>
          <w:szCs w:val="18"/>
        </w:rPr>
        <w:t>Appropriation (Parliamentary Departments) Act (No.2) 1993-94, Heavy figures</w:t>
      </w:r>
    </w:p>
    <w:p w14:paraId="022EE730" w14:textId="77777777" w:rsidR="002F5AD0" w:rsidRPr="00837A41" w:rsidRDefault="002F5AD0" w:rsidP="0073531A">
      <w:pPr>
        <w:shd w:val="clear" w:color="auto" w:fill="FFFFFF"/>
        <w:spacing w:before="120" w:after="120"/>
        <w:jc w:val="center"/>
      </w:pPr>
      <w:r w:rsidRPr="00837A41">
        <w:rPr>
          <w:i/>
          <w:iCs/>
          <w:szCs w:val="18"/>
        </w:rPr>
        <w:t xml:space="preserve">Appropriation </w:t>
      </w:r>
      <w:r w:rsidRPr="00837A41">
        <w:rPr>
          <w:szCs w:val="18"/>
        </w:rPr>
        <w:t>(</w:t>
      </w:r>
      <w:r w:rsidRPr="00837A41">
        <w:rPr>
          <w:i/>
          <w:iCs/>
          <w:szCs w:val="18"/>
        </w:rPr>
        <w:t>Parliamentary Departments</w:t>
      </w:r>
      <w:r w:rsidRPr="00837A41">
        <w:rPr>
          <w:szCs w:val="18"/>
        </w:rPr>
        <w:t>)</w:t>
      </w:r>
      <w:r w:rsidRPr="00837A41">
        <w:rPr>
          <w:i/>
          <w:iCs/>
          <w:szCs w:val="18"/>
        </w:rPr>
        <w:t xml:space="preserve"> Act 1993-94, </w:t>
      </w:r>
      <w:r w:rsidRPr="00837A41">
        <w:rPr>
          <w:szCs w:val="18"/>
        </w:rPr>
        <w:t>Light figures *</w:t>
      </w:r>
    </w:p>
    <w:p w14:paraId="5C67D887" w14:textId="77777777" w:rsidR="002F5AD0" w:rsidRPr="00837A41" w:rsidRDefault="002F5AD0" w:rsidP="00837A41">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636"/>
        <w:gridCol w:w="4903"/>
        <w:gridCol w:w="1180"/>
        <w:gridCol w:w="1180"/>
        <w:gridCol w:w="1210"/>
      </w:tblGrid>
      <w:tr w:rsidR="0073531A" w:rsidRPr="00837A41" w14:paraId="5BA78520" w14:textId="77777777" w:rsidTr="0073531A">
        <w:trPr>
          <w:trHeight w:val="543"/>
          <w:jc w:val="center"/>
        </w:trPr>
        <w:tc>
          <w:tcPr>
            <w:tcW w:w="5490" w:type="dxa"/>
            <w:gridSpan w:val="2"/>
            <w:tcBorders>
              <w:top w:val="single" w:sz="6" w:space="0" w:color="auto"/>
              <w:left w:val="nil"/>
              <w:bottom w:val="single" w:sz="6" w:space="0" w:color="auto"/>
              <w:right w:val="nil"/>
            </w:tcBorders>
            <w:shd w:val="clear" w:color="auto" w:fill="FFFFFF"/>
            <w:vAlign w:val="bottom"/>
          </w:tcPr>
          <w:p w14:paraId="16EAA6D0" w14:textId="77777777" w:rsidR="0073531A" w:rsidRPr="00837A41" w:rsidRDefault="0073531A" w:rsidP="00837A41">
            <w:pPr>
              <w:shd w:val="clear" w:color="auto" w:fill="FFFFFF"/>
              <w:jc w:val="both"/>
            </w:pPr>
            <w:r w:rsidRPr="00837A41">
              <w:rPr>
                <w:szCs w:val="18"/>
              </w:rPr>
              <w:t>Division</w:t>
            </w:r>
          </w:p>
        </w:tc>
        <w:tc>
          <w:tcPr>
            <w:tcW w:w="1170" w:type="dxa"/>
            <w:tcBorders>
              <w:top w:val="single" w:sz="6" w:space="0" w:color="auto"/>
              <w:left w:val="nil"/>
              <w:bottom w:val="single" w:sz="6" w:space="0" w:color="auto"/>
              <w:right w:val="nil"/>
            </w:tcBorders>
            <w:shd w:val="clear" w:color="auto" w:fill="FFFFFF"/>
            <w:vAlign w:val="bottom"/>
          </w:tcPr>
          <w:p w14:paraId="430E3608" w14:textId="77777777" w:rsidR="0073531A" w:rsidRPr="00837A41" w:rsidRDefault="0073531A" w:rsidP="0073531A">
            <w:pPr>
              <w:shd w:val="clear" w:color="auto" w:fill="FFFFFF"/>
              <w:jc w:val="right"/>
            </w:pPr>
            <w:r w:rsidRPr="00837A41">
              <w:rPr>
                <w:szCs w:val="18"/>
              </w:rPr>
              <w:t>Running Costs</w:t>
            </w:r>
          </w:p>
        </w:tc>
        <w:tc>
          <w:tcPr>
            <w:tcW w:w="1170" w:type="dxa"/>
            <w:tcBorders>
              <w:top w:val="single" w:sz="6" w:space="0" w:color="auto"/>
              <w:left w:val="nil"/>
              <w:bottom w:val="single" w:sz="6" w:space="0" w:color="auto"/>
              <w:right w:val="nil"/>
            </w:tcBorders>
            <w:shd w:val="clear" w:color="auto" w:fill="FFFFFF"/>
            <w:vAlign w:val="bottom"/>
          </w:tcPr>
          <w:p w14:paraId="133B9ACA" w14:textId="77777777" w:rsidR="0073531A" w:rsidRPr="00837A41" w:rsidRDefault="0073531A" w:rsidP="0073531A">
            <w:pPr>
              <w:shd w:val="clear" w:color="auto" w:fill="FFFFFF"/>
              <w:jc w:val="right"/>
            </w:pPr>
            <w:r w:rsidRPr="00837A41">
              <w:rPr>
                <w:szCs w:val="18"/>
              </w:rPr>
              <w:t>Other Services</w:t>
            </w:r>
          </w:p>
        </w:tc>
        <w:tc>
          <w:tcPr>
            <w:tcW w:w="1199" w:type="dxa"/>
            <w:tcBorders>
              <w:top w:val="single" w:sz="6" w:space="0" w:color="auto"/>
              <w:left w:val="nil"/>
              <w:bottom w:val="single" w:sz="6" w:space="0" w:color="auto"/>
              <w:right w:val="nil"/>
            </w:tcBorders>
            <w:shd w:val="clear" w:color="auto" w:fill="FFFFFF"/>
            <w:vAlign w:val="bottom"/>
          </w:tcPr>
          <w:p w14:paraId="70ADEE9A" w14:textId="77777777" w:rsidR="0073531A" w:rsidRPr="00837A41" w:rsidRDefault="0073531A" w:rsidP="0073531A">
            <w:pPr>
              <w:shd w:val="clear" w:color="auto" w:fill="FFFFFF"/>
              <w:jc w:val="right"/>
            </w:pPr>
            <w:r w:rsidRPr="00837A41">
              <w:rPr>
                <w:szCs w:val="18"/>
              </w:rPr>
              <w:t>Total</w:t>
            </w:r>
          </w:p>
        </w:tc>
      </w:tr>
      <w:tr w:rsidR="0073531A" w:rsidRPr="00837A41" w14:paraId="05048581" w14:textId="77777777" w:rsidTr="0073531A">
        <w:trPr>
          <w:trHeight w:val="20"/>
          <w:jc w:val="center"/>
        </w:trPr>
        <w:tc>
          <w:tcPr>
            <w:tcW w:w="630" w:type="dxa"/>
            <w:tcBorders>
              <w:top w:val="single" w:sz="6" w:space="0" w:color="auto"/>
              <w:left w:val="nil"/>
              <w:right w:val="nil"/>
            </w:tcBorders>
            <w:shd w:val="clear" w:color="auto" w:fill="FFFFFF"/>
          </w:tcPr>
          <w:p w14:paraId="44AB0E24" w14:textId="77777777" w:rsidR="002F5AD0" w:rsidRPr="00837A41" w:rsidRDefault="002F5AD0" w:rsidP="00837A41">
            <w:pPr>
              <w:shd w:val="clear" w:color="auto" w:fill="FFFFFF"/>
            </w:pPr>
          </w:p>
        </w:tc>
        <w:tc>
          <w:tcPr>
            <w:tcW w:w="4860" w:type="dxa"/>
            <w:tcBorders>
              <w:top w:val="single" w:sz="6" w:space="0" w:color="auto"/>
              <w:left w:val="nil"/>
              <w:right w:val="nil"/>
            </w:tcBorders>
            <w:shd w:val="clear" w:color="auto" w:fill="FFFFFF"/>
          </w:tcPr>
          <w:p w14:paraId="714A5C08" w14:textId="77777777" w:rsidR="002F5AD0" w:rsidRPr="00837A41" w:rsidRDefault="002F5AD0" w:rsidP="00837A41">
            <w:pPr>
              <w:shd w:val="clear" w:color="auto" w:fill="FFFFFF"/>
              <w:jc w:val="both"/>
            </w:pPr>
          </w:p>
        </w:tc>
        <w:tc>
          <w:tcPr>
            <w:tcW w:w="1170" w:type="dxa"/>
            <w:tcBorders>
              <w:top w:val="single" w:sz="6" w:space="0" w:color="auto"/>
              <w:left w:val="nil"/>
              <w:bottom w:val="nil"/>
              <w:right w:val="nil"/>
            </w:tcBorders>
            <w:shd w:val="clear" w:color="auto" w:fill="FFFFFF"/>
            <w:vAlign w:val="bottom"/>
          </w:tcPr>
          <w:p w14:paraId="4CB9A0C2" w14:textId="77777777" w:rsidR="002F5AD0" w:rsidRPr="00837A41" w:rsidRDefault="002F5AD0" w:rsidP="0073531A">
            <w:pPr>
              <w:shd w:val="clear" w:color="auto" w:fill="FFFFFF"/>
              <w:jc w:val="right"/>
            </w:pPr>
            <w:r w:rsidRPr="00837A41">
              <w:rPr>
                <w:szCs w:val="18"/>
              </w:rPr>
              <w:t>$</w:t>
            </w:r>
          </w:p>
        </w:tc>
        <w:tc>
          <w:tcPr>
            <w:tcW w:w="1170" w:type="dxa"/>
            <w:tcBorders>
              <w:top w:val="single" w:sz="6" w:space="0" w:color="auto"/>
              <w:left w:val="nil"/>
              <w:bottom w:val="nil"/>
              <w:right w:val="nil"/>
            </w:tcBorders>
            <w:shd w:val="clear" w:color="auto" w:fill="FFFFFF"/>
            <w:vAlign w:val="bottom"/>
          </w:tcPr>
          <w:p w14:paraId="08590414" w14:textId="77777777" w:rsidR="002F5AD0" w:rsidRPr="00837A41" w:rsidRDefault="002F5AD0" w:rsidP="0073531A">
            <w:pPr>
              <w:shd w:val="clear" w:color="auto" w:fill="FFFFFF"/>
              <w:jc w:val="right"/>
            </w:pPr>
            <w:r w:rsidRPr="00837A41">
              <w:rPr>
                <w:szCs w:val="18"/>
              </w:rPr>
              <w:t>$</w:t>
            </w:r>
          </w:p>
        </w:tc>
        <w:tc>
          <w:tcPr>
            <w:tcW w:w="1199" w:type="dxa"/>
            <w:tcBorders>
              <w:top w:val="single" w:sz="6" w:space="0" w:color="auto"/>
              <w:left w:val="nil"/>
              <w:bottom w:val="nil"/>
              <w:right w:val="nil"/>
            </w:tcBorders>
            <w:shd w:val="clear" w:color="auto" w:fill="FFFFFF"/>
            <w:vAlign w:val="bottom"/>
          </w:tcPr>
          <w:p w14:paraId="59FE1F52" w14:textId="77777777" w:rsidR="002F5AD0" w:rsidRPr="00837A41" w:rsidRDefault="002F5AD0" w:rsidP="0073531A">
            <w:pPr>
              <w:shd w:val="clear" w:color="auto" w:fill="FFFFFF"/>
              <w:jc w:val="right"/>
            </w:pPr>
            <w:r w:rsidRPr="00837A41">
              <w:rPr>
                <w:szCs w:val="18"/>
              </w:rPr>
              <w:t>$</w:t>
            </w:r>
          </w:p>
        </w:tc>
      </w:tr>
      <w:tr w:rsidR="002F5AD0" w:rsidRPr="00837A41" w14:paraId="6FAE1D9A" w14:textId="77777777" w:rsidTr="0073531A">
        <w:trPr>
          <w:trHeight w:val="20"/>
          <w:jc w:val="center"/>
        </w:trPr>
        <w:tc>
          <w:tcPr>
            <w:tcW w:w="630" w:type="dxa"/>
            <w:tcBorders>
              <w:top w:val="nil"/>
              <w:left w:val="nil"/>
              <w:right w:val="nil"/>
            </w:tcBorders>
            <w:shd w:val="clear" w:color="auto" w:fill="FFFFFF"/>
          </w:tcPr>
          <w:p w14:paraId="19824AE1" w14:textId="77777777" w:rsidR="002F5AD0" w:rsidRPr="00837A41" w:rsidRDefault="002F5AD0" w:rsidP="00837A41">
            <w:pPr>
              <w:shd w:val="clear" w:color="auto" w:fill="FFFFFF"/>
              <w:tabs>
                <w:tab w:val="left" w:leader="dot" w:pos="3840"/>
              </w:tabs>
              <w:jc w:val="both"/>
            </w:pPr>
            <w:r w:rsidRPr="00837A41">
              <w:rPr>
                <w:szCs w:val="18"/>
              </w:rPr>
              <w:t>101</w:t>
            </w:r>
          </w:p>
        </w:tc>
        <w:tc>
          <w:tcPr>
            <w:tcW w:w="4860" w:type="dxa"/>
            <w:tcBorders>
              <w:top w:val="nil"/>
              <w:left w:val="nil"/>
              <w:right w:val="nil"/>
            </w:tcBorders>
            <w:shd w:val="clear" w:color="auto" w:fill="FFFFFF"/>
          </w:tcPr>
          <w:p w14:paraId="367F693D" w14:textId="77777777" w:rsidR="002F5AD0" w:rsidRPr="00837A41" w:rsidRDefault="002F5AD0" w:rsidP="0073531A">
            <w:pPr>
              <w:shd w:val="clear" w:color="auto" w:fill="FFFFFF"/>
              <w:tabs>
                <w:tab w:val="left" w:leader="dot" w:pos="4680"/>
              </w:tabs>
              <w:jc w:val="both"/>
            </w:pPr>
            <w:r w:rsidRPr="00837A41">
              <w:rPr>
                <w:szCs w:val="18"/>
              </w:rPr>
              <w:t>Senate</w:t>
            </w:r>
            <w:r w:rsidR="0073531A">
              <w:rPr>
                <w:szCs w:val="18"/>
              </w:rPr>
              <w:tab/>
            </w:r>
          </w:p>
        </w:tc>
        <w:tc>
          <w:tcPr>
            <w:tcW w:w="1170" w:type="dxa"/>
            <w:tcBorders>
              <w:top w:val="nil"/>
              <w:left w:val="nil"/>
              <w:right w:val="nil"/>
            </w:tcBorders>
            <w:shd w:val="clear" w:color="auto" w:fill="FFFFFF"/>
            <w:vAlign w:val="bottom"/>
          </w:tcPr>
          <w:p w14:paraId="50F51849" w14:textId="77777777" w:rsidR="002F5AD0" w:rsidRPr="00837A41" w:rsidRDefault="002F5AD0" w:rsidP="0073531A">
            <w:pPr>
              <w:shd w:val="clear" w:color="auto" w:fill="FFFFFF"/>
              <w:jc w:val="right"/>
            </w:pPr>
            <w:r w:rsidRPr="00837A41">
              <w:rPr>
                <w:b/>
                <w:bCs/>
                <w:szCs w:val="18"/>
              </w:rPr>
              <w:t>396 000</w:t>
            </w:r>
          </w:p>
        </w:tc>
        <w:tc>
          <w:tcPr>
            <w:tcW w:w="1170" w:type="dxa"/>
            <w:tcBorders>
              <w:top w:val="nil"/>
              <w:left w:val="nil"/>
              <w:bottom w:val="nil"/>
              <w:right w:val="nil"/>
            </w:tcBorders>
            <w:shd w:val="clear" w:color="auto" w:fill="FFFFFF"/>
            <w:vAlign w:val="bottom"/>
          </w:tcPr>
          <w:p w14:paraId="65B17B2A" w14:textId="77777777" w:rsidR="002F5AD0" w:rsidRPr="00837A41" w:rsidRDefault="002F5AD0" w:rsidP="0073531A">
            <w:pPr>
              <w:shd w:val="clear" w:color="auto" w:fill="FFFFFF"/>
              <w:jc w:val="right"/>
            </w:pPr>
            <w:r w:rsidRPr="00837A41">
              <w:rPr>
                <w:rFonts w:eastAsia="Times New Roman"/>
                <w:szCs w:val="18"/>
              </w:rPr>
              <w:t>—</w:t>
            </w:r>
          </w:p>
        </w:tc>
        <w:tc>
          <w:tcPr>
            <w:tcW w:w="1199" w:type="dxa"/>
            <w:tcBorders>
              <w:top w:val="nil"/>
              <w:left w:val="nil"/>
              <w:bottom w:val="nil"/>
              <w:right w:val="nil"/>
            </w:tcBorders>
            <w:shd w:val="clear" w:color="auto" w:fill="FFFFFF"/>
            <w:vAlign w:val="bottom"/>
          </w:tcPr>
          <w:p w14:paraId="64CEE182" w14:textId="77777777" w:rsidR="002F5AD0" w:rsidRPr="00837A41" w:rsidRDefault="002F5AD0" w:rsidP="0073531A">
            <w:pPr>
              <w:shd w:val="clear" w:color="auto" w:fill="FFFFFF"/>
              <w:jc w:val="right"/>
            </w:pPr>
            <w:r w:rsidRPr="00837A41">
              <w:rPr>
                <w:b/>
                <w:bCs/>
                <w:szCs w:val="18"/>
              </w:rPr>
              <w:t>396 000</w:t>
            </w:r>
          </w:p>
        </w:tc>
      </w:tr>
      <w:tr w:rsidR="002F5AD0" w:rsidRPr="00837A41" w14:paraId="7BD133B0" w14:textId="77777777" w:rsidTr="0073531A">
        <w:trPr>
          <w:trHeight w:val="20"/>
          <w:jc w:val="center"/>
        </w:trPr>
        <w:tc>
          <w:tcPr>
            <w:tcW w:w="630" w:type="dxa"/>
            <w:tcBorders>
              <w:left w:val="nil"/>
              <w:bottom w:val="nil"/>
              <w:right w:val="nil"/>
            </w:tcBorders>
            <w:shd w:val="clear" w:color="auto" w:fill="FFFFFF"/>
          </w:tcPr>
          <w:p w14:paraId="05B293EF" w14:textId="77777777" w:rsidR="002F5AD0" w:rsidRPr="00837A41" w:rsidRDefault="002F5AD0" w:rsidP="00837A41">
            <w:pPr>
              <w:shd w:val="clear" w:color="auto" w:fill="FFFFFF"/>
            </w:pPr>
          </w:p>
        </w:tc>
        <w:tc>
          <w:tcPr>
            <w:tcW w:w="4860" w:type="dxa"/>
            <w:tcBorders>
              <w:left w:val="nil"/>
              <w:bottom w:val="nil"/>
              <w:right w:val="nil"/>
            </w:tcBorders>
            <w:shd w:val="clear" w:color="auto" w:fill="FFFFFF"/>
          </w:tcPr>
          <w:p w14:paraId="2EE1FC63" w14:textId="77777777" w:rsidR="002F5AD0" w:rsidRPr="00837A41" w:rsidRDefault="002F5AD0" w:rsidP="0073531A">
            <w:pPr>
              <w:shd w:val="clear" w:color="auto" w:fill="FFFFFF"/>
              <w:tabs>
                <w:tab w:val="left" w:leader="dot" w:pos="4680"/>
              </w:tabs>
              <w:jc w:val="both"/>
            </w:pPr>
          </w:p>
        </w:tc>
        <w:tc>
          <w:tcPr>
            <w:tcW w:w="1170" w:type="dxa"/>
            <w:tcBorders>
              <w:left w:val="nil"/>
              <w:bottom w:val="nil"/>
              <w:right w:val="nil"/>
            </w:tcBorders>
            <w:shd w:val="clear" w:color="auto" w:fill="FFFFFF"/>
            <w:vAlign w:val="bottom"/>
          </w:tcPr>
          <w:p w14:paraId="2E9C1D29" w14:textId="77777777" w:rsidR="002F5AD0" w:rsidRPr="00837A41" w:rsidRDefault="002F5AD0" w:rsidP="0073531A">
            <w:pPr>
              <w:shd w:val="clear" w:color="auto" w:fill="FFFFFF"/>
              <w:jc w:val="right"/>
            </w:pPr>
            <w:r w:rsidRPr="00837A41">
              <w:rPr>
                <w:szCs w:val="18"/>
              </w:rPr>
              <w:t>22 030 000</w:t>
            </w:r>
          </w:p>
        </w:tc>
        <w:tc>
          <w:tcPr>
            <w:tcW w:w="1170" w:type="dxa"/>
            <w:tcBorders>
              <w:top w:val="nil"/>
              <w:left w:val="nil"/>
              <w:bottom w:val="nil"/>
              <w:right w:val="nil"/>
            </w:tcBorders>
            <w:shd w:val="clear" w:color="auto" w:fill="FFFFFF"/>
            <w:vAlign w:val="bottom"/>
          </w:tcPr>
          <w:p w14:paraId="36177467" w14:textId="77777777" w:rsidR="002F5AD0" w:rsidRPr="00837A41" w:rsidRDefault="002F5AD0" w:rsidP="0073531A">
            <w:pPr>
              <w:shd w:val="clear" w:color="auto" w:fill="FFFFFF"/>
              <w:jc w:val="right"/>
            </w:pPr>
            <w:r w:rsidRPr="00837A41">
              <w:rPr>
                <w:szCs w:val="18"/>
              </w:rPr>
              <w:t>329 000</w:t>
            </w:r>
          </w:p>
        </w:tc>
        <w:tc>
          <w:tcPr>
            <w:tcW w:w="1199" w:type="dxa"/>
            <w:tcBorders>
              <w:top w:val="nil"/>
              <w:left w:val="nil"/>
              <w:bottom w:val="nil"/>
              <w:right w:val="nil"/>
            </w:tcBorders>
            <w:shd w:val="clear" w:color="auto" w:fill="FFFFFF"/>
            <w:vAlign w:val="bottom"/>
          </w:tcPr>
          <w:p w14:paraId="3CD96A56" w14:textId="77777777" w:rsidR="002F5AD0" w:rsidRPr="00837A41" w:rsidRDefault="002F5AD0" w:rsidP="0073531A">
            <w:pPr>
              <w:shd w:val="clear" w:color="auto" w:fill="FFFFFF"/>
              <w:jc w:val="right"/>
            </w:pPr>
            <w:r w:rsidRPr="00837A41">
              <w:rPr>
                <w:szCs w:val="18"/>
              </w:rPr>
              <w:t>22 359 000</w:t>
            </w:r>
          </w:p>
        </w:tc>
      </w:tr>
      <w:tr w:rsidR="002F5AD0" w:rsidRPr="00837A41" w14:paraId="415BD88F" w14:textId="77777777" w:rsidTr="0073531A">
        <w:trPr>
          <w:trHeight w:val="20"/>
          <w:jc w:val="center"/>
        </w:trPr>
        <w:tc>
          <w:tcPr>
            <w:tcW w:w="630" w:type="dxa"/>
            <w:tcBorders>
              <w:top w:val="nil"/>
              <w:left w:val="nil"/>
              <w:right w:val="nil"/>
            </w:tcBorders>
            <w:shd w:val="clear" w:color="auto" w:fill="FFFFFF"/>
          </w:tcPr>
          <w:p w14:paraId="23B8EDF6" w14:textId="77777777" w:rsidR="002F5AD0" w:rsidRPr="00837A41" w:rsidRDefault="002F5AD0" w:rsidP="00837A41">
            <w:pPr>
              <w:shd w:val="clear" w:color="auto" w:fill="FFFFFF"/>
              <w:tabs>
                <w:tab w:val="left" w:leader="dot" w:pos="3840"/>
              </w:tabs>
              <w:jc w:val="both"/>
            </w:pPr>
            <w:r w:rsidRPr="00837A41">
              <w:rPr>
                <w:szCs w:val="18"/>
              </w:rPr>
              <w:t>103</w:t>
            </w:r>
          </w:p>
        </w:tc>
        <w:tc>
          <w:tcPr>
            <w:tcW w:w="4860" w:type="dxa"/>
            <w:tcBorders>
              <w:top w:val="nil"/>
              <w:left w:val="nil"/>
              <w:right w:val="nil"/>
            </w:tcBorders>
            <w:shd w:val="clear" w:color="auto" w:fill="FFFFFF"/>
          </w:tcPr>
          <w:p w14:paraId="088DB623" w14:textId="77777777" w:rsidR="002F5AD0" w:rsidRPr="00837A41" w:rsidRDefault="002F5AD0" w:rsidP="0073531A">
            <w:pPr>
              <w:shd w:val="clear" w:color="auto" w:fill="FFFFFF"/>
              <w:tabs>
                <w:tab w:val="left" w:leader="dot" w:pos="4680"/>
              </w:tabs>
              <w:jc w:val="both"/>
            </w:pPr>
            <w:r w:rsidRPr="00837A41">
              <w:rPr>
                <w:szCs w:val="18"/>
              </w:rPr>
              <w:t>House of Representatives</w:t>
            </w:r>
            <w:r w:rsidR="0073531A">
              <w:rPr>
                <w:szCs w:val="18"/>
              </w:rPr>
              <w:tab/>
            </w:r>
          </w:p>
        </w:tc>
        <w:tc>
          <w:tcPr>
            <w:tcW w:w="1170" w:type="dxa"/>
            <w:tcBorders>
              <w:top w:val="nil"/>
              <w:left w:val="nil"/>
              <w:right w:val="nil"/>
            </w:tcBorders>
            <w:shd w:val="clear" w:color="auto" w:fill="FFFFFF"/>
            <w:vAlign w:val="bottom"/>
          </w:tcPr>
          <w:p w14:paraId="3F90FFEE" w14:textId="77777777" w:rsidR="002F5AD0" w:rsidRPr="00837A41" w:rsidRDefault="002F5AD0" w:rsidP="0073531A">
            <w:pPr>
              <w:shd w:val="clear" w:color="auto" w:fill="FFFFFF"/>
              <w:jc w:val="right"/>
            </w:pPr>
            <w:r w:rsidRPr="00837A41">
              <w:rPr>
                <w:b/>
                <w:bCs/>
                <w:szCs w:val="18"/>
              </w:rPr>
              <w:t>117 000</w:t>
            </w:r>
          </w:p>
        </w:tc>
        <w:tc>
          <w:tcPr>
            <w:tcW w:w="1170" w:type="dxa"/>
            <w:tcBorders>
              <w:top w:val="nil"/>
              <w:left w:val="nil"/>
              <w:bottom w:val="nil"/>
              <w:right w:val="nil"/>
            </w:tcBorders>
            <w:shd w:val="clear" w:color="auto" w:fill="FFFFFF"/>
            <w:vAlign w:val="bottom"/>
          </w:tcPr>
          <w:p w14:paraId="38B73589" w14:textId="77777777" w:rsidR="002F5AD0" w:rsidRPr="00837A41" w:rsidRDefault="002F5AD0" w:rsidP="0073531A">
            <w:pPr>
              <w:shd w:val="clear" w:color="auto" w:fill="FFFFFF"/>
              <w:jc w:val="right"/>
            </w:pPr>
            <w:r w:rsidRPr="00837A41">
              <w:rPr>
                <w:rFonts w:eastAsia="Times New Roman"/>
                <w:szCs w:val="18"/>
              </w:rPr>
              <w:t>—</w:t>
            </w:r>
          </w:p>
        </w:tc>
        <w:tc>
          <w:tcPr>
            <w:tcW w:w="1199" w:type="dxa"/>
            <w:tcBorders>
              <w:top w:val="nil"/>
              <w:left w:val="nil"/>
              <w:bottom w:val="nil"/>
              <w:right w:val="nil"/>
            </w:tcBorders>
            <w:shd w:val="clear" w:color="auto" w:fill="FFFFFF"/>
            <w:vAlign w:val="bottom"/>
          </w:tcPr>
          <w:p w14:paraId="678DAE12" w14:textId="77777777" w:rsidR="002F5AD0" w:rsidRPr="00837A41" w:rsidRDefault="002F5AD0" w:rsidP="0073531A">
            <w:pPr>
              <w:shd w:val="clear" w:color="auto" w:fill="FFFFFF"/>
              <w:jc w:val="right"/>
            </w:pPr>
            <w:r w:rsidRPr="00837A41">
              <w:rPr>
                <w:b/>
                <w:bCs/>
                <w:szCs w:val="18"/>
              </w:rPr>
              <w:t>117 000</w:t>
            </w:r>
          </w:p>
        </w:tc>
      </w:tr>
      <w:tr w:rsidR="002F5AD0" w:rsidRPr="00837A41" w14:paraId="376751A4" w14:textId="77777777" w:rsidTr="0073531A">
        <w:trPr>
          <w:trHeight w:val="20"/>
          <w:jc w:val="center"/>
        </w:trPr>
        <w:tc>
          <w:tcPr>
            <w:tcW w:w="630" w:type="dxa"/>
            <w:tcBorders>
              <w:left w:val="nil"/>
              <w:bottom w:val="nil"/>
              <w:right w:val="nil"/>
            </w:tcBorders>
            <w:shd w:val="clear" w:color="auto" w:fill="FFFFFF"/>
          </w:tcPr>
          <w:p w14:paraId="7B8FAEA0" w14:textId="77777777" w:rsidR="002F5AD0" w:rsidRPr="00837A41" w:rsidRDefault="002F5AD0" w:rsidP="00837A41">
            <w:pPr>
              <w:shd w:val="clear" w:color="auto" w:fill="FFFFFF"/>
            </w:pPr>
          </w:p>
        </w:tc>
        <w:tc>
          <w:tcPr>
            <w:tcW w:w="4860" w:type="dxa"/>
            <w:tcBorders>
              <w:left w:val="nil"/>
              <w:bottom w:val="nil"/>
              <w:right w:val="nil"/>
            </w:tcBorders>
            <w:shd w:val="clear" w:color="auto" w:fill="FFFFFF"/>
          </w:tcPr>
          <w:p w14:paraId="522B37AB" w14:textId="77777777" w:rsidR="002F5AD0" w:rsidRPr="00837A41" w:rsidRDefault="002F5AD0" w:rsidP="0073531A">
            <w:pPr>
              <w:shd w:val="clear" w:color="auto" w:fill="FFFFFF"/>
              <w:tabs>
                <w:tab w:val="left" w:leader="dot" w:pos="4680"/>
              </w:tabs>
              <w:jc w:val="both"/>
            </w:pPr>
          </w:p>
        </w:tc>
        <w:tc>
          <w:tcPr>
            <w:tcW w:w="1170" w:type="dxa"/>
            <w:tcBorders>
              <w:left w:val="nil"/>
              <w:bottom w:val="nil"/>
              <w:right w:val="nil"/>
            </w:tcBorders>
            <w:shd w:val="clear" w:color="auto" w:fill="FFFFFF"/>
            <w:vAlign w:val="bottom"/>
          </w:tcPr>
          <w:p w14:paraId="5F038B96" w14:textId="77777777" w:rsidR="002F5AD0" w:rsidRPr="00837A41" w:rsidRDefault="002F5AD0" w:rsidP="0073531A">
            <w:pPr>
              <w:shd w:val="clear" w:color="auto" w:fill="FFFFFF"/>
              <w:jc w:val="right"/>
            </w:pPr>
            <w:r w:rsidRPr="00837A41">
              <w:rPr>
                <w:szCs w:val="18"/>
              </w:rPr>
              <w:t>23 415 000</w:t>
            </w:r>
          </w:p>
        </w:tc>
        <w:tc>
          <w:tcPr>
            <w:tcW w:w="1170" w:type="dxa"/>
            <w:tcBorders>
              <w:top w:val="nil"/>
              <w:left w:val="nil"/>
              <w:bottom w:val="nil"/>
              <w:right w:val="nil"/>
            </w:tcBorders>
            <w:shd w:val="clear" w:color="auto" w:fill="FFFFFF"/>
            <w:vAlign w:val="bottom"/>
          </w:tcPr>
          <w:p w14:paraId="260EEBFC" w14:textId="77777777" w:rsidR="002F5AD0" w:rsidRPr="00837A41" w:rsidRDefault="002F5AD0" w:rsidP="0073531A">
            <w:pPr>
              <w:shd w:val="clear" w:color="auto" w:fill="FFFFFF"/>
              <w:jc w:val="right"/>
            </w:pPr>
            <w:r w:rsidRPr="00837A41">
              <w:rPr>
                <w:szCs w:val="18"/>
              </w:rPr>
              <w:t>365 000</w:t>
            </w:r>
          </w:p>
        </w:tc>
        <w:tc>
          <w:tcPr>
            <w:tcW w:w="1199" w:type="dxa"/>
            <w:tcBorders>
              <w:top w:val="nil"/>
              <w:left w:val="nil"/>
              <w:bottom w:val="nil"/>
              <w:right w:val="nil"/>
            </w:tcBorders>
            <w:shd w:val="clear" w:color="auto" w:fill="FFFFFF"/>
            <w:vAlign w:val="bottom"/>
          </w:tcPr>
          <w:p w14:paraId="257FEB01" w14:textId="77777777" w:rsidR="002F5AD0" w:rsidRPr="00837A41" w:rsidRDefault="002F5AD0" w:rsidP="0073531A">
            <w:pPr>
              <w:shd w:val="clear" w:color="auto" w:fill="FFFFFF"/>
              <w:jc w:val="right"/>
            </w:pPr>
            <w:r w:rsidRPr="00837A41">
              <w:rPr>
                <w:szCs w:val="18"/>
              </w:rPr>
              <w:t>23 780 000</w:t>
            </w:r>
          </w:p>
        </w:tc>
      </w:tr>
      <w:tr w:rsidR="002F5AD0" w:rsidRPr="00837A41" w14:paraId="729DB85D" w14:textId="77777777" w:rsidTr="0073531A">
        <w:trPr>
          <w:trHeight w:val="20"/>
          <w:jc w:val="center"/>
        </w:trPr>
        <w:tc>
          <w:tcPr>
            <w:tcW w:w="630" w:type="dxa"/>
            <w:tcBorders>
              <w:top w:val="nil"/>
              <w:left w:val="nil"/>
              <w:right w:val="nil"/>
            </w:tcBorders>
            <w:shd w:val="clear" w:color="auto" w:fill="FFFFFF"/>
          </w:tcPr>
          <w:p w14:paraId="11B3D6F9" w14:textId="77777777" w:rsidR="002F5AD0" w:rsidRPr="00837A41" w:rsidRDefault="002F5AD0" w:rsidP="00837A41">
            <w:pPr>
              <w:shd w:val="clear" w:color="auto" w:fill="FFFFFF"/>
              <w:jc w:val="both"/>
            </w:pPr>
            <w:r w:rsidRPr="00837A41">
              <w:rPr>
                <w:szCs w:val="18"/>
              </w:rPr>
              <w:t>105</w:t>
            </w:r>
          </w:p>
        </w:tc>
        <w:tc>
          <w:tcPr>
            <w:tcW w:w="4860" w:type="dxa"/>
            <w:tcBorders>
              <w:top w:val="nil"/>
              <w:left w:val="nil"/>
              <w:right w:val="nil"/>
            </w:tcBorders>
            <w:shd w:val="clear" w:color="auto" w:fill="FFFFFF"/>
          </w:tcPr>
          <w:p w14:paraId="3B4AD27E" w14:textId="77777777" w:rsidR="002F5AD0" w:rsidRPr="00837A41" w:rsidRDefault="002F5AD0" w:rsidP="0073531A">
            <w:pPr>
              <w:shd w:val="clear" w:color="auto" w:fill="FFFFFF"/>
              <w:tabs>
                <w:tab w:val="left" w:leader="dot" w:pos="4680"/>
              </w:tabs>
              <w:jc w:val="both"/>
            </w:pPr>
            <w:r w:rsidRPr="00837A41">
              <w:rPr>
                <w:szCs w:val="18"/>
              </w:rPr>
              <w:t>Parliamentary Reporting Staff</w:t>
            </w:r>
            <w:r w:rsidR="0073531A">
              <w:rPr>
                <w:szCs w:val="18"/>
              </w:rPr>
              <w:tab/>
            </w:r>
          </w:p>
        </w:tc>
        <w:tc>
          <w:tcPr>
            <w:tcW w:w="1170" w:type="dxa"/>
            <w:tcBorders>
              <w:top w:val="nil"/>
              <w:left w:val="nil"/>
              <w:right w:val="nil"/>
            </w:tcBorders>
            <w:shd w:val="clear" w:color="auto" w:fill="FFFFFF"/>
            <w:vAlign w:val="bottom"/>
          </w:tcPr>
          <w:p w14:paraId="407A02EA" w14:textId="77777777" w:rsidR="002F5AD0" w:rsidRPr="00837A41" w:rsidRDefault="002F5AD0" w:rsidP="0073531A">
            <w:pPr>
              <w:shd w:val="clear" w:color="auto" w:fill="FFFFFF"/>
              <w:jc w:val="right"/>
            </w:pPr>
            <w:r w:rsidRPr="00837A41">
              <w:rPr>
                <w:b/>
                <w:bCs/>
                <w:szCs w:val="18"/>
              </w:rPr>
              <w:t>602 000</w:t>
            </w:r>
          </w:p>
        </w:tc>
        <w:tc>
          <w:tcPr>
            <w:tcW w:w="1170" w:type="dxa"/>
            <w:tcBorders>
              <w:top w:val="nil"/>
              <w:left w:val="nil"/>
              <w:bottom w:val="nil"/>
              <w:right w:val="nil"/>
            </w:tcBorders>
            <w:shd w:val="clear" w:color="auto" w:fill="FFFFFF"/>
            <w:vAlign w:val="bottom"/>
          </w:tcPr>
          <w:p w14:paraId="23CEAE5D" w14:textId="77777777" w:rsidR="002F5AD0" w:rsidRPr="00837A41" w:rsidRDefault="002F5AD0" w:rsidP="0073531A">
            <w:pPr>
              <w:shd w:val="clear" w:color="auto" w:fill="FFFFFF"/>
              <w:jc w:val="right"/>
            </w:pPr>
            <w:r w:rsidRPr="00837A41">
              <w:rPr>
                <w:rFonts w:eastAsia="Times New Roman"/>
                <w:szCs w:val="18"/>
              </w:rPr>
              <w:t>—</w:t>
            </w:r>
          </w:p>
        </w:tc>
        <w:tc>
          <w:tcPr>
            <w:tcW w:w="1199" w:type="dxa"/>
            <w:tcBorders>
              <w:top w:val="nil"/>
              <w:left w:val="nil"/>
              <w:bottom w:val="nil"/>
              <w:right w:val="nil"/>
            </w:tcBorders>
            <w:shd w:val="clear" w:color="auto" w:fill="FFFFFF"/>
            <w:vAlign w:val="bottom"/>
          </w:tcPr>
          <w:p w14:paraId="4B03FA14" w14:textId="77777777" w:rsidR="002F5AD0" w:rsidRPr="00837A41" w:rsidRDefault="002F5AD0" w:rsidP="0073531A">
            <w:pPr>
              <w:shd w:val="clear" w:color="auto" w:fill="FFFFFF"/>
              <w:jc w:val="right"/>
            </w:pPr>
            <w:r w:rsidRPr="00837A41">
              <w:rPr>
                <w:b/>
                <w:bCs/>
                <w:szCs w:val="18"/>
              </w:rPr>
              <w:t>602 000</w:t>
            </w:r>
          </w:p>
        </w:tc>
      </w:tr>
      <w:tr w:rsidR="002F5AD0" w:rsidRPr="00837A41" w14:paraId="013F6098" w14:textId="77777777" w:rsidTr="0073531A">
        <w:trPr>
          <w:trHeight w:val="20"/>
          <w:jc w:val="center"/>
        </w:trPr>
        <w:tc>
          <w:tcPr>
            <w:tcW w:w="630" w:type="dxa"/>
            <w:tcBorders>
              <w:left w:val="nil"/>
              <w:bottom w:val="nil"/>
              <w:right w:val="nil"/>
            </w:tcBorders>
            <w:shd w:val="clear" w:color="auto" w:fill="FFFFFF"/>
          </w:tcPr>
          <w:p w14:paraId="27B6C597" w14:textId="77777777" w:rsidR="002F5AD0" w:rsidRPr="00837A41" w:rsidRDefault="002F5AD0" w:rsidP="00837A41">
            <w:pPr>
              <w:shd w:val="clear" w:color="auto" w:fill="FFFFFF"/>
            </w:pPr>
          </w:p>
        </w:tc>
        <w:tc>
          <w:tcPr>
            <w:tcW w:w="4860" w:type="dxa"/>
            <w:tcBorders>
              <w:left w:val="nil"/>
              <w:bottom w:val="nil"/>
              <w:right w:val="nil"/>
            </w:tcBorders>
            <w:shd w:val="clear" w:color="auto" w:fill="FFFFFF"/>
          </w:tcPr>
          <w:p w14:paraId="29C70ACC" w14:textId="77777777" w:rsidR="002F5AD0" w:rsidRPr="00837A41" w:rsidRDefault="002F5AD0" w:rsidP="0073531A">
            <w:pPr>
              <w:shd w:val="clear" w:color="auto" w:fill="FFFFFF"/>
              <w:tabs>
                <w:tab w:val="left" w:leader="dot" w:pos="4680"/>
              </w:tabs>
              <w:jc w:val="both"/>
            </w:pPr>
          </w:p>
        </w:tc>
        <w:tc>
          <w:tcPr>
            <w:tcW w:w="1170" w:type="dxa"/>
            <w:tcBorders>
              <w:left w:val="nil"/>
              <w:bottom w:val="nil"/>
              <w:right w:val="nil"/>
            </w:tcBorders>
            <w:shd w:val="clear" w:color="auto" w:fill="FFFFFF"/>
            <w:vAlign w:val="bottom"/>
          </w:tcPr>
          <w:p w14:paraId="53F5FEE3" w14:textId="77777777" w:rsidR="002F5AD0" w:rsidRPr="00837A41" w:rsidRDefault="002F5AD0" w:rsidP="0073531A">
            <w:pPr>
              <w:shd w:val="clear" w:color="auto" w:fill="FFFFFF"/>
              <w:jc w:val="right"/>
            </w:pPr>
            <w:r w:rsidRPr="00837A41">
              <w:rPr>
                <w:szCs w:val="18"/>
              </w:rPr>
              <w:t>28 734 000</w:t>
            </w:r>
          </w:p>
        </w:tc>
        <w:tc>
          <w:tcPr>
            <w:tcW w:w="1170" w:type="dxa"/>
            <w:tcBorders>
              <w:top w:val="nil"/>
              <w:left w:val="nil"/>
              <w:bottom w:val="nil"/>
              <w:right w:val="nil"/>
            </w:tcBorders>
            <w:shd w:val="clear" w:color="auto" w:fill="FFFFFF"/>
            <w:vAlign w:val="bottom"/>
          </w:tcPr>
          <w:p w14:paraId="1F402EF2" w14:textId="77777777" w:rsidR="002F5AD0" w:rsidRPr="00837A41" w:rsidRDefault="002F5AD0" w:rsidP="0073531A">
            <w:pPr>
              <w:shd w:val="clear" w:color="auto" w:fill="FFFFFF"/>
              <w:jc w:val="right"/>
            </w:pPr>
            <w:r w:rsidRPr="00837A41">
              <w:rPr>
                <w:rFonts w:eastAsia="Times New Roman"/>
                <w:szCs w:val="18"/>
              </w:rPr>
              <w:t>—</w:t>
            </w:r>
          </w:p>
        </w:tc>
        <w:tc>
          <w:tcPr>
            <w:tcW w:w="1199" w:type="dxa"/>
            <w:tcBorders>
              <w:top w:val="nil"/>
              <w:left w:val="nil"/>
              <w:bottom w:val="nil"/>
              <w:right w:val="nil"/>
            </w:tcBorders>
            <w:shd w:val="clear" w:color="auto" w:fill="FFFFFF"/>
            <w:vAlign w:val="bottom"/>
          </w:tcPr>
          <w:p w14:paraId="7C55C3A4" w14:textId="77777777" w:rsidR="002F5AD0" w:rsidRPr="00837A41" w:rsidRDefault="002F5AD0" w:rsidP="0073531A">
            <w:pPr>
              <w:shd w:val="clear" w:color="auto" w:fill="FFFFFF"/>
              <w:jc w:val="right"/>
            </w:pPr>
            <w:r w:rsidRPr="00837A41">
              <w:rPr>
                <w:szCs w:val="18"/>
              </w:rPr>
              <w:t>28 734 000</w:t>
            </w:r>
          </w:p>
        </w:tc>
      </w:tr>
      <w:tr w:rsidR="002F5AD0" w:rsidRPr="00837A41" w14:paraId="0CFD22A6" w14:textId="77777777" w:rsidTr="0073531A">
        <w:trPr>
          <w:trHeight w:val="20"/>
          <w:jc w:val="center"/>
        </w:trPr>
        <w:tc>
          <w:tcPr>
            <w:tcW w:w="630" w:type="dxa"/>
            <w:tcBorders>
              <w:top w:val="nil"/>
              <w:left w:val="nil"/>
              <w:right w:val="nil"/>
            </w:tcBorders>
            <w:shd w:val="clear" w:color="auto" w:fill="FFFFFF"/>
          </w:tcPr>
          <w:p w14:paraId="77695DFD" w14:textId="77777777" w:rsidR="002F5AD0" w:rsidRPr="00837A41" w:rsidRDefault="002F5AD0" w:rsidP="00837A41">
            <w:pPr>
              <w:shd w:val="clear" w:color="auto" w:fill="FFFFFF"/>
              <w:tabs>
                <w:tab w:val="left" w:leader="dot" w:pos="3835"/>
              </w:tabs>
              <w:jc w:val="both"/>
            </w:pPr>
            <w:r w:rsidRPr="00837A41">
              <w:rPr>
                <w:szCs w:val="18"/>
              </w:rPr>
              <w:t>106</w:t>
            </w:r>
          </w:p>
        </w:tc>
        <w:tc>
          <w:tcPr>
            <w:tcW w:w="4860" w:type="dxa"/>
            <w:tcBorders>
              <w:top w:val="nil"/>
              <w:left w:val="nil"/>
              <w:right w:val="nil"/>
            </w:tcBorders>
            <w:shd w:val="clear" w:color="auto" w:fill="FFFFFF"/>
          </w:tcPr>
          <w:p w14:paraId="2047AAA6" w14:textId="77777777" w:rsidR="002F5AD0" w:rsidRPr="00837A41" w:rsidRDefault="002F5AD0" w:rsidP="0073531A">
            <w:pPr>
              <w:shd w:val="clear" w:color="auto" w:fill="FFFFFF"/>
              <w:tabs>
                <w:tab w:val="left" w:leader="dot" w:pos="4680"/>
              </w:tabs>
              <w:jc w:val="both"/>
            </w:pPr>
            <w:r w:rsidRPr="00837A41">
              <w:rPr>
                <w:szCs w:val="18"/>
              </w:rPr>
              <w:t>Parliamentary Library</w:t>
            </w:r>
            <w:r w:rsidR="0073531A">
              <w:rPr>
                <w:szCs w:val="18"/>
              </w:rPr>
              <w:tab/>
            </w:r>
          </w:p>
        </w:tc>
        <w:tc>
          <w:tcPr>
            <w:tcW w:w="1170" w:type="dxa"/>
            <w:tcBorders>
              <w:top w:val="nil"/>
              <w:left w:val="nil"/>
              <w:right w:val="nil"/>
            </w:tcBorders>
            <w:shd w:val="clear" w:color="auto" w:fill="FFFFFF"/>
            <w:vAlign w:val="bottom"/>
          </w:tcPr>
          <w:p w14:paraId="786A6B5B" w14:textId="77777777" w:rsidR="002F5AD0" w:rsidRPr="00837A41" w:rsidRDefault="002F5AD0" w:rsidP="0073531A">
            <w:pPr>
              <w:shd w:val="clear" w:color="auto" w:fill="FFFFFF"/>
              <w:jc w:val="right"/>
            </w:pPr>
            <w:r w:rsidRPr="00837A41">
              <w:rPr>
                <w:b/>
                <w:bCs/>
                <w:szCs w:val="18"/>
              </w:rPr>
              <w:t>773 000</w:t>
            </w:r>
          </w:p>
        </w:tc>
        <w:tc>
          <w:tcPr>
            <w:tcW w:w="1170" w:type="dxa"/>
            <w:tcBorders>
              <w:top w:val="nil"/>
              <w:left w:val="nil"/>
              <w:bottom w:val="nil"/>
              <w:right w:val="nil"/>
            </w:tcBorders>
            <w:shd w:val="clear" w:color="auto" w:fill="FFFFFF"/>
            <w:vAlign w:val="bottom"/>
          </w:tcPr>
          <w:p w14:paraId="25A58616" w14:textId="77777777" w:rsidR="002F5AD0" w:rsidRPr="00837A41" w:rsidRDefault="002F5AD0" w:rsidP="0073531A">
            <w:pPr>
              <w:shd w:val="clear" w:color="auto" w:fill="FFFFFF"/>
              <w:jc w:val="right"/>
            </w:pPr>
            <w:r w:rsidRPr="00837A41">
              <w:rPr>
                <w:rFonts w:eastAsia="Times New Roman"/>
                <w:szCs w:val="18"/>
              </w:rPr>
              <w:t>—</w:t>
            </w:r>
          </w:p>
        </w:tc>
        <w:tc>
          <w:tcPr>
            <w:tcW w:w="1199" w:type="dxa"/>
            <w:tcBorders>
              <w:top w:val="nil"/>
              <w:left w:val="nil"/>
              <w:bottom w:val="nil"/>
              <w:right w:val="nil"/>
            </w:tcBorders>
            <w:shd w:val="clear" w:color="auto" w:fill="FFFFFF"/>
            <w:vAlign w:val="bottom"/>
          </w:tcPr>
          <w:p w14:paraId="5A15AF91" w14:textId="77777777" w:rsidR="002F5AD0" w:rsidRPr="00837A41" w:rsidRDefault="002F5AD0" w:rsidP="0073531A">
            <w:pPr>
              <w:shd w:val="clear" w:color="auto" w:fill="FFFFFF"/>
              <w:jc w:val="right"/>
            </w:pPr>
            <w:r w:rsidRPr="00837A41">
              <w:rPr>
                <w:b/>
                <w:bCs/>
                <w:szCs w:val="18"/>
              </w:rPr>
              <w:t>773 000</w:t>
            </w:r>
          </w:p>
        </w:tc>
      </w:tr>
      <w:tr w:rsidR="002F5AD0" w:rsidRPr="00837A41" w14:paraId="063CC424" w14:textId="77777777" w:rsidTr="0073531A">
        <w:trPr>
          <w:trHeight w:val="20"/>
          <w:jc w:val="center"/>
        </w:trPr>
        <w:tc>
          <w:tcPr>
            <w:tcW w:w="630" w:type="dxa"/>
            <w:tcBorders>
              <w:left w:val="nil"/>
              <w:bottom w:val="nil"/>
              <w:right w:val="nil"/>
            </w:tcBorders>
            <w:shd w:val="clear" w:color="auto" w:fill="FFFFFF"/>
          </w:tcPr>
          <w:p w14:paraId="6626ED07" w14:textId="77777777" w:rsidR="002F5AD0" w:rsidRPr="00837A41" w:rsidRDefault="002F5AD0" w:rsidP="00837A41">
            <w:pPr>
              <w:shd w:val="clear" w:color="auto" w:fill="FFFFFF"/>
            </w:pPr>
          </w:p>
        </w:tc>
        <w:tc>
          <w:tcPr>
            <w:tcW w:w="4860" w:type="dxa"/>
            <w:tcBorders>
              <w:left w:val="nil"/>
              <w:bottom w:val="nil"/>
              <w:right w:val="nil"/>
            </w:tcBorders>
            <w:shd w:val="clear" w:color="auto" w:fill="FFFFFF"/>
          </w:tcPr>
          <w:p w14:paraId="7E60249E" w14:textId="77777777" w:rsidR="002F5AD0" w:rsidRPr="00837A41" w:rsidRDefault="002F5AD0" w:rsidP="0073531A">
            <w:pPr>
              <w:shd w:val="clear" w:color="auto" w:fill="FFFFFF"/>
              <w:tabs>
                <w:tab w:val="left" w:leader="dot" w:pos="4680"/>
              </w:tabs>
              <w:jc w:val="both"/>
            </w:pPr>
          </w:p>
        </w:tc>
        <w:tc>
          <w:tcPr>
            <w:tcW w:w="1170" w:type="dxa"/>
            <w:tcBorders>
              <w:left w:val="nil"/>
              <w:bottom w:val="nil"/>
              <w:right w:val="nil"/>
            </w:tcBorders>
            <w:shd w:val="clear" w:color="auto" w:fill="FFFFFF"/>
            <w:vAlign w:val="bottom"/>
          </w:tcPr>
          <w:p w14:paraId="4969C400" w14:textId="77777777" w:rsidR="002F5AD0" w:rsidRPr="00837A41" w:rsidRDefault="002F5AD0" w:rsidP="0073531A">
            <w:pPr>
              <w:shd w:val="clear" w:color="auto" w:fill="FFFFFF"/>
              <w:jc w:val="right"/>
            </w:pPr>
            <w:r w:rsidRPr="00837A41">
              <w:rPr>
                <w:szCs w:val="18"/>
              </w:rPr>
              <w:t>12 814 000</w:t>
            </w:r>
          </w:p>
        </w:tc>
        <w:tc>
          <w:tcPr>
            <w:tcW w:w="1170" w:type="dxa"/>
            <w:tcBorders>
              <w:top w:val="nil"/>
              <w:left w:val="nil"/>
              <w:bottom w:val="nil"/>
              <w:right w:val="nil"/>
            </w:tcBorders>
            <w:shd w:val="clear" w:color="auto" w:fill="FFFFFF"/>
            <w:vAlign w:val="bottom"/>
          </w:tcPr>
          <w:p w14:paraId="7990FE8D" w14:textId="77777777" w:rsidR="002F5AD0" w:rsidRPr="00837A41" w:rsidRDefault="002F5AD0" w:rsidP="0073531A">
            <w:pPr>
              <w:shd w:val="clear" w:color="auto" w:fill="FFFFFF"/>
              <w:jc w:val="right"/>
            </w:pPr>
            <w:r w:rsidRPr="00837A41">
              <w:rPr>
                <w:szCs w:val="18"/>
              </w:rPr>
              <w:t>72 000</w:t>
            </w:r>
          </w:p>
        </w:tc>
        <w:tc>
          <w:tcPr>
            <w:tcW w:w="1199" w:type="dxa"/>
            <w:tcBorders>
              <w:top w:val="nil"/>
              <w:left w:val="nil"/>
              <w:bottom w:val="nil"/>
              <w:right w:val="nil"/>
            </w:tcBorders>
            <w:shd w:val="clear" w:color="auto" w:fill="FFFFFF"/>
            <w:vAlign w:val="bottom"/>
          </w:tcPr>
          <w:p w14:paraId="4A825D29" w14:textId="77777777" w:rsidR="002F5AD0" w:rsidRPr="00837A41" w:rsidRDefault="002F5AD0" w:rsidP="0073531A">
            <w:pPr>
              <w:shd w:val="clear" w:color="auto" w:fill="FFFFFF"/>
              <w:jc w:val="right"/>
            </w:pPr>
            <w:r w:rsidRPr="00837A41">
              <w:rPr>
                <w:szCs w:val="18"/>
              </w:rPr>
              <w:t>12 886 000</w:t>
            </w:r>
          </w:p>
        </w:tc>
      </w:tr>
      <w:tr w:rsidR="002F5AD0" w:rsidRPr="00837A41" w14:paraId="2AD34231" w14:textId="77777777" w:rsidTr="0073531A">
        <w:trPr>
          <w:trHeight w:val="20"/>
          <w:jc w:val="center"/>
        </w:trPr>
        <w:tc>
          <w:tcPr>
            <w:tcW w:w="630" w:type="dxa"/>
            <w:tcBorders>
              <w:top w:val="nil"/>
              <w:left w:val="nil"/>
              <w:right w:val="nil"/>
            </w:tcBorders>
            <w:shd w:val="clear" w:color="auto" w:fill="FFFFFF"/>
          </w:tcPr>
          <w:p w14:paraId="643D4F2D" w14:textId="77777777" w:rsidR="002F5AD0" w:rsidRPr="00837A41" w:rsidRDefault="002F5AD0" w:rsidP="00837A41">
            <w:pPr>
              <w:shd w:val="clear" w:color="auto" w:fill="FFFFFF"/>
              <w:tabs>
                <w:tab w:val="left" w:leader="dot" w:pos="3835"/>
              </w:tabs>
              <w:jc w:val="both"/>
            </w:pPr>
            <w:r w:rsidRPr="00837A41">
              <w:rPr>
                <w:szCs w:val="18"/>
              </w:rPr>
              <w:t>107</w:t>
            </w:r>
          </w:p>
        </w:tc>
        <w:tc>
          <w:tcPr>
            <w:tcW w:w="4860" w:type="dxa"/>
            <w:tcBorders>
              <w:top w:val="nil"/>
              <w:left w:val="nil"/>
              <w:right w:val="nil"/>
            </w:tcBorders>
            <w:shd w:val="clear" w:color="auto" w:fill="FFFFFF"/>
          </w:tcPr>
          <w:p w14:paraId="1F1350BC" w14:textId="77777777" w:rsidR="002F5AD0" w:rsidRPr="00837A41" w:rsidRDefault="002F5AD0" w:rsidP="0073531A">
            <w:pPr>
              <w:shd w:val="clear" w:color="auto" w:fill="FFFFFF"/>
              <w:tabs>
                <w:tab w:val="left" w:leader="dot" w:pos="4680"/>
              </w:tabs>
              <w:jc w:val="both"/>
            </w:pPr>
            <w:r w:rsidRPr="00837A41">
              <w:rPr>
                <w:szCs w:val="18"/>
              </w:rPr>
              <w:t>Joint House Department</w:t>
            </w:r>
            <w:r w:rsidR="0073531A">
              <w:rPr>
                <w:szCs w:val="18"/>
              </w:rPr>
              <w:tab/>
            </w:r>
          </w:p>
        </w:tc>
        <w:tc>
          <w:tcPr>
            <w:tcW w:w="1170" w:type="dxa"/>
            <w:tcBorders>
              <w:top w:val="nil"/>
              <w:left w:val="nil"/>
              <w:right w:val="nil"/>
            </w:tcBorders>
            <w:shd w:val="clear" w:color="auto" w:fill="FFFFFF"/>
            <w:vAlign w:val="bottom"/>
          </w:tcPr>
          <w:p w14:paraId="430CF88A" w14:textId="77777777" w:rsidR="002F5AD0" w:rsidRPr="00837A41" w:rsidRDefault="002F5AD0" w:rsidP="0073531A">
            <w:pPr>
              <w:shd w:val="clear" w:color="auto" w:fill="FFFFFF"/>
              <w:jc w:val="right"/>
            </w:pPr>
            <w:r w:rsidRPr="00837A41">
              <w:rPr>
                <w:b/>
                <w:bCs/>
                <w:szCs w:val="18"/>
              </w:rPr>
              <w:t>125 000</w:t>
            </w:r>
          </w:p>
        </w:tc>
        <w:tc>
          <w:tcPr>
            <w:tcW w:w="1170" w:type="dxa"/>
            <w:tcBorders>
              <w:top w:val="nil"/>
              <w:left w:val="nil"/>
              <w:bottom w:val="nil"/>
              <w:right w:val="nil"/>
            </w:tcBorders>
            <w:shd w:val="clear" w:color="auto" w:fill="FFFFFF"/>
            <w:vAlign w:val="bottom"/>
          </w:tcPr>
          <w:p w14:paraId="63A7A178" w14:textId="77777777" w:rsidR="002F5AD0" w:rsidRPr="00837A41" w:rsidRDefault="002F5AD0" w:rsidP="0073531A">
            <w:pPr>
              <w:shd w:val="clear" w:color="auto" w:fill="FFFFFF"/>
              <w:jc w:val="right"/>
            </w:pPr>
            <w:r w:rsidRPr="00837A41">
              <w:rPr>
                <w:rFonts w:eastAsia="Times New Roman"/>
                <w:szCs w:val="18"/>
              </w:rPr>
              <w:t>—</w:t>
            </w:r>
          </w:p>
        </w:tc>
        <w:tc>
          <w:tcPr>
            <w:tcW w:w="1199" w:type="dxa"/>
            <w:tcBorders>
              <w:top w:val="nil"/>
              <w:left w:val="nil"/>
              <w:bottom w:val="nil"/>
              <w:right w:val="nil"/>
            </w:tcBorders>
            <w:shd w:val="clear" w:color="auto" w:fill="FFFFFF"/>
            <w:vAlign w:val="bottom"/>
          </w:tcPr>
          <w:p w14:paraId="30EA628B" w14:textId="77777777" w:rsidR="002F5AD0" w:rsidRPr="00837A41" w:rsidRDefault="002F5AD0" w:rsidP="0073531A">
            <w:pPr>
              <w:shd w:val="clear" w:color="auto" w:fill="FFFFFF"/>
              <w:jc w:val="right"/>
            </w:pPr>
            <w:r w:rsidRPr="00837A41">
              <w:rPr>
                <w:b/>
                <w:bCs/>
                <w:szCs w:val="18"/>
              </w:rPr>
              <w:t>125 000</w:t>
            </w:r>
          </w:p>
        </w:tc>
      </w:tr>
      <w:tr w:rsidR="002F5AD0" w:rsidRPr="00837A41" w14:paraId="35436BFB" w14:textId="77777777" w:rsidTr="0073531A">
        <w:trPr>
          <w:trHeight w:val="20"/>
          <w:jc w:val="center"/>
        </w:trPr>
        <w:tc>
          <w:tcPr>
            <w:tcW w:w="630" w:type="dxa"/>
            <w:tcBorders>
              <w:left w:val="nil"/>
              <w:bottom w:val="nil"/>
              <w:right w:val="nil"/>
            </w:tcBorders>
            <w:shd w:val="clear" w:color="auto" w:fill="FFFFFF"/>
          </w:tcPr>
          <w:p w14:paraId="059F2786" w14:textId="77777777" w:rsidR="002F5AD0" w:rsidRPr="00837A41" w:rsidRDefault="002F5AD0" w:rsidP="00837A41">
            <w:pPr>
              <w:shd w:val="clear" w:color="auto" w:fill="FFFFFF"/>
            </w:pPr>
          </w:p>
        </w:tc>
        <w:tc>
          <w:tcPr>
            <w:tcW w:w="4860" w:type="dxa"/>
            <w:tcBorders>
              <w:left w:val="nil"/>
              <w:bottom w:val="nil"/>
              <w:right w:val="nil"/>
            </w:tcBorders>
            <w:shd w:val="clear" w:color="auto" w:fill="FFFFFF"/>
          </w:tcPr>
          <w:p w14:paraId="45BBEB5D" w14:textId="77777777" w:rsidR="002F5AD0" w:rsidRPr="00837A41" w:rsidRDefault="002F5AD0" w:rsidP="0073531A">
            <w:pPr>
              <w:shd w:val="clear" w:color="auto" w:fill="FFFFFF"/>
              <w:tabs>
                <w:tab w:val="left" w:leader="dot" w:pos="4680"/>
              </w:tabs>
              <w:jc w:val="both"/>
            </w:pPr>
          </w:p>
        </w:tc>
        <w:tc>
          <w:tcPr>
            <w:tcW w:w="1170" w:type="dxa"/>
            <w:tcBorders>
              <w:left w:val="nil"/>
              <w:bottom w:val="single" w:sz="6" w:space="0" w:color="auto"/>
              <w:right w:val="nil"/>
            </w:tcBorders>
            <w:shd w:val="clear" w:color="auto" w:fill="FFFFFF"/>
            <w:vAlign w:val="bottom"/>
          </w:tcPr>
          <w:p w14:paraId="554124A7" w14:textId="77777777" w:rsidR="002F5AD0" w:rsidRPr="00837A41" w:rsidRDefault="002F5AD0" w:rsidP="0073531A">
            <w:pPr>
              <w:shd w:val="clear" w:color="auto" w:fill="FFFFFF"/>
              <w:spacing w:after="120"/>
              <w:jc w:val="right"/>
            </w:pPr>
            <w:r w:rsidRPr="00837A41">
              <w:rPr>
                <w:szCs w:val="18"/>
              </w:rPr>
              <w:t>34 355 000</w:t>
            </w:r>
          </w:p>
        </w:tc>
        <w:tc>
          <w:tcPr>
            <w:tcW w:w="1170" w:type="dxa"/>
            <w:tcBorders>
              <w:top w:val="nil"/>
              <w:left w:val="nil"/>
              <w:bottom w:val="single" w:sz="6" w:space="0" w:color="auto"/>
              <w:right w:val="nil"/>
            </w:tcBorders>
            <w:shd w:val="clear" w:color="auto" w:fill="FFFFFF"/>
            <w:vAlign w:val="bottom"/>
          </w:tcPr>
          <w:p w14:paraId="3F27FAA7" w14:textId="77777777" w:rsidR="002F5AD0" w:rsidRPr="00837A41" w:rsidRDefault="002F5AD0" w:rsidP="0073531A">
            <w:pPr>
              <w:shd w:val="clear" w:color="auto" w:fill="FFFFFF"/>
              <w:spacing w:after="120"/>
              <w:jc w:val="right"/>
            </w:pPr>
            <w:r w:rsidRPr="00837A41">
              <w:rPr>
                <w:szCs w:val="18"/>
              </w:rPr>
              <w:t>2 686 000</w:t>
            </w:r>
          </w:p>
        </w:tc>
        <w:tc>
          <w:tcPr>
            <w:tcW w:w="1199" w:type="dxa"/>
            <w:tcBorders>
              <w:top w:val="nil"/>
              <w:left w:val="nil"/>
              <w:bottom w:val="single" w:sz="6" w:space="0" w:color="auto"/>
              <w:right w:val="nil"/>
            </w:tcBorders>
            <w:shd w:val="clear" w:color="auto" w:fill="FFFFFF"/>
            <w:vAlign w:val="bottom"/>
          </w:tcPr>
          <w:p w14:paraId="7BC7A64A" w14:textId="77777777" w:rsidR="002F5AD0" w:rsidRPr="00837A41" w:rsidRDefault="002F5AD0" w:rsidP="0073531A">
            <w:pPr>
              <w:shd w:val="clear" w:color="auto" w:fill="FFFFFF"/>
              <w:spacing w:after="120"/>
              <w:jc w:val="right"/>
            </w:pPr>
            <w:r w:rsidRPr="00837A41">
              <w:rPr>
                <w:szCs w:val="18"/>
              </w:rPr>
              <w:t>37 041 000</w:t>
            </w:r>
          </w:p>
        </w:tc>
      </w:tr>
      <w:tr w:rsidR="0073531A" w:rsidRPr="00837A41" w14:paraId="387178A8" w14:textId="77777777" w:rsidTr="0073531A">
        <w:trPr>
          <w:trHeight w:val="20"/>
          <w:jc w:val="center"/>
        </w:trPr>
        <w:tc>
          <w:tcPr>
            <w:tcW w:w="630" w:type="dxa"/>
            <w:tcBorders>
              <w:left w:val="nil"/>
              <w:bottom w:val="nil"/>
              <w:right w:val="nil"/>
            </w:tcBorders>
            <w:shd w:val="clear" w:color="auto" w:fill="FFFFFF"/>
          </w:tcPr>
          <w:p w14:paraId="769242D7" w14:textId="77777777" w:rsidR="0073531A" w:rsidRPr="00837A41" w:rsidRDefault="0073531A" w:rsidP="0073531A">
            <w:pPr>
              <w:shd w:val="clear" w:color="auto" w:fill="FFFFFF"/>
            </w:pPr>
          </w:p>
        </w:tc>
        <w:tc>
          <w:tcPr>
            <w:tcW w:w="4860" w:type="dxa"/>
            <w:tcBorders>
              <w:left w:val="nil"/>
              <w:bottom w:val="nil"/>
              <w:right w:val="nil"/>
            </w:tcBorders>
            <w:shd w:val="clear" w:color="auto" w:fill="FFFFFF"/>
          </w:tcPr>
          <w:p w14:paraId="641B16F5" w14:textId="77777777" w:rsidR="0073531A" w:rsidRPr="00837A41" w:rsidRDefault="0073531A" w:rsidP="0073531A">
            <w:pPr>
              <w:shd w:val="clear" w:color="auto" w:fill="FFFFFF"/>
              <w:tabs>
                <w:tab w:val="left" w:leader="dot" w:pos="4680"/>
              </w:tabs>
              <w:spacing w:before="120"/>
              <w:jc w:val="both"/>
            </w:pPr>
            <w:r w:rsidRPr="00837A41">
              <w:rPr>
                <w:b/>
                <w:bCs/>
                <w:szCs w:val="18"/>
              </w:rPr>
              <w:t>Total</w:t>
            </w:r>
            <w:r>
              <w:rPr>
                <w:b/>
                <w:bCs/>
                <w:szCs w:val="18"/>
              </w:rPr>
              <w:tab/>
            </w:r>
          </w:p>
        </w:tc>
        <w:tc>
          <w:tcPr>
            <w:tcW w:w="1170" w:type="dxa"/>
            <w:tcBorders>
              <w:left w:val="nil"/>
              <w:bottom w:val="nil"/>
              <w:right w:val="nil"/>
            </w:tcBorders>
            <w:shd w:val="clear" w:color="auto" w:fill="FFFFFF"/>
            <w:vAlign w:val="bottom"/>
          </w:tcPr>
          <w:p w14:paraId="7E4CA1B9" w14:textId="77777777" w:rsidR="0073531A" w:rsidRPr="00837A41" w:rsidRDefault="0073531A" w:rsidP="0073531A">
            <w:pPr>
              <w:shd w:val="clear" w:color="auto" w:fill="FFFFFF"/>
              <w:jc w:val="right"/>
            </w:pPr>
            <w:r w:rsidRPr="00837A41">
              <w:rPr>
                <w:b/>
                <w:bCs/>
                <w:szCs w:val="18"/>
              </w:rPr>
              <w:t>2</w:t>
            </w:r>
            <w:r w:rsidRPr="00837A41">
              <w:rPr>
                <w:szCs w:val="18"/>
              </w:rPr>
              <w:t xml:space="preserve"> </w:t>
            </w:r>
            <w:r w:rsidRPr="00837A41">
              <w:rPr>
                <w:b/>
                <w:bCs/>
                <w:szCs w:val="18"/>
              </w:rPr>
              <w:t>013 000</w:t>
            </w:r>
          </w:p>
        </w:tc>
        <w:tc>
          <w:tcPr>
            <w:tcW w:w="1170" w:type="dxa"/>
            <w:tcBorders>
              <w:top w:val="nil"/>
              <w:left w:val="nil"/>
              <w:bottom w:val="nil"/>
              <w:right w:val="nil"/>
            </w:tcBorders>
            <w:shd w:val="clear" w:color="auto" w:fill="FFFFFF"/>
            <w:vAlign w:val="bottom"/>
          </w:tcPr>
          <w:p w14:paraId="5CE5258D" w14:textId="77777777" w:rsidR="0073531A" w:rsidRPr="00837A41" w:rsidRDefault="0073531A" w:rsidP="0073531A">
            <w:pPr>
              <w:shd w:val="clear" w:color="auto" w:fill="FFFFFF"/>
              <w:tabs>
                <w:tab w:val="left" w:leader="underscore" w:pos="1051"/>
              </w:tabs>
              <w:jc w:val="right"/>
            </w:pPr>
            <w:r w:rsidRPr="00837A41">
              <w:rPr>
                <w:rFonts w:eastAsia="Times New Roman"/>
                <w:szCs w:val="18"/>
              </w:rPr>
              <w:t>—</w:t>
            </w:r>
          </w:p>
        </w:tc>
        <w:tc>
          <w:tcPr>
            <w:tcW w:w="1199" w:type="dxa"/>
            <w:tcBorders>
              <w:top w:val="nil"/>
              <w:left w:val="nil"/>
              <w:bottom w:val="nil"/>
              <w:right w:val="nil"/>
            </w:tcBorders>
            <w:shd w:val="clear" w:color="auto" w:fill="FFFFFF"/>
            <w:vAlign w:val="bottom"/>
          </w:tcPr>
          <w:p w14:paraId="5DDE6910" w14:textId="77777777" w:rsidR="0073531A" w:rsidRPr="00837A41" w:rsidRDefault="0073531A" w:rsidP="0073531A">
            <w:pPr>
              <w:shd w:val="clear" w:color="auto" w:fill="FFFFFF"/>
              <w:jc w:val="right"/>
            </w:pPr>
            <w:r w:rsidRPr="00837A41">
              <w:rPr>
                <w:b/>
                <w:bCs/>
                <w:szCs w:val="18"/>
              </w:rPr>
              <w:t>2</w:t>
            </w:r>
            <w:r w:rsidRPr="00837A41">
              <w:rPr>
                <w:szCs w:val="18"/>
              </w:rPr>
              <w:t xml:space="preserve"> </w:t>
            </w:r>
            <w:r w:rsidRPr="00837A41">
              <w:rPr>
                <w:b/>
                <w:bCs/>
                <w:szCs w:val="18"/>
              </w:rPr>
              <w:t>013 000</w:t>
            </w:r>
          </w:p>
        </w:tc>
      </w:tr>
      <w:tr w:rsidR="002F5AD0" w:rsidRPr="00837A41" w14:paraId="0E14F5CC" w14:textId="77777777" w:rsidTr="0073531A">
        <w:trPr>
          <w:trHeight w:val="20"/>
          <w:jc w:val="center"/>
        </w:trPr>
        <w:tc>
          <w:tcPr>
            <w:tcW w:w="630" w:type="dxa"/>
            <w:tcBorders>
              <w:left w:val="nil"/>
              <w:bottom w:val="single" w:sz="4" w:space="0" w:color="auto"/>
              <w:right w:val="nil"/>
            </w:tcBorders>
            <w:shd w:val="clear" w:color="auto" w:fill="FFFFFF"/>
          </w:tcPr>
          <w:p w14:paraId="742EA9CF" w14:textId="77777777" w:rsidR="002F5AD0" w:rsidRPr="00837A41" w:rsidRDefault="002F5AD0" w:rsidP="00837A41">
            <w:pPr>
              <w:shd w:val="clear" w:color="auto" w:fill="FFFFFF"/>
            </w:pPr>
          </w:p>
        </w:tc>
        <w:tc>
          <w:tcPr>
            <w:tcW w:w="4860" w:type="dxa"/>
            <w:tcBorders>
              <w:left w:val="nil"/>
              <w:bottom w:val="single" w:sz="4" w:space="0" w:color="auto"/>
              <w:right w:val="nil"/>
            </w:tcBorders>
            <w:shd w:val="clear" w:color="auto" w:fill="FFFFFF"/>
          </w:tcPr>
          <w:p w14:paraId="3D354FCD" w14:textId="77777777" w:rsidR="002F5AD0" w:rsidRPr="00837A41" w:rsidRDefault="002F5AD0" w:rsidP="00837A41">
            <w:pPr>
              <w:shd w:val="clear" w:color="auto" w:fill="FFFFFF"/>
              <w:jc w:val="both"/>
            </w:pPr>
          </w:p>
        </w:tc>
        <w:tc>
          <w:tcPr>
            <w:tcW w:w="1170" w:type="dxa"/>
            <w:tcBorders>
              <w:left w:val="nil"/>
              <w:bottom w:val="single" w:sz="4" w:space="0" w:color="auto"/>
              <w:right w:val="nil"/>
            </w:tcBorders>
            <w:shd w:val="clear" w:color="auto" w:fill="FFFFFF"/>
            <w:vAlign w:val="bottom"/>
          </w:tcPr>
          <w:p w14:paraId="41435100" w14:textId="77777777" w:rsidR="002F5AD0" w:rsidRPr="00837A41" w:rsidRDefault="002F5AD0" w:rsidP="0073531A">
            <w:pPr>
              <w:shd w:val="clear" w:color="auto" w:fill="FFFFFF"/>
              <w:spacing w:after="120"/>
              <w:jc w:val="right"/>
            </w:pPr>
            <w:r w:rsidRPr="00837A41">
              <w:rPr>
                <w:szCs w:val="18"/>
              </w:rPr>
              <w:t>121 348 000</w:t>
            </w:r>
          </w:p>
        </w:tc>
        <w:tc>
          <w:tcPr>
            <w:tcW w:w="1170" w:type="dxa"/>
            <w:tcBorders>
              <w:top w:val="nil"/>
              <w:left w:val="nil"/>
              <w:bottom w:val="single" w:sz="4" w:space="0" w:color="auto"/>
              <w:right w:val="nil"/>
            </w:tcBorders>
            <w:shd w:val="clear" w:color="auto" w:fill="FFFFFF"/>
            <w:vAlign w:val="bottom"/>
          </w:tcPr>
          <w:p w14:paraId="4E874B8F" w14:textId="77777777" w:rsidR="002F5AD0" w:rsidRPr="00837A41" w:rsidRDefault="002F5AD0" w:rsidP="0073531A">
            <w:pPr>
              <w:shd w:val="clear" w:color="auto" w:fill="FFFFFF"/>
              <w:spacing w:after="120"/>
              <w:jc w:val="right"/>
            </w:pPr>
            <w:r w:rsidRPr="00837A41">
              <w:rPr>
                <w:szCs w:val="18"/>
              </w:rPr>
              <w:t>3 452 000</w:t>
            </w:r>
          </w:p>
        </w:tc>
        <w:tc>
          <w:tcPr>
            <w:tcW w:w="1199" w:type="dxa"/>
            <w:tcBorders>
              <w:top w:val="nil"/>
              <w:left w:val="nil"/>
              <w:bottom w:val="single" w:sz="4" w:space="0" w:color="auto"/>
              <w:right w:val="nil"/>
            </w:tcBorders>
            <w:shd w:val="clear" w:color="auto" w:fill="FFFFFF"/>
            <w:vAlign w:val="bottom"/>
          </w:tcPr>
          <w:p w14:paraId="376A8FA1" w14:textId="77777777" w:rsidR="002F5AD0" w:rsidRPr="00837A41" w:rsidRDefault="002F5AD0" w:rsidP="0073531A">
            <w:pPr>
              <w:shd w:val="clear" w:color="auto" w:fill="FFFFFF"/>
              <w:spacing w:after="120"/>
              <w:jc w:val="right"/>
            </w:pPr>
            <w:r w:rsidRPr="00837A41">
              <w:rPr>
                <w:szCs w:val="18"/>
              </w:rPr>
              <w:t>124 800 000</w:t>
            </w:r>
          </w:p>
        </w:tc>
      </w:tr>
    </w:tbl>
    <w:p w14:paraId="55265293" w14:textId="77777777" w:rsidR="002F5AD0" w:rsidRPr="00837A41" w:rsidRDefault="002F5AD0" w:rsidP="001D5188">
      <w:pPr>
        <w:shd w:val="clear" w:color="auto" w:fill="FFFFFF"/>
        <w:spacing w:before="120"/>
        <w:ind w:left="331" w:hanging="331"/>
        <w:jc w:val="both"/>
      </w:pPr>
      <w:r w:rsidRPr="00837A41">
        <w:rPr>
          <w:szCs w:val="18"/>
        </w:rPr>
        <w:t>*</w:t>
      </w:r>
      <w:r w:rsidR="001D5188">
        <w:rPr>
          <w:szCs w:val="18"/>
        </w:rPr>
        <w:tab/>
      </w:r>
      <w:r w:rsidRPr="00837A41">
        <w:rPr>
          <w:szCs w:val="18"/>
        </w:rPr>
        <w:t xml:space="preserve">Does not include appropriation under Division 102 </w:t>
      </w:r>
      <w:r w:rsidRPr="00837A41">
        <w:rPr>
          <w:rFonts w:eastAsia="Times New Roman"/>
          <w:szCs w:val="18"/>
        </w:rPr>
        <w:t xml:space="preserve">— Advance to the President of the Senate, $300 000, under Division 104 — Advance to the Speaker of the House of Representatives, $300 000, under Division 108 — Joint Advance to the President and the Speaker, $1 000 000 and under Division 109 — Provision for Running Costs Borrowings, $200 000 in </w:t>
      </w:r>
      <w:r w:rsidRPr="00837A41">
        <w:rPr>
          <w:rFonts w:eastAsia="Times New Roman"/>
          <w:i/>
          <w:iCs/>
          <w:szCs w:val="18"/>
        </w:rPr>
        <w:t xml:space="preserve">Appropriation </w:t>
      </w:r>
      <w:r w:rsidRPr="00837A41">
        <w:rPr>
          <w:rFonts w:eastAsia="Times New Roman"/>
          <w:szCs w:val="18"/>
        </w:rPr>
        <w:t>(</w:t>
      </w:r>
      <w:r w:rsidRPr="00837A41">
        <w:rPr>
          <w:rFonts w:eastAsia="Times New Roman"/>
          <w:i/>
          <w:iCs/>
          <w:szCs w:val="18"/>
        </w:rPr>
        <w:t>Parliamentary Departments</w:t>
      </w:r>
      <w:r w:rsidRPr="00837A41">
        <w:rPr>
          <w:rFonts w:eastAsia="Times New Roman"/>
          <w:szCs w:val="18"/>
        </w:rPr>
        <w:t>)</w:t>
      </w:r>
      <w:r w:rsidRPr="00837A41">
        <w:rPr>
          <w:rFonts w:eastAsia="Times New Roman"/>
          <w:i/>
          <w:iCs/>
          <w:szCs w:val="18"/>
        </w:rPr>
        <w:t xml:space="preserve"> Act 1993-94.</w:t>
      </w:r>
    </w:p>
    <w:p w14:paraId="3A3AA579" w14:textId="77777777" w:rsidR="002F5AD0" w:rsidRPr="00837A41" w:rsidRDefault="00837A41" w:rsidP="00B02076">
      <w:pPr>
        <w:shd w:val="clear" w:color="auto" w:fill="FFFFFF"/>
        <w:spacing w:after="120"/>
        <w:jc w:val="center"/>
      </w:pPr>
      <w:r w:rsidRPr="00837A41">
        <w:br w:type="page"/>
      </w:r>
      <w:r w:rsidR="002F5AD0" w:rsidRPr="00837A41">
        <w:rPr>
          <w:b/>
          <w:bCs/>
          <w:szCs w:val="18"/>
        </w:rPr>
        <w:t xml:space="preserve">SCHEDULE </w:t>
      </w:r>
      <w:r w:rsidR="002F5AD0" w:rsidRPr="00837A41">
        <w:rPr>
          <w:rFonts w:eastAsia="Times New Roman"/>
          <w:szCs w:val="18"/>
        </w:rPr>
        <w:t xml:space="preserve">— </w:t>
      </w:r>
      <w:r w:rsidR="002F5AD0" w:rsidRPr="00837A41">
        <w:rPr>
          <w:rFonts w:eastAsia="Times New Roman"/>
          <w:i/>
          <w:iCs/>
          <w:szCs w:val="18"/>
        </w:rPr>
        <w:t>continued</w:t>
      </w:r>
    </w:p>
    <w:p w14:paraId="76EAE526" w14:textId="77777777" w:rsidR="002F5AD0" w:rsidRPr="00837A41" w:rsidRDefault="002F5AD0" w:rsidP="00837A41">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271"/>
        <w:gridCol w:w="1362"/>
        <w:gridCol w:w="1210"/>
      </w:tblGrid>
      <w:tr w:rsidR="002F5AD0" w:rsidRPr="00837A41" w14:paraId="36CFE59C" w14:textId="77777777" w:rsidTr="00B02076">
        <w:trPr>
          <w:trHeight w:val="20"/>
          <w:jc w:val="center"/>
        </w:trPr>
        <w:tc>
          <w:tcPr>
            <w:tcW w:w="5220" w:type="dxa"/>
            <w:tcBorders>
              <w:top w:val="single" w:sz="6" w:space="0" w:color="auto"/>
              <w:left w:val="nil"/>
              <w:bottom w:val="nil"/>
              <w:right w:val="nil"/>
            </w:tcBorders>
            <w:shd w:val="clear" w:color="auto" w:fill="FFFFFF"/>
          </w:tcPr>
          <w:p w14:paraId="2C65ECF9" w14:textId="77777777" w:rsidR="002F5AD0" w:rsidRPr="00837A41" w:rsidRDefault="002F5AD0" w:rsidP="00B02076">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center"/>
          </w:tcPr>
          <w:p w14:paraId="5D40E432" w14:textId="77777777" w:rsidR="002F5AD0" w:rsidRPr="00837A41" w:rsidRDefault="002F5AD0" w:rsidP="00B02076">
            <w:pPr>
              <w:shd w:val="clear" w:color="auto" w:fill="FFFFFF"/>
              <w:jc w:val="center"/>
            </w:pPr>
          </w:p>
        </w:tc>
        <w:tc>
          <w:tcPr>
            <w:tcW w:w="2549" w:type="dxa"/>
            <w:gridSpan w:val="2"/>
            <w:tcBorders>
              <w:top w:val="single" w:sz="6" w:space="0" w:color="auto"/>
              <w:left w:val="nil"/>
              <w:bottom w:val="single" w:sz="6" w:space="0" w:color="auto"/>
              <w:right w:val="nil"/>
            </w:tcBorders>
            <w:shd w:val="clear" w:color="auto" w:fill="FFFFFF"/>
            <w:vAlign w:val="center"/>
          </w:tcPr>
          <w:p w14:paraId="1D7F46E8" w14:textId="77777777" w:rsidR="002F5AD0" w:rsidRPr="00837A41" w:rsidRDefault="002F5AD0" w:rsidP="00B02076">
            <w:pPr>
              <w:shd w:val="clear" w:color="auto" w:fill="FFFFFF"/>
              <w:jc w:val="center"/>
            </w:pPr>
            <w:r w:rsidRPr="00837A41">
              <w:rPr>
                <w:szCs w:val="18"/>
              </w:rPr>
              <w:t>Information with respect to previous appropriation and expenditure</w:t>
            </w:r>
          </w:p>
        </w:tc>
      </w:tr>
      <w:tr w:rsidR="002F5AD0" w:rsidRPr="00837A41" w14:paraId="239D9BCC" w14:textId="77777777" w:rsidTr="00B02076">
        <w:trPr>
          <w:trHeight w:val="20"/>
          <w:jc w:val="center"/>
        </w:trPr>
        <w:tc>
          <w:tcPr>
            <w:tcW w:w="5220" w:type="dxa"/>
            <w:tcBorders>
              <w:top w:val="nil"/>
              <w:left w:val="nil"/>
              <w:bottom w:val="single" w:sz="6" w:space="0" w:color="auto"/>
              <w:right w:val="nil"/>
            </w:tcBorders>
            <w:shd w:val="clear" w:color="auto" w:fill="FFFFFF"/>
          </w:tcPr>
          <w:p w14:paraId="60A85568" w14:textId="77777777" w:rsidR="002F5AD0" w:rsidRPr="00837A41" w:rsidRDefault="002F5AD0" w:rsidP="00B02076">
            <w:pPr>
              <w:shd w:val="clear" w:color="auto" w:fill="FFFFFF"/>
              <w:tabs>
                <w:tab w:val="left" w:leader="dot" w:pos="5040"/>
              </w:tabs>
              <w:jc w:val="both"/>
            </w:pPr>
          </w:p>
        </w:tc>
        <w:tc>
          <w:tcPr>
            <w:tcW w:w="1260" w:type="dxa"/>
            <w:tcBorders>
              <w:top w:val="nil"/>
              <w:left w:val="nil"/>
              <w:bottom w:val="single" w:sz="6" w:space="0" w:color="auto"/>
              <w:right w:val="nil"/>
            </w:tcBorders>
            <w:shd w:val="clear" w:color="auto" w:fill="FFFFFF"/>
            <w:vAlign w:val="bottom"/>
          </w:tcPr>
          <w:p w14:paraId="34E1586A" w14:textId="77777777" w:rsidR="002F5AD0" w:rsidRPr="00837A41" w:rsidRDefault="002F5AD0" w:rsidP="00B02076">
            <w:pPr>
              <w:shd w:val="clear" w:color="auto" w:fill="FFFFFF"/>
              <w:jc w:val="right"/>
            </w:pPr>
            <w:r w:rsidRPr="00837A41">
              <w:rPr>
                <w:szCs w:val="18"/>
              </w:rPr>
              <w:t>Additional appropriation for 1993-94</w:t>
            </w:r>
          </w:p>
        </w:tc>
        <w:tc>
          <w:tcPr>
            <w:tcW w:w="1350" w:type="dxa"/>
            <w:tcBorders>
              <w:top w:val="single" w:sz="6" w:space="0" w:color="auto"/>
              <w:left w:val="nil"/>
              <w:bottom w:val="single" w:sz="6" w:space="0" w:color="auto"/>
              <w:right w:val="nil"/>
            </w:tcBorders>
            <w:shd w:val="clear" w:color="auto" w:fill="FFFFFF"/>
            <w:vAlign w:val="bottom"/>
          </w:tcPr>
          <w:p w14:paraId="4409A7FC" w14:textId="77777777" w:rsidR="002F5AD0" w:rsidRPr="00837A41" w:rsidRDefault="002F5AD0" w:rsidP="00B02076">
            <w:pPr>
              <w:shd w:val="clear" w:color="auto" w:fill="FFFFFF"/>
              <w:jc w:val="right"/>
            </w:pPr>
            <w:r w:rsidRPr="00837A41">
              <w:rPr>
                <w:szCs w:val="18"/>
              </w:rPr>
              <w:t xml:space="preserve">Appropriation made by </w:t>
            </w:r>
            <w:r w:rsidRPr="00837A41">
              <w:rPr>
                <w:i/>
                <w:iCs/>
                <w:szCs w:val="18"/>
              </w:rPr>
              <w:t xml:space="preserve">Appropriation </w:t>
            </w:r>
            <w:r w:rsidRPr="00837A41">
              <w:rPr>
                <w:szCs w:val="18"/>
              </w:rPr>
              <w:t>(</w:t>
            </w:r>
            <w:r w:rsidRPr="00837A41">
              <w:rPr>
                <w:i/>
                <w:iCs/>
                <w:szCs w:val="18"/>
              </w:rPr>
              <w:t>Parliamentary Departments</w:t>
            </w:r>
            <w:r w:rsidRPr="00837A41">
              <w:rPr>
                <w:szCs w:val="18"/>
              </w:rPr>
              <w:t xml:space="preserve">) </w:t>
            </w:r>
            <w:r w:rsidRPr="00837A41">
              <w:rPr>
                <w:i/>
                <w:iCs/>
                <w:szCs w:val="18"/>
              </w:rPr>
              <w:t>Act 1993-94</w:t>
            </w:r>
          </w:p>
        </w:tc>
        <w:tc>
          <w:tcPr>
            <w:tcW w:w="1199" w:type="dxa"/>
            <w:tcBorders>
              <w:top w:val="single" w:sz="6" w:space="0" w:color="auto"/>
              <w:left w:val="nil"/>
              <w:bottom w:val="single" w:sz="6" w:space="0" w:color="auto"/>
              <w:right w:val="nil"/>
            </w:tcBorders>
            <w:shd w:val="clear" w:color="auto" w:fill="FFFFFF"/>
            <w:vAlign w:val="bottom"/>
          </w:tcPr>
          <w:p w14:paraId="417E4158" w14:textId="77777777" w:rsidR="002F5AD0" w:rsidRPr="00837A41" w:rsidRDefault="002F5AD0" w:rsidP="00B02076">
            <w:pPr>
              <w:shd w:val="clear" w:color="auto" w:fill="FFFFFF"/>
              <w:jc w:val="right"/>
            </w:pPr>
            <w:r w:rsidRPr="00837A41">
              <w:rPr>
                <w:szCs w:val="18"/>
              </w:rPr>
              <w:t>Expenditure for 1992-93</w:t>
            </w:r>
          </w:p>
        </w:tc>
      </w:tr>
      <w:tr w:rsidR="002F5AD0" w:rsidRPr="00837A41" w14:paraId="5655CF53" w14:textId="77777777" w:rsidTr="00B02076">
        <w:trPr>
          <w:trHeight w:val="20"/>
          <w:jc w:val="center"/>
        </w:trPr>
        <w:tc>
          <w:tcPr>
            <w:tcW w:w="5220" w:type="dxa"/>
            <w:tcBorders>
              <w:top w:val="single" w:sz="6" w:space="0" w:color="auto"/>
              <w:left w:val="nil"/>
              <w:bottom w:val="nil"/>
              <w:right w:val="nil"/>
            </w:tcBorders>
            <w:shd w:val="clear" w:color="auto" w:fill="FFFFFF"/>
          </w:tcPr>
          <w:p w14:paraId="706E97E1" w14:textId="77777777" w:rsidR="002F5AD0" w:rsidRPr="00837A41" w:rsidRDefault="002F5AD0" w:rsidP="00B02076">
            <w:pPr>
              <w:shd w:val="clear" w:color="auto" w:fill="FFFFFF"/>
              <w:tabs>
                <w:tab w:val="left" w:leader="dot" w:pos="5040"/>
              </w:tabs>
              <w:jc w:val="both"/>
            </w:pPr>
          </w:p>
        </w:tc>
        <w:tc>
          <w:tcPr>
            <w:tcW w:w="1260" w:type="dxa"/>
            <w:tcBorders>
              <w:top w:val="single" w:sz="6" w:space="0" w:color="auto"/>
              <w:left w:val="nil"/>
              <w:bottom w:val="nil"/>
              <w:right w:val="nil"/>
            </w:tcBorders>
            <w:shd w:val="clear" w:color="auto" w:fill="FFFFFF"/>
            <w:vAlign w:val="bottom"/>
          </w:tcPr>
          <w:p w14:paraId="5DC58A79" w14:textId="77777777" w:rsidR="002F5AD0" w:rsidRPr="00837A41" w:rsidRDefault="002F5AD0" w:rsidP="00B02076">
            <w:pPr>
              <w:shd w:val="clear" w:color="auto" w:fill="FFFFFF"/>
              <w:jc w:val="right"/>
            </w:pPr>
            <w:r w:rsidRPr="00837A41">
              <w:rPr>
                <w:szCs w:val="18"/>
              </w:rPr>
              <w:t>$</w:t>
            </w:r>
          </w:p>
        </w:tc>
        <w:tc>
          <w:tcPr>
            <w:tcW w:w="1350" w:type="dxa"/>
            <w:tcBorders>
              <w:top w:val="single" w:sz="6" w:space="0" w:color="auto"/>
              <w:left w:val="nil"/>
              <w:bottom w:val="nil"/>
              <w:right w:val="nil"/>
            </w:tcBorders>
            <w:shd w:val="clear" w:color="auto" w:fill="FFFFFF"/>
            <w:vAlign w:val="bottom"/>
          </w:tcPr>
          <w:p w14:paraId="7E5E27FC" w14:textId="77777777" w:rsidR="002F5AD0" w:rsidRPr="00837A41" w:rsidRDefault="002F5AD0" w:rsidP="00B02076">
            <w:pPr>
              <w:shd w:val="clear" w:color="auto" w:fill="FFFFFF"/>
              <w:jc w:val="right"/>
            </w:pPr>
            <w:r w:rsidRPr="00837A41">
              <w:rPr>
                <w:szCs w:val="18"/>
              </w:rPr>
              <w:t>$</w:t>
            </w:r>
          </w:p>
        </w:tc>
        <w:tc>
          <w:tcPr>
            <w:tcW w:w="1199" w:type="dxa"/>
            <w:tcBorders>
              <w:top w:val="single" w:sz="6" w:space="0" w:color="auto"/>
              <w:left w:val="nil"/>
              <w:bottom w:val="nil"/>
              <w:right w:val="nil"/>
            </w:tcBorders>
            <w:shd w:val="clear" w:color="auto" w:fill="FFFFFF"/>
            <w:vAlign w:val="bottom"/>
          </w:tcPr>
          <w:p w14:paraId="7D30DB31" w14:textId="77777777" w:rsidR="002F5AD0" w:rsidRPr="00837A41" w:rsidRDefault="002F5AD0" w:rsidP="00B02076">
            <w:pPr>
              <w:shd w:val="clear" w:color="auto" w:fill="FFFFFF"/>
              <w:jc w:val="right"/>
            </w:pPr>
            <w:r w:rsidRPr="00837A41">
              <w:rPr>
                <w:szCs w:val="18"/>
              </w:rPr>
              <w:t>$</w:t>
            </w:r>
          </w:p>
        </w:tc>
      </w:tr>
      <w:tr w:rsidR="002F5AD0" w:rsidRPr="00837A41" w14:paraId="4C9BCDDD" w14:textId="77777777" w:rsidTr="00B02076">
        <w:trPr>
          <w:trHeight w:val="20"/>
          <w:jc w:val="center"/>
        </w:trPr>
        <w:tc>
          <w:tcPr>
            <w:tcW w:w="5220" w:type="dxa"/>
            <w:tcBorders>
              <w:top w:val="nil"/>
              <w:left w:val="nil"/>
              <w:bottom w:val="nil"/>
              <w:right w:val="nil"/>
            </w:tcBorders>
            <w:shd w:val="clear" w:color="auto" w:fill="FFFFFF"/>
          </w:tcPr>
          <w:p w14:paraId="34FF8BFA" w14:textId="77777777" w:rsidR="002F5AD0" w:rsidRPr="00837A41" w:rsidRDefault="002F5AD0" w:rsidP="00B02076">
            <w:pPr>
              <w:shd w:val="clear" w:color="auto" w:fill="FFFFFF"/>
              <w:tabs>
                <w:tab w:val="left" w:leader="dot" w:pos="5040"/>
              </w:tabs>
              <w:jc w:val="both"/>
            </w:pPr>
            <w:r w:rsidRPr="00837A41">
              <w:rPr>
                <w:szCs w:val="18"/>
              </w:rPr>
              <w:t>Division 101.</w:t>
            </w:r>
            <w:r w:rsidRPr="00837A41">
              <w:rPr>
                <w:rFonts w:eastAsia="Times New Roman"/>
                <w:szCs w:val="18"/>
              </w:rPr>
              <w:t>— SENATE</w:t>
            </w:r>
          </w:p>
        </w:tc>
        <w:tc>
          <w:tcPr>
            <w:tcW w:w="1260" w:type="dxa"/>
            <w:tcBorders>
              <w:top w:val="nil"/>
              <w:left w:val="nil"/>
              <w:bottom w:val="nil"/>
              <w:right w:val="nil"/>
            </w:tcBorders>
            <w:shd w:val="clear" w:color="auto" w:fill="FFFFFF"/>
            <w:vAlign w:val="bottom"/>
          </w:tcPr>
          <w:p w14:paraId="4AA9D414" w14:textId="77777777" w:rsidR="002F5AD0" w:rsidRPr="00837A41" w:rsidRDefault="002F5AD0" w:rsidP="00B02076">
            <w:pPr>
              <w:shd w:val="clear" w:color="auto" w:fill="FFFFFF"/>
              <w:jc w:val="right"/>
            </w:pPr>
          </w:p>
        </w:tc>
        <w:tc>
          <w:tcPr>
            <w:tcW w:w="1350" w:type="dxa"/>
            <w:tcBorders>
              <w:top w:val="nil"/>
              <w:left w:val="nil"/>
              <w:bottom w:val="nil"/>
              <w:right w:val="nil"/>
            </w:tcBorders>
            <w:shd w:val="clear" w:color="auto" w:fill="FFFFFF"/>
            <w:vAlign w:val="bottom"/>
          </w:tcPr>
          <w:p w14:paraId="7039F06F" w14:textId="77777777" w:rsidR="002F5AD0" w:rsidRPr="00837A41" w:rsidRDefault="002F5AD0" w:rsidP="00B02076">
            <w:pPr>
              <w:shd w:val="clear" w:color="auto" w:fill="FFFFFF"/>
              <w:jc w:val="right"/>
            </w:pPr>
          </w:p>
        </w:tc>
        <w:tc>
          <w:tcPr>
            <w:tcW w:w="1199" w:type="dxa"/>
            <w:tcBorders>
              <w:top w:val="nil"/>
              <w:left w:val="nil"/>
              <w:bottom w:val="nil"/>
              <w:right w:val="nil"/>
            </w:tcBorders>
            <w:shd w:val="clear" w:color="auto" w:fill="FFFFFF"/>
            <w:vAlign w:val="bottom"/>
          </w:tcPr>
          <w:p w14:paraId="79C9C51C" w14:textId="77777777" w:rsidR="002F5AD0" w:rsidRPr="00837A41" w:rsidRDefault="002F5AD0" w:rsidP="00B02076">
            <w:pPr>
              <w:shd w:val="clear" w:color="auto" w:fill="FFFFFF"/>
              <w:jc w:val="right"/>
            </w:pPr>
          </w:p>
        </w:tc>
      </w:tr>
      <w:tr w:rsidR="002F5AD0" w:rsidRPr="00837A41" w14:paraId="76DAA305" w14:textId="77777777" w:rsidTr="00B02076">
        <w:trPr>
          <w:trHeight w:val="20"/>
          <w:jc w:val="center"/>
        </w:trPr>
        <w:tc>
          <w:tcPr>
            <w:tcW w:w="5220" w:type="dxa"/>
            <w:tcBorders>
              <w:top w:val="nil"/>
              <w:left w:val="nil"/>
              <w:bottom w:val="nil"/>
              <w:right w:val="nil"/>
            </w:tcBorders>
            <w:shd w:val="clear" w:color="auto" w:fill="FFFFFF"/>
          </w:tcPr>
          <w:p w14:paraId="10357985" w14:textId="77777777" w:rsidR="002F5AD0" w:rsidRPr="00837A41" w:rsidRDefault="002F5AD0" w:rsidP="00B02076">
            <w:pPr>
              <w:shd w:val="clear" w:color="auto" w:fill="FFFFFF"/>
              <w:tabs>
                <w:tab w:val="left" w:leader="dot" w:pos="5040"/>
              </w:tabs>
              <w:jc w:val="both"/>
            </w:pPr>
            <w:r w:rsidRPr="00837A41">
              <w:rPr>
                <w:b/>
                <w:bCs/>
                <w:szCs w:val="18"/>
              </w:rPr>
              <w:t>1.</w:t>
            </w:r>
            <w:r w:rsidRPr="00837A41">
              <w:rPr>
                <w:rFonts w:eastAsia="Times New Roman"/>
                <w:szCs w:val="18"/>
              </w:rPr>
              <w:t xml:space="preserve">— </w:t>
            </w:r>
            <w:r w:rsidRPr="00837A41">
              <w:rPr>
                <w:rFonts w:eastAsia="Times New Roman"/>
                <w:b/>
                <w:bCs/>
                <w:szCs w:val="18"/>
              </w:rPr>
              <w:t xml:space="preserve">Running Costs (net appropriation — </w:t>
            </w:r>
            <w:r w:rsidRPr="00837A41">
              <w:rPr>
                <w:rFonts w:eastAsia="Times New Roman"/>
                <w:szCs w:val="18"/>
              </w:rPr>
              <w:t xml:space="preserve">see </w:t>
            </w:r>
            <w:r w:rsidRPr="00837A41">
              <w:rPr>
                <w:rFonts w:eastAsia="Times New Roman"/>
                <w:b/>
                <w:bCs/>
                <w:szCs w:val="18"/>
              </w:rPr>
              <w:t>section 6)</w:t>
            </w:r>
            <w:r w:rsidR="00B02076">
              <w:rPr>
                <w:rFonts w:eastAsia="Times New Roman"/>
                <w:b/>
                <w:bCs/>
                <w:szCs w:val="18"/>
              </w:rPr>
              <w:tab/>
            </w:r>
          </w:p>
        </w:tc>
        <w:tc>
          <w:tcPr>
            <w:tcW w:w="1260" w:type="dxa"/>
            <w:tcBorders>
              <w:top w:val="nil"/>
              <w:left w:val="nil"/>
              <w:bottom w:val="single" w:sz="6" w:space="0" w:color="auto"/>
              <w:right w:val="nil"/>
            </w:tcBorders>
            <w:shd w:val="clear" w:color="auto" w:fill="FFFFFF"/>
            <w:vAlign w:val="bottom"/>
          </w:tcPr>
          <w:p w14:paraId="6E839BCF" w14:textId="77777777" w:rsidR="002F5AD0" w:rsidRPr="00837A41" w:rsidRDefault="002F5AD0" w:rsidP="00B02076">
            <w:pPr>
              <w:shd w:val="clear" w:color="auto" w:fill="FFFFFF"/>
              <w:jc w:val="right"/>
            </w:pPr>
            <w:r w:rsidRPr="00837A41">
              <w:rPr>
                <w:szCs w:val="18"/>
              </w:rPr>
              <w:t>396 000</w:t>
            </w:r>
          </w:p>
        </w:tc>
        <w:tc>
          <w:tcPr>
            <w:tcW w:w="1350" w:type="dxa"/>
            <w:tcBorders>
              <w:top w:val="nil"/>
              <w:left w:val="nil"/>
              <w:bottom w:val="nil"/>
              <w:right w:val="nil"/>
            </w:tcBorders>
            <w:shd w:val="clear" w:color="auto" w:fill="FFFFFF"/>
            <w:vAlign w:val="bottom"/>
          </w:tcPr>
          <w:p w14:paraId="49FD52C1" w14:textId="77777777" w:rsidR="002F5AD0" w:rsidRPr="00837A41" w:rsidRDefault="002F5AD0" w:rsidP="00B02076">
            <w:pPr>
              <w:shd w:val="clear" w:color="auto" w:fill="FFFFFF"/>
              <w:jc w:val="right"/>
            </w:pPr>
            <w:r w:rsidRPr="00837A41">
              <w:rPr>
                <w:szCs w:val="18"/>
              </w:rPr>
              <w:t>22 030 000</w:t>
            </w:r>
          </w:p>
        </w:tc>
        <w:tc>
          <w:tcPr>
            <w:tcW w:w="1199" w:type="dxa"/>
            <w:tcBorders>
              <w:top w:val="nil"/>
              <w:left w:val="nil"/>
              <w:bottom w:val="nil"/>
              <w:right w:val="nil"/>
            </w:tcBorders>
            <w:shd w:val="clear" w:color="auto" w:fill="FFFFFF"/>
            <w:vAlign w:val="bottom"/>
          </w:tcPr>
          <w:p w14:paraId="165C8803" w14:textId="77777777" w:rsidR="002F5AD0" w:rsidRPr="00837A41" w:rsidRDefault="002F5AD0" w:rsidP="00B02076">
            <w:pPr>
              <w:shd w:val="clear" w:color="auto" w:fill="FFFFFF"/>
              <w:jc w:val="right"/>
            </w:pPr>
            <w:r w:rsidRPr="00837A41">
              <w:rPr>
                <w:szCs w:val="18"/>
              </w:rPr>
              <w:t>19 289 327</w:t>
            </w:r>
          </w:p>
        </w:tc>
      </w:tr>
      <w:tr w:rsidR="002F5AD0" w:rsidRPr="00837A41" w14:paraId="564C16E7" w14:textId="77777777" w:rsidTr="00B02076">
        <w:trPr>
          <w:trHeight w:val="20"/>
          <w:jc w:val="center"/>
        </w:trPr>
        <w:tc>
          <w:tcPr>
            <w:tcW w:w="5220" w:type="dxa"/>
            <w:tcBorders>
              <w:top w:val="nil"/>
              <w:left w:val="nil"/>
              <w:bottom w:val="single" w:sz="6" w:space="0" w:color="auto"/>
              <w:right w:val="nil"/>
            </w:tcBorders>
            <w:shd w:val="clear" w:color="auto" w:fill="FFFFFF"/>
          </w:tcPr>
          <w:p w14:paraId="3CACDF0B" w14:textId="77777777" w:rsidR="002F5AD0" w:rsidRPr="00837A41" w:rsidRDefault="002F5AD0" w:rsidP="00B02076">
            <w:pPr>
              <w:shd w:val="clear" w:color="auto" w:fill="FFFFFF"/>
              <w:tabs>
                <w:tab w:val="left" w:leader="dot" w:pos="5040"/>
              </w:tabs>
              <w:spacing w:before="120" w:after="120"/>
              <w:ind w:left="485"/>
              <w:jc w:val="both"/>
            </w:pPr>
            <w:r w:rsidRPr="00837A41">
              <w:rPr>
                <w:b/>
                <w:bCs/>
                <w:szCs w:val="18"/>
              </w:rPr>
              <w:t>Total: Senate</w:t>
            </w:r>
            <w:r w:rsidR="00B02076">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4EF575F2" w14:textId="77777777" w:rsidR="002F5AD0" w:rsidRPr="00837A41" w:rsidRDefault="002F5AD0" w:rsidP="00B02076">
            <w:pPr>
              <w:shd w:val="clear" w:color="auto" w:fill="FFFFFF"/>
              <w:spacing w:before="120" w:after="120"/>
              <w:jc w:val="right"/>
            </w:pPr>
            <w:r w:rsidRPr="00837A41">
              <w:rPr>
                <w:b/>
                <w:bCs/>
                <w:szCs w:val="18"/>
              </w:rPr>
              <w:t>396 000</w:t>
            </w:r>
          </w:p>
        </w:tc>
        <w:tc>
          <w:tcPr>
            <w:tcW w:w="1350" w:type="dxa"/>
            <w:tcBorders>
              <w:top w:val="nil"/>
              <w:left w:val="nil"/>
              <w:bottom w:val="single" w:sz="6" w:space="0" w:color="auto"/>
              <w:right w:val="nil"/>
            </w:tcBorders>
            <w:shd w:val="clear" w:color="auto" w:fill="FFFFFF"/>
            <w:vAlign w:val="bottom"/>
          </w:tcPr>
          <w:p w14:paraId="39BAB3A9" w14:textId="77777777" w:rsidR="002F5AD0" w:rsidRPr="00837A41" w:rsidRDefault="002F5AD0" w:rsidP="00B02076">
            <w:pPr>
              <w:shd w:val="clear" w:color="auto" w:fill="FFFFFF"/>
              <w:jc w:val="right"/>
            </w:pPr>
          </w:p>
        </w:tc>
        <w:tc>
          <w:tcPr>
            <w:tcW w:w="1199" w:type="dxa"/>
            <w:tcBorders>
              <w:top w:val="nil"/>
              <w:left w:val="nil"/>
              <w:bottom w:val="single" w:sz="6" w:space="0" w:color="auto"/>
              <w:right w:val="nil"/>
            </w:tcBorders>
            <w:shd w:val="clear" w:color="auto" w:fill="FFFFFF"/>
            <w:vAlign w:val="bottom"/>
          </w:tcPr>
          <w:p w14:paraId="4A8B1FB4" w14:textId="77777777" w:rsidR="002F5AD0" w:rsidRPr="00837A41" w:rsidRDefault="002F5AD0" w:rsidP="00B02076">
            <w:pPr>
              <w:shd w:val="clear" w:color="auto" w:fill="FFFFFF"/>
              <w:jc w:val="right"/>
            </w:pPr>
          </w:p>
        </w:tc>
      </w:tr>
      <w:tr w:rsidR="002F5AD0" w:rsidRPr="00837A41" w14:paraId="44D237C9" w14:textId="77777777" w:rsidTr="00B02076">
        <w:trPr>
          <w:trHeight w:val="20"/>
          <w:jc w:val="center"/>
        </w:trPr>
        <w:tc>
          <w:tcPr>
            <w:tcW w:w="5220" w:type="dxa"/>
            <w:tcBorders>
              <w:top w:val="single" w:sz="6" w:space="0" w:color="auto"/>
              <w:left w:val="nil"/>
              <w:bottom w:val="nil"/>
              <w:right w:val="nil"/>
            </w:tcBorders>
            <w:shd w:val="clear" w:color="auto" w:fill="FFFFFF"/>
          </w:tcPr>
          <w:p w14:paraId="401785F1" w14:textId="77777777" w:rsidR="002F5AD0" w:rsidRPr="00837A41" w:rsidRDefault="002F5AD0" w:rsidP="00B02076">
            <w:pPr>
              <w:shd w:val="clear" w:color="auto" w:fill="FFFFFF"/>
              <w:tabs>
                <w:tab w:val="left" w:leader="dot" w:pos="5040"/>
              </w:tabs>
              <w:spacing w:before="120"/>
              <w:jc w:val="both"/>
            </w:pPr>
            <w:r w:rsidRPr="00837A41">
              <w:rPr>
                <w:szCs w:val="18"/>
              </w:rPr>
              <w:t>Division 103.</w:t>
            </w:r>
            <w:r w:rsidRPr="00837A41">
              <w:rPr>
                <w:rFonts w:eastAsia="Times New Roman"/>
                <w:szCs w:val="18"/>
              </w:rPr>
              <w:t>— HOUSE OF REPRESENTATIVES</w:t>
            </w:r>
          </w:p>
        </w:tc>
        <w:tc>
          <w:tcPr>
            <w:tcW w:w="1260" w:type="dxa"/>
            <w:tcBorders>
              <w:top w:val="single" w:sz="6" w:space="0" w:color="auto"/>
              <w:left w:val="nil"/>
              <w:bottom w:val="nil"/>
              <w:right w:val="nil"/>
            </w:tcBorders>
            <w:shd w:val="clear" w:color="auto" w:fill="FFFFFF"/>
            <w:vAlign w:val="bottom"/>
          </w:tcPr>
          <w:p w14:paraId="617A4936" w14:textId="77777777" w:rsidR="002F5AD0" w:rsidRPr="00837A41" w:rsidRDefault="002F5AD0" w:rsidP="00B02076">
            <w:pPr>
              <w:shd w:val="clear" w:color="auto" w:fill="FFFFFF"/>
              <w:jc w:val="right"/>
            </w:pPr>
          </w:p>
        </w:tc>
        <w:tc>
          <w:tcPr>
            <w:tcW w:w="1350" w:type="dxa"/>
            <w:tcBorders>
              <w:top w:val="single" w:sz="6" w:space="0" w:color="auto"/>
              <w:left w:val="nil"/>
              <w:bottom w:val="nil"/>
              <w:right w:val="nil"/>
            </w:tcBorders>
            <w:shd w:val="clear" w:color="auto" w:fill="FFFFFF"/>
            <w:vAlign w:val="bottom"/>
          </w:tcPr>
          <w:p w14:paraId="2B579494" w14:textId="77777777" w:rsidR="002F5AD0" w:rsidRPr="00837A41" w:rsidRDefault="002F5AD0" w:rsidP="00B02076">
            <w:pPr>
              <w:shd w:val="clear" w:color="auto" w:fill="FFFFFF"/>
              <w:jc w:val="right"/>
            </w:pPr>
          </w:p>
        </w:tc>
        <w:tc>
          <w:tcPr>
            <w:tcW w:w="1199" w:type="dxa"/>
            <w:tcBorders>
              <w:top w:val="single" w:sz="6" w:space="0" w:color="auto"/>
              <w:left w:val="nil"/>
              <w:bottom w:val="nil"/>
              <w:right w:val="nil"/>
            </w:tcBorders>
            <w:shd w:val="clear" w:color="auto" w:fill="FFFFFF"/>
            <w:vAlign w:val="bottom"/>
          </w:tcPr>
          <w:p w14:paraId="59EBC42F" w14:textId="77777777" w:rsidR="002F5AD0" w:rsidRPr="00837A41" w:rsidRDefault="002F5AD0" w:rsidP="00B02076">
            <w:pPr>
              <w:shd w:val="clear" w:color="auto" w:fill="FFFFFF"/>
              <w:jc w:val="right"/>
            </w:pPr>
          </w:p>
        </w:tc>
      </w:tr>
      <w:tr w:rsidR="002F5AD0" w:rsidRPr="00837A41" w14:paraId="3BC88B17" w14:textId="77777777" w:rsidTr="00B02076">
        <w:trPr>
          <w:trHeight w:val="20"/>
          <w:jc w:val="center"/>
        </w:trPr>
        <w:tc>
          <w:tcPr>
            <w:tcW w:w="5220" w:type="dxa"/>
            <w:tcBorders>
              <w:top w:val="nil"/>
              <w:left w:val="nil"/>
              <w:bottom w:val="nil"/>
              <w:right w:val="nil"/>
            </w:tcBorders>
            <w:shd w:val="clear" w:color="auto" w:fill="FFFFFF"/>
          </w:tcPr>
          <w:p w14:paraId="4FB2E566" w14:textId="77777777" w:rsidR="002F5AD0" w:rsidRPr="00837A41" w:rsidRDefault="002F5AD0" w:rsidP="00B02076">
            <w:pPr>
              <w:shd w:val="clear" w:color="auto" w:fill="FFFFFF"/>
              <w:tabs>
                <w:tab w:val="left" w:leader="dot" w:pos="5040"/>
              </w:tabs>
              <w:jc w:val="both"/>
            </w:pPr>
            <w:r w:rsidRPr="00837A41">
              <w:rPr>
                <w:b/>
                <w:bCs/>
                <w:szCs w:val="18"/>
              </w:rPr>
              <w:t>1.</w:t>
            </w:r>
            <w:r w:rsidRPr="00837A41">
              <w:rPr>
                <w:rFonts w:eastAsia="Times New Roman"/>
                <w:szCs w:val="18"/>
              </w:rPr>
              <w:t xml:space="preserve">— </w:t>
            </w:r>
            <w:r w:rsidRPr="00837A41">
              <w:rPr>
                <w:rFonts w:eastAsia="Times New Roman"/>
                <w:b/>
                <w:bCs/>
                <w:szCs w:val="18"/>
              </w:rPr>
              <w:t>Running Costs (net appropriation — see section 6)</w:t>
            </w:r>
            <w:r w:rsidR="00B02076">
              <w:rPr>
                <w:rFonts w:eastAsia="Times New Roman"/>
                <w:b/>
                <w:bCs/>
                <w:szCs w:val="18"/>
              </w:rPr>
              <w:tab/>
            </w:r>
          </w:p>
        </w:tc>
        <w:tc>
          <w:tcPr>
            <w:tcW w:w="1260" w:type="dxa"/>
            <w:tcBorders>
              <w:top w:val="nil"/>
              <w:left w:val="nil"/>
              <w:bottom w:val="single" w:sz="6" w:space="0" w:color="auto"/>
              <w:right w:val="nil"/>
            </w:tcBorders>
            <w:shd w:val="clear" w:color="auto" w:fill="FFFFFF"/>
            <w:vAlign w:val="bottom"/>
          </w:tcPr>
          <w:p w14:paraId="1D17498E" w14:textId="77777777" w:rsidR="002F5AD0" w:rsidRPr="00837A41" w:rsidRDefault="002F5AD0" w:rsidP="00B02076">
            <w:pPr>
              <w:shd w:val="clear" w:color="auto" w:fill="FFFFFF"/>
              <w:jc w:val="right"/>
            </w:pPr>
            <w:r w:rsidRPr="00837A41">
              <w:rPr>
                <w:szCs w:val="18"/>
              </w:rPr>
              <w:t>117 000</w:t>
            </w:r>
          </w:p>
        </w:tc>
        <w:tc>
          <w:tcPr>
            <w:tcW w:w="1350" w:type="dxa"/>
            <w:tcBorders>
              <w:top w:val="nil"/>
              <w:left w:val="nil"/>
              <w:bottom w:val="nil"/>
              <w:right w:val="nil"/>
            </w:tcBorders>
            <w:shd w:val="clear" w:color="auto" w:fill="FFFFFF"/>
            <w:vAlign w:val="bottom"/>
          </w:tcPr>
          <w:p w14:paraId="216D9BB6" w14:textId="77777777" w:rsidR="002F5AD0" w:rsidRPr="00837A41" w:rsidRDefault="002F5AD0" w:rsidP="00B02076">
            <w:pPr>
              <w:shd w:val="clear" w:color="auto" w:fill="FFFFFF"/>
              <w:jc w:val="right"/>
            </w:pPr>
            <w:r w:rsidRPr="00837A41">
              <w:rPr>
                <w:szCs w:val="18"/>
              </w:rPr>
              <w:t>23 415 000</w:t>
            </w:r>
          </w:p>
        </w:tc>
        <w:tc>
          <w:tcPr>
            <w:tcW w:w="1199" w:type="dxa"/>
            <w:tcBorders>
              <w:top w:val="nil"/>
              <w:left w:val="nil"/>
              <w:bottom w:val="nil"/>
              <w:right w:val="nil"/>
            </w:tcBorders>
            <w:shd w:val="clear" w:color="auto" w:fill="FFFFFF"/>
            <w:vAlign w:val="bottom"/>
          </w:tcPr>
          <w:p w14:paraId="04FB67C4" w14:textId="77777777" w:rsidR="002F5AD0" w:rsidRPr="00837A41" w:rsidRDefault="002F5AD0" w:rsidP="00B02076">
            <w:pPr>
              <w:shd w:val="clear" w:color="auto" w:fill="FFFFFF"/>
              <w:jc w:val="right"/>
            </w:pPr>
            <w:r w:rsidRPr="00837A41">
              <w:rPr>
                <w:szCs w:val="18"/>
              </w:rPr>
              <w:t>20 348 734</w:t>
            </w:r>
          </w:p>
        </w:tc>
      </w:tr>
      <w:tr w:rsidR="002F5AD0" w:rsidRPr="00837A41" w14:paraId="2C08DF58" w14:textId="77777777" w:rsidTr="00B02076">
        <w:trPr>
          <w:trHeight w:val="20"/>
          <w:jc w:val="center"/>
        </w:trPr>
        <w:tc>
          <w:tcPr>
            <w:tcW w:w="5220" w:type="dxa"/>
            <w:tcBorders>
              <w:top w:val="nil"/>
              <w:left w:val="nil"/>
              <w:bottom w:val="single" w:sz="6" w:space="0" w:color="auto"/>
              <w:right w:val="nil"/>
            </w:tcBorders>
            <w:shd w:val="clear" w:color="auto" w:fill="FFFFFF"/>
          </w:tcPr>
          <w:p w14:paraId="178CD6BC" w14:textId="77777777" w:rsidR="002F5AD0" w:rsidRPr="00837A41" w:rsidRDefault="002F5AD0" w:rsidP="00B02076">
            <w:pPr>
              <w:shd w:val="clear" w:color="auto" w:fill="FFFFFF"/>
              <w:tabs>
                <w:tab w:val="left" w:leader="dot" w:pos="5040"/>
              </w:tabs>
              <w:spacing w:before="120" w:after="120"/>
              <w:ind w:left="485"/>
              <w:jc w:val="both"/>
            </w:pPr>
            <w:r w:rsidRPr="00837A41">
              <w:rPr>
                <w:b/>
                <w:bCs/>
                <w:szCs w:val="18"/>
              </w:rPr>
              <w:t>Total: House of Representatives</w:t>
            </w:r>
            <w:r w:rsidR="00B02076">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1116BAEC" w14:textId="77777777" w:rsidR="002F5AD0" w:rsidRPr="00837A41" w:rsidRDefault="002F5AD0" w:rsidP="00B02076">
            <w:pPr>
              <w:shd w:val="clear" w:color="auto" w:fill="FFFFFF"/>
              <w:spacing w:before="120" w:after="120"/>
              <w:jc w:val="right"/>
            </w:pPr>
            <w:r w:rsidRPr="00837A41">
              <w:rPr>
                <w:b/>
                <w:bCs/>
                <w:szCs w:val="18"/>
              </w:rPr>
              <w:t>117 000</w:t>
            </w:r>
          </w:p>
        </w:tc>
        <w:tc>
          <w:tcPr>
            <w:tcW w:w="1350" w:type="dxa"/>
            <w:tcBorders>
              <w:top w:val="nil"/>
              <w:left w:val="nil"/>
              <w:bottom w:val="single" w:sz="6" w:space="0" w:color="auto"/>
              <w:right w:val="nil"/>
            </w:tcBorders>
            <w:shd w:val="clear" w:color="auto" w:fill="FFFFFF"/>
            <w:vAlign w:val="bottom"/>
          </w:tcPr>
          <w:p w14:paraId="300DB44C" w14:textId="77777777" w:rsidR="002F5AD0" w:rsidRPr="00837A41" w:rsidRDefault="002F5AD0" w:rsidP="00B02076">
            <w:pPr>
              <w:shd w:val="clear" w:color="auto" w:fill="FFFFFF"/>
              <w:jc w:val="right"/>
            </w:pPr>
          </w:p>
        </w:tc>
        <w:tc>
          <w:tcPr>
            <w:tcW w:w="1199" w:type="dxa"/>
            <w:tcBorders>
              <w:top w:val="nil"/>
              <w:left w:val="nil"/>
              <w:bottom w:val="single" w:sz="6" w:space="0" w:color="auto"/>
              <w:right w:val="nil"/>
            </w:tcBorders>
            <w:shd w:val="clear" w:color="auto" w:fill="FFFFFF"/>
            <w:vAlign w:val="bottom"/>
          </w:tcPr>
          <w:p w14:paraId="18CA82CE" w14:textId="77777777" w:rsidR="002F5AD0" w:rsidRPr="00837A41" w:rsidRDefault="002F5AD0" w:rsidP="00B02076">
            <w:pPr>
              <w:shd w:val="clear" w:color="auto" w:fill="FFFFFF"/>
              <w:jc w:val="right"/>
            </w:pPr>
          </w:p>
        </w:tc>
      </w:tr>
      <w:tr w:rsidR="002F5AD0" w:rsidRPr="00837A41" w14:paraId="09A8A759" w14:textId="77777777" w:rsidTr="00B02076">
        <w:trPr>
          <w:trHeight w:val="20"/>
          <w:jc w:val="center"/>
        </w:trPr>
        <w:tc>
          <w:tcPr>
            <w:tcW w:w="5220" w:type="dxa"/>
            <w:tcBorders>
              <w:top w:val="single" w:sz="6" w:space="0" w:color="auto"/>
              <w:left w:val="nil"/>
              <w:bottom w:val="nil"/>
              <w:right w:val="nil"/>
            </w:tcBorders>
            <w:shd w:val="clear" w:color="auto" w:fill="FFFFFF"/>
          </w:tcPr>
          <w:p w14:paraId="6B6D09E2" w14:textId="77777777" w:rsidR="002F5AD0" w:rsidRPr="00837A41" w:rsidRDefault="002F5AD0" w:rsidP="00B02076">
            <w:pPr>
              <w:shd w:val="clear" w:color="auto" w:fill="FFFFFF"/>
              <w:tabs>
                <w:tab w:val="left" w:leader="dot" w:pos="5040"/>
              </w:tabs>
              <w:spacing w:before="120"/>
              <w:jc w:val="both"/>
            </w:pPr>
            <w:r w:rsidRPr="00837A41">
              <w:rPr>
                <w:szCs w:val="18"/>
              </w:rPr>
              <w:t>Division 105.</w:t>
            </w:r>
            <w:r w:rsidRPr="00837A41">
              <w:rPr>
                <w:rFonts w:eastAsia="Times New Roman"/>
                <w:szCs w:val="18"/>
              </w:rPr>
              <w:t>— PARLIAMENTARY REPORTING STAFF</w:t>
            </w:r>
          </w:p>
        </w:tc>
        <w:tc>
          <w:tcPr>
            <w:tcW w:w="1260" w:type="dxa"/>
            <w:tcBorders>
              <w:top w:val="single" w:sz="6" w:space="0" w:color="auto"/>
              <w:left w:val="nil"/>
              <w:bottom w:val="nil"/>
              <w:right w:val="nil"/>
            </w:tcBorders>
            <w:shd w:val="clear" w:color="auto" w:fill="FFFFFF"/>
            <w:vAlign w:val="bottom"/>
          </w:tcPr>
          <w:p w14:paraId="512117EA" w14:textId="77777777" w:rsidR="002F5AD0" w:rsidRPr="00837A41" w:rsidRDefault="002F5AD0" w:rsidP="00B02076">
            <w:pPr>
              <w:shd w:val="clear" w:color="auto" w:fill="FFFFFF"/>
              <w:jc w:val="right"/>
            </w:pPr>
          </w:p>
        </w:tc>
        <w:tc>
          <w:tcPr>
            <w:tcW w:w="1350" w:type="dxa"/>
            <w:tcBorders>
              <w:top w:val="single" w:sz="6" w:space="0" w:color="auto"/>
              <w:left w:val="nil"/>
              <w:bottom w:val="nil"/>
              <w:right w:val="nil"/>
            </w:tcBorders>
            <w:shd w:val="clear" w:color="auto" w:fill="FFFFFF"/>
            <w:vAlign w:val="bottom"/>
          </w:tcPr>
          <w:p w14:paraId="7D9F4CBD" w14:textId="77777777" w:rsidR="002F5AD0" w:rsidRPr="00837A41" w:rsidRDefault="002F5AD0" w:rsidP="00B02076">
            <w:pPr>
              <w:shd w:val="clear" w:color="auto" w:fill="FFFFFF"/>
              <w:jc w:val="right"/>
            </w:pPr>
          </w:p>
        </w:tc>
        <w:tc>
          <w:tcPr>
            <w:tcW w:w="1199" w:type="dxa"/>
            <w:tcBorders>
              <w:top w:val="single" w:sz="6" w:space="0" w:color="auto"/>
              <w:left w:val="nil"/>
              <w:bottom w:val="nil"/>
              <w:right w:val="nil"/>
            </w:tcBorders>
            <w:shd w:val="clear" w:color="auto" w:fill="FFFFFF"/>
            <w:vAlign w:val="bottom"/>
          </w:tcPr>
          <w:p w14:paraId="634FDB9B" w14:textId="77777777" w:rsidR="002F5AD0" w:rsidRPr="00837A41" w:rsidRDefault="002F5AD0" w:rsidP="00B02076">
            <w:pPr>
              <w:shd w:val="clear" w:color="auto" w:fill="FFFFFF"/>
              <w:jc w:val="right"/>
            </w:pPr>
          </w:p>
        </w:tc>
      </w:tr>
      <w:tr w:rsidR="002F5AD0" w:rsidRPr="00837A41" w14:paraId="067DA0F4" w14:textId="77777777" w:rsidTr="00B02076">
        <w:trPr>
          <w:trHeight w:val="20"/>
          <w:jc w:val="center"/>
        </w:trPr>
        <w:tc>
          <w:tcPr>
            <w:tcW w:w="5220" w:type="dxa"/>
            <w:tcBorders>
              <w:top w:val="nil"/>
              <w:left w:val="nil"/>
              <w:bottom w:val="nil"/>
              <w:right w:val="nil"/>
            </w:tcBorders>
            <w:shd w:val="clear" w:color="auto" w:fill="FFFFFF"/>
          </w:tcPr>
          <w:p w14:paraId="2628B33C" w14:textId="77777777" w:rsidR="002F5AD0" w:rsidRPr="00837A41" w:rsidRDefault="002F5AD0" w:rsidP="00B02076">
            <w:pPr>
              <w:shd w:val="clear" w:color="auto" w:fill="FFFFFF"/>
              <w:tabs>
                <w:tab w:val="left" w:leader="dot" w:pos="5040"/>
              </w:tabs>
              <w:jc w:val="both"/>
            </w:pPr>
            <w:r w:rsidRPr="00837A41">
              <w:rPr>
                <w:b/>
                <w:bCs/>
                <w:szCs w:val="18"/>
              </w:rPr>
              <w:t>1.</w:t>
            </w:r>
            <w:r w:rsidRPr="00837A41">
              <w:rPr>
                <w:rFonts w:eastAsia="Times New Roman"/>
                <w:szCs w:val="18"/>
              </w:rPr>
              <w:t xml:space="preserve">— </w:t>
            </w:r>
            <w:r w:rsidRPr="00837A41">
              <w:rPr>
                <w:rFonts w:eastAsia="Times New Roman"/>
                <w:b/>
                <w:bCs/>
                <w:szCs w:val="18"/>
              </w:rPr>
              <w:t>Running Costs (net appropriation — see</w:t>
            </w:r>
            <w:r w:rsidRPr="00837A41">
              <w:rPr>
                <w:rFonts w:eastAsia="Times New Roman"/>
                <w:szCs w:val="18"/>
              </w:rPr>
              <w:t xml:space="preserve"> </w:t>
            </w:r>
            <w:r w:rsidRPr="00837A41">
              <w:rPr>
                <w:rFonts w:eastAsia="Times New Roman"/>
                <w:b/>
                <w:bCs/>
                <w:szCs w:val="18"/>
              </w:rPr>
              <w:t>section 6)</w:t>
            </w:r>
            <w:r w:rsidR="00B02076">
              <w:rPr>
                <w:rFonts w:eastAsia="Times New Roman"/>
                <w:b/>
                <w:bCs/>
                <w:szCs w:val="18"/>
              </w:rPr>
              <w:tab/>
            </w:r>
          </w:p>
        </w:tc>
        <w:tc>
          <w:tcPr>
            <w:tcW w:w="1260" w:type="dxa"/>
            <w:tcBorders>
              <w:top w:val="nil"/>
              <w:left w:val="nil"/>
              <w:bottom w:val="single" w:sz="6" w:space="0" w:color="auto"/>
              <w:right w:val="nil"/>
            </w:tcBorders>
            <w:shd w:val="clear" w:color="auto" w:fill="FFFFFF"/>
            <w:vAlign w:val="bottom"/>
          </w:tcPr>
          <w:p w14:paraId="0270DD97" w14:textId="77777777" w:rsidR="002F5AD0" w:rsidRPr="00837A41" w:rsidRDefault="002F5AD0" w:rsidP="00B02076">
            <w:pPr>
              <w:shd w:val="clear" w:color="auto" w:fill="FFFFFF"/>
              <w:jc w:val="right"/>
            </w:pPr>
            <w:r w:rsidRPr="00837A41">
              <w:rPr>
                <w:szCs w:val="18"/>
              </w:rPr>
              <w:t>602 000</w:t>
            </w:r>
          </w:p>
        </w:tc>
        <w:tc>
          <w:tcPr>
            <w:tcW w:w="1350" w:type="dxa"/>
            <w:tcBorders>
              <w:top w:val="nil"/>
              <w:left w:val="nil"/>
              <w:bottom w:val="nil"/>
              <w:right w:val="nil"/>
            </w:tcBorders>
            <w:shd w:val="clear" w:color="auto" w:fill="FFFFFF"/>
            <w:vAlign w:val="bottom"/>
          </w:tcPr>
          <w:p w14:paraId="3EF1A6B3" w14:textId="77777777" w:rsidR="002F5AD0" w:rsidRPr="00837A41" w:rsidRDefault="002F5AD0" w:rsidP="00B02076">
            <w:pPr>
              <w:shd w:val="clear" w:color="auto" w:fill="FFFFFF"/>
              <w:jc w:val="right"/>
            </w:pPr>
            <w:r w:rsidRPr="00837A41">
              <w:rPr>
                <w:szCs w:val="18"/>
              </w:rPr>
              <w:t>28 734 000</w:t>
            </w:r>
          </w:p>
        </w:tc>
        <w:tc>
          <w:tcPr>
            <w:tcW w:w="1199" w:type="dxa"/>
            <w:tcBorders>
              <w:top w:val="nil"/>
              <w:left w:val="nil"/>
              <w:bottom w:val="nil"/>
              <w:right w:val="nil"/>
            </w:tcBorders>
            <w:shd w:val="clear" w:color="auto" w:fill="FFFFFF"/>
            <w:vAlign w:val="bottom"/>
          </w:tcPr>
          <w:p w14:paraId="5794E763" w14:textId="77777777" w:rsidR="002F5AD0" w:rsidRPr="00837A41" w:rsidRDefault="002F5AD0" w:rsidP="00B02076">
            <w:pPr>
              <w:shd w:val="clear" w:color="auto" w:fill="FFFFFF"/>
              <w:jc w:val="right"/>
            </w:pPr>
            <w:r w:rsidRPr="00837A41">
              <w:rPr>
                <w:szCs w:val="18"/>
              </w:rPr>
              <w:t>28 677 612</w:t>
            </w:r>
          </w:p>
        </w:tc>
      </w:tr>
      <w:tr w:rsidR="002F5AD0" w:rsidRPr="00837A41" w14:paraId="5419130C" w14:textId="77777777" w:rsidTr="00B02076">
        <w:trPr>
          <w:trHeight w:val="20"/>
          <w:jc w:val="center"/>
        </w:trPr>
        <w:tc>
          <w:tcPr>
            <w:tcW w:w="5220" w:type="dxa"/>
            <w:tcBorders>
              <w:top w:val="nil"/>
              <w:left w:val="nil"/>
              <w:bottom w:val="single" w:sz="6" w:space="0" w:color="auto"/>
              <w:right w:val="nil"/>
            </w:tcBorders>
            <w:shd w:val="clear" w:color="auto" w:fill="FFFFFF"/>
          </w:tcPr>
          <w:p w14:paraId="1C9457E8" w14:textId="77777777" w:rsidR="002F5AD0" w:rsidRPr="00837A41" w:rsidRDefault="002F5AD0" w:rsidP="00B02076">
            <w:pPr>
              <w:shd w:val="clear" w:color="auto" w:fill="FFFFFF"/>
              <w:tabs>
                <w:tab w:val="left" w:leader="dot" w:pos="5040"/>
              </w:tabs>
              <w:spacing w:before="120" w:after="120"/>
              <w:ind w:left="485"/>
              <w:jc w:val="both"/>
            </w:pPr>
            <w:r w:rsidRPr="00837A41">
              <w:rPr>
                <w:b/>
                <w:bCs/>
                <w:szCs w:val="18"/>
              </w:rPr>
              <w:t>Total: Parliamentary Reporting Staff</w:t>
            </w:r>
            <w:r w:rsidR="00B02076">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01FD19A8" w14:textId="77777777" w:rsidR="002F5AD0" w:rsidRPr="00837A41" w:rsidRDefault="002F5AD0" w:rsidP="00B02076">
            <w:pPr>
              <w:shd w:val="clear" w:color="auto" w:fill="FFFFFF"/>
              <w:spacing w:before="120" w:after="120"/>
              <w:jc w:val="right"/>
            </w:pPr>
            <w:r w:rsidRPr="00837A41">
              <w:rPr>
                <w:b/>
                <w:bCs/>
                <w:szCs w:val="18"/>
              </w:rPr>
              <w:t>602 000</w:t>
            </w:r>
          </w:p>
        </w:tc>
        <w:tc>
          <w:tcPr>
            <w:tcW w:w="1350" w:type="dxa"/>
            <w:tcBorders>
              <w:top w:val="nil"/>
              <w:left w:val="nil"/>
              <w:bottom w:val="single" w:sz="6" w:space="0" w:color="auto"/>
              <w:right w:val="nil"/>
            </w:tcBorders>
            <w:shd w:val="clear" w:color="auto" w:fill="FFFFFF"/>
            <w:vAlign w:val="bottom"/>
          </w:tcPr>
          <w:p w14:paraId="65CDE240" w14:textId="77777777" w:rsidR="002F5AD0" w:rsidRPr="00837A41" w:rsidRDefault="002F5AD0" w:rsidP="00B02076">
            <w:pPr>
              <w:shd w:val="clear" w:color="auto" w:fill="FFFFFF"/>
              <w:jc w:val="right"/>
            </w:pPr>
          </w:p>
        </w:tc>
        <w:tc>
          <w:tcPr>
            <w:tcW w:w="1199" w:type="dxa"/>
            <w:tcBorders>
              <w:top w:val="nil"/>
              <w:left w:val="nil"/>
              <w:bottom w:val="single" w:sz="6" w:space="0" w:color="auto"/>
              <w:right w:val="nil"/>
            </w:tcBorders>
            <w:shd w:val="clear" w:color="auto" w:fill="FFFFFF"/>
            <w:vAlign w:val="bottom"/>
          </w:tcPr>
          <w:p w14:paraId="266D8F24" w14:textId="77777777" w:rsidR="002F5AD0" w:rsidRPr="00837A41" w:rsidRDefault="002F5AD0" w:rsidP="00B02076">
            <w:pPr>
              <w:shd w:val="clear" w:color="auto" w:fill="FFFFFF"/>
              <w:jc w:val="right"/>
            </w:pPr>
          </w:p>
        </w:tc>
      </w:tr>
      <w:tr w:rsidR="002F5AD0" w:rsidRPr="00837A41" w14:paraId="4D7E121C" w14:textId="77777777" w:rsidTr="00B02076">
        <w:trPr>
          <w:trHeight w:val="20"/>
          <w:jc w:val="center"/>
        </w:trPr>
        <w:tc>
          <w:tcPr>
            <w:tcW w:w="5220" w:type="dxa"/>
            <w:tcBorders>
              <w:top w:val="single" w:sz="6" w:space="0" w:color="auto"/>
              <w:left w:val="nil"/>
              <w:bottom w:val="nil"/>
              <w:right w:val="nil"/>
            </w:tcBorders>
            <w:shd w:val="clear" w:color="auto" w:fill="FFFFFF"/>
          </w:tcPr>
          <w:p w14:paraId="60FC8B53" w14:textId="77777777" w:rsidR="002F5AD0" w:rsidRPr="00837A41" w:rsidRDefault="002F5AD0" w:rsidP="00B02076">
            <w:pPr>
              <w:shd w:val="clear" w:color="auto" w:fill="FFFFFF"/>
              <w:tabs>
                <w:tab w:val="left" w:leader="dot" w:pos="5040"/>
              </w:tabs>
              <w:spacing w:before="120"/>
              <w:jc w:val="both"/>
            </w:pPr>
            <w:r w:rsidRPr="00837A41">
              <w:rPr>
                <w:szCs w:val="18"/>
              </w:rPr>
              <w:t>Division 106.</w:t>
            </w:r>
            <w:r w:rsidRPr="00837A41">
              <w:rPr>
                <w:rFonts w:eastAsia="Times New Roman"/>
                <w:szCs w:val="18"/>
              </w:rPr>
              <w:t>— PARLIAMENTARY LIBRARY</w:t>
            </w:r>
          </w:p>
        </w:tc>
        <w:tc>
          <w:tcPr>
            <w:tcW w:w="1260" w:type="dxa"/>
            <w:tcBorders>
              <w:top w:val="single" w:sz="6" w:space="0" w:color="auto"/>
              <w:left w:val="nil"/>
              <w:bottom w:val="nil"/>
              <w:right w:val="nil"/>
            </w:tcBorders>
            <w:shd w:val="clear" w:color="auto" w:fill="FFFFFF"/>
            <w:vAlign w:val="bottom"/>
          </w:tcPr>
          <w:p w14:paraId="5379D26E" w14:textId="77777777" w:rsidR="002F5AD0" w:rsidRPr="00837A41" w:rsidRDefault="002F5AD0" w:rsidP="00B02076">
            <w:pPr>
              <w:shd w:val="clear" w:color="auto" w:fill="FFFFFF"/>
              <w:jc w:val="right"/>
            </w:pPr>
          </w:p>
        </w:tc>
        <w:tc>
          <w:tcPr>
            <w:tcW w:w="1350" w:type="dxa"/>
            <w:tcBorders>
              <w:top w:val="single" w:sz="6" w:space="0" w:color="auto"/>
              <w:left w:val="nil"/>
              <w:bottom w:val="nil"/>
              <w:right w:val="nil"/>
            </w:tcBorders>
            <w:shd w:val="clear" w:color="auto" w:fill="FFFFFF"/>
            <w:vAlign w:val="bottom"/>
          </w:tcPr>
          <w:p w14:paraId="038AB9A7" w14:textId="77777777" w:rsidR="002F5AD0" w:rsidRPr="00837A41" w:rsidRDefault="002F5AD0" w:rsidP="00B02076">
            <w:pPr>
              <w:shd w:val="clear" w:color="auto" w:fill="FFFFFF"/>
              <w:jc w:val="right"/>
            </w:pPr>
          </w:p>
        </w:tc>
        <w:tc>
          <w:tcPr>
            <w:tcW w:w="1199" w:type="dxa"/>
            <w:tcBorders>
              <w:top w:val="single" w:sz="6" w:space="0" w:color="auto"/>
              <w:left w:val="nil"/>
              <w:bottom w:val="nil"/>
              <w:right w:val="nil"/>
            </w:tcBorders>
            <w:shd w:val="clear" w:color="auto" w:fill="FFFFFF"/>
            <w:vAlign w:val="bottom"/>
          </w:tcPr>
          <w:p w14:paraId="7C010086" w14:textId="77777777" w:rsidR="002F5AD0" w:rsidRPr="00837A41" w:rsidRDefault="002F5AD0" w:rsidP="00B02076">
            <w:pPr>
              <w:shd w:val="clear" w:color="auto" w:fill="FFFFFF"/>
              <w:jc w:val="right"/>
            </w:pPr>
          </w:p>
        </w:tc>
      </w:tr>
      <w:tr w:rsidR="002F5AD0" w:rsidRPr="00837A41" w14:paraId="390E1937" w14:textId="77777777" w:rsidTr="00B02076">
        <w:trPr>
          <w:trHeight w:val="20"/>
          <w:jc w:val="center"/>
        </w:trPr>
        <w:tc>
          <w:tcPr>
            <w:tcW w:w="5220" w:type="dxa"/>
            <w:tcBorders>
              <w:top w:val="nil"/>
              <w:left w:val="nil"/>
              <w:bottom w:val="nil"/>
              <w:right w:val="nil"/>
            </w:tcBorders>
            <w:shd w:val="clear" w:color="auto" w:fill="FFFFFF"/>
          </w:tcPr>
          <w:p w14:paraId="788998B5" w14:textId="77777777" w:rsidR="002F5AD0" w:rsidRPr="00837A41" w:rsidRDefault="002F5AD0" w:rsidP="00B02076">
            <w:pPr>
              <w:shd w:val="clear" w:color="auto" w:fill="FFFFFF"/>
              <w:tabs>
                <w:tab w:val="left" w:leader="dot" w:pos="5040"/>
              </w:tabs>
              <w:jc w:val="both"/>
            </w:pPr>
            <w:r w:rsidRPr="00837A41">
              <w:rPr>
                <w:b/>
                <w:bCs/>
                <w:szCs w:val="18"/>
              </w:rPr>
              <w:t>1.</w:t>
            </w:r>
            <w:r w:rsidRPr="00837A41">
              <w:rPr>
                <w:rFonts w:eastAsia="Times New Roman"/>
                <w:szCs w:val="18"/>
              </w:rPr>
              <w:t xml:space="preserve">— </w:t>
            </w:r>
            <w:r w:rsidRPr="00837A41">
              <w:rPr>
                <w:rFonts w:eastAsia="Times New Roman"/>
                <w:b/>
                <w:bCs/>
                <w:szCs w:val="18"/>
              </w:rPr>
              <w:t>Running Costs (net appropriation — see section 6)</w:t>
            </w:r>
            <w:r w:rsidR="00B02076">
              <w:rPr>
                <w:rFonts w:eastAsia="Times New Roman"/>
                <w:b/>
                <w:bCs/>
                <w:szCs w:val="18"/>
              </w:rPr>
              <w:tab/>
            </w:r>
          </w:p>
        </w:tc>
        <w:tc>
          <w:tcPr>
            <w:tcW w:w="1260" w:type="dxa"/>
            <w:tcBorders>
              <w:top w:val="nil"/>
              <w:left w:val="nil"/>
              <w:bottom w:val="single" w:sz="6" w:space="0" w:color="auto"/>
              <w:right w:val="nil"/>
            </w:tcBorders>
            <w:shd w:val="clear" w:color="auto" w:fill="FFFFFF"/>
            <w:vAlign w:val="bottom"/>
          </w:tcPr>
          <w:p w14:paraId="51B43E1B" w14:textId="77777777" w:rsidR="002F5AD0" w:rsidRPr="00837A41" w:rsidRDefault="002F5AD0" w:rsidP="00B02076">
            <w:pPr>
              <w:shd w:val="clear" w:color="auto" w:fill="FFFFFF"/>
              <w:jc w:val="right"/>
            </w:pPr>
            <w:r w:rsidRPr="00837A41">
              <w:rPr>
                <w:szCs w:val="18"/>
              </w:rPr>
              <w:t>773 000</w:t>
            </w:r>
          </w:p>
        </w:tc>
        <w:tc>
          <w:tcPr>
            <w:tcW w:w="1350" w:type="dxa"/>
            <w:tcBorders>
              <w:top w:val="nil"/>
              <w:left w:val="nil"/>
              <w:bottom w:val="nil"/>
              <w:right w:val="nil"/>
            </w:tcBorders>
            <w:shd w:val="clear" w:color="auto" w:fill="FFFFFF"/>
            <w:vAlign w:val="bottom"/>
          </w:tcPr>
          <w:p w14:paraId="0ABF7072" w14:textId="77777777" w:rsidR="002F5AD0" w:rsidRPr="00837A41" w:rsidRDefault="002F5AD0" w:rsidP="00B02076">
            <w:pPr>
              <w:shd w:val="clear" w:color="auto" w:fill="FFFFFF"/>
              <w:jc w:val="right"/>
            </w:pPr>
            <w:r w:rsidRPr="00837A41">
              <w:rPr>
                <w:szCs w:val="18"/>
              </w:rPr>
              <w:t>12 814 000</w:t>
            </w:r>
          </w:p>
        </w:tc>
        <w:tc>
          <w:tcPr>
            <w:tcW w:w="1199" w:type="dxa"/>
            <w:tcBorders>
              <w:top w:val="nil"/>
              <w:left w:val="nil"/>
              <w:bottom w:val="nil"/>
              <w:right w:val="nil"/>
            </w:tcBorders>
            <w:shd w:val="clear" w:color="auto" w:fill="FFFFFF"/>
            <w:vAlign w:val="bottom"/>
          </w:tcPr>
          <w:p w14:paraId="6D4988B2" w14:textId="77777777" w:rsidR="002F5AD0" w:rsidRPr="00837A41" w:rsidRDefault="002F5AD0" w:rsidP="00B02076">
            <w:pPr>
              <w:shd w:val="clear" w:color="auto" w:fill="FFFFFF"/>
              <w:jc w:val="right"/>
            </w:pPr>
            <w:r w:rsidRPr="00837A41">
              <w:rPr>
                <w:szCs w:val="18"/>
              </w:rPr>
              <w:t>11 269 229</w:t>
            </w:r>
          </w:p>
        </w:tc>
      </w:tr>
      <w:tr w:rsidR="002F5AD0" w:rsidRPr="00837A41" w14:paraId="016B2E58" w14:textId="77777777" w:rsidTr="00B02076">
        <w:trPr>
          <w:trHeight w:val="20"/>
          <w:jc w:val="center"/>
        </w:trPr>
        <w:tc>
          <w:tcPr>
            <w:tcW w:w="5220" w:type="dxa"/>
            <w:tcBorders>
              <w:top w:val="nil"/>
              <w:left w:val="nil"/>
              <w:bottom w:val="single" w:sz="6" w:space="0" w:color="auto"/>
              <w:right w:val="nil"/>
            </w:tcBorders>
            <w:shd w:val="clear" w:color="auto" w:fill="FFFFFF"/>
          </w:tcPr>
          <w:p w14:paraId="6CEA12E4" w14:textId="77777777" w:rsidR="002F5AD0" w:rsidRPr="00837A41" w:rsidRDefault="002F5AD0" w:rsidP="00B02076">
            <w:pPr>
              <w:shd w:val="clear" w:color="auto" w:fill="FFFFFF"/>
              <w:tabs>
                <w:tab w:val="left" w:leader="dot" w:pos="5040"/>
              </w:tabs>
              <w:spacing w:before="120" w:after="120"/>
              <w:ind w:left="485"/>
              <w:jc w:val="both"/>
            </w:pPr>
            <w:r w:rsidRPr="00837A41">
              <w:rPr>
                <w:b/>
                <w:bCs/>
                <w:szCs w:val="18"/>
              </w:rPr>
              <w:t>Total: Parliamentary Library</w:t>
            </w:r>
            <w:r w:rsidR="00B02076">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6AE3B2B5" w14:textId="77777777" w:rsidR="002F5AD0" w:rsidRPr="00837A41" w:rsidRDefault="002F5AD0" w:rsidP="00B02076">
            <w:pPr>
              <w:shd w:val="clear" w:color="auto" w:fill="FFFFFF"/>
              <w:spacing w:before="120" w:after="120"/>
              <w:jc w:val="right"/>
            </w:pPr>
            <w:r w:rsidRPr="00837A41">
              <w:rPr>
                <w:b/>
                <w:bCs/>
                <w:szCs w:val="18"/>
              </w:rPr>
              <w:t>773 000</w:t>
            </w:r>
          </w:p>
        </w:tc>
        <w:tc>
          <w:tcPr>
            <w:tcW w:w="1350" w:type="dxa"/>
            <w:tcBorders>
              <w:top w:val="nil"/>
              <w:left w:val="nil"/>
              <w:bottom w:val="single" w:sz="6" w:space="0" w:color="auto"/>
              <w:right w:val="nil"/>
            </w:tcBorders>
            <w:shd w:val="clear" w:color="auto" w:fill="FFFFFF"/>
            <w:vAlign w:val="bottom"/>
          </w:tcPr>
          <w:p w14:paraId="3C4BA996" w14:textId="77777777" w:rsidR="002F5AD0" w:rsidRPr="00837A41" w:rsidRDefault="002F5AD0" w:rsidP="00B02076">
            <w:pPr>
              <w:shd w:val="clear" w:color="auto" w:fill="FFFFFF"/>
              <w:jc w:val="right"/>
            </w:pPr>
          </w:p>
        </w:tc>
        <w:tc>
          <w:tcPr>
            <w:tcW w:w="1199" w:type="dxa"/>
            <w:tcBorders>
              <w:top w:val="nil"/>
              <w:left w:val="nil"/>
              <w:bottom w:val="single" w:sz="6" w:space="0" w:color="auto"/>
              <w:right w:val="nil"/>
            </w:tcBorders>
            <w:shd w:val="clear" w:color="auto" w:fill="FFFFFF"/>
            <w:vAlign w:val="bottom"/>
          </w:tcPr>
          <w:p w14:paraId="3DB5C59F" w14:textId="77777777" w:rsidR="002F5AD0" w:rsidRPr="00837A41" w:rsidRDefault="002F5AD0" w:rsidP="00B02076">
            <w:pPr>
              <w:shd w:val="clear" w:color="auto" w:fill="FFFFFF"/>
              <w:jc w:val="right"/>
            </w:pPr>
          </w:p>
        </w:tc>
      </w:tr>
      <w:tr w:rsidR="002F5AD0" w:rsidRPr="00837A41" w14:paraId="56D53907" w14:textId="77777777" w:rsidTr="00B02076">
        <w:trPr>
          <w:trHeight w:val="20"/>
          <w:jc w:val="center"/>
        </w:trPr>
        <w:tc>
          <w:tcPr>
            <w:tcW w:w="5220" w:type="dxa"/>
            <w:tcBorders>
              <w:top w:val="single" w:sz="6" w:space="0" w:color="auto"/>
              <w:left w:val="nil"/>
              <w:bottom w:val="nil"/>
              <w:right w:val="nil"/>
            </w:tcBorders>
            <w:shd w:val="clear" w:color="auto" w:fill="FFFFFF"/>
          </w:tcPr>
          <w:p w14:paraId="07DDA7AF" w14:textId="77777777" w:rsidR="002F5AD0" w:rsidRPr="00837A41" w:rsidRDefault="002F5AD0" w:rsidP="00B02076">
            <w:pPr>
              <w:shd w:val="clear" w:color="auto" w:fill="FFFFFF"/>
              <w:tabs>
                <w:tab w:val="left" w:leader="dot" w:pos="5040"/>
              </w:tabs>
              <w:spacing w:before="120"/>
              <w:jc w:val="both"/>
            </w:pPr>
            <w:r w:rsidRPr="00837A41">
              <w:rPr>
                <w:szCs w:val="18"/>
              </w:rPr>
              <w:t>Division 107.</w:t>
            </w:r>
            <w:r w:rsidRPr="00837A41">
              <w:rPr>
                <w:rFonts w:eastAsia="Times New Roman"/>
                <w:szCs w:val="18"/>
              </w:rPr>
              <w:t>— JOINT HOUSE DEPARTMENT</w:t>
            </w:r>
          </w:p>
        </w:tc>
        <w:tc>
          <w:tcPr>
            <w:tcW w:w="1260" w:type="dxa"/>
            <w:tcBorders>
              <w:top w:val="single" w:sz="6" w:space="0" w:color="auto"/>
              <w:left w:val="nil"/>
              <w:bottom w:val="nil"/>
              <w:right w:val="nil"/>
            </w:tcBorders>
            <w:shd w:val="clear" w:color="auto" w:fill="FFFFFF"/>
            <w:vAlign w:val="bottom"/>
          </w:tcPr>
          <w:p w14:paraId="5D76A384" w14:textId="77777777" w:rsidR="002F5AD0" w:rsidRPr="00837A41" w:rsidRDefault="002F5AD0" w:rsidP="00B02076">
            <w:pPr>
              <w:shd w:val="clear" w:color="auto" w:fill="FFFFFF"/>
              <w:jc w:val="right"/>
            </w:pPr>
          </w:p>
        </w:tc>
        <w:tc>
          <w:tcPr>
            <w:tcW w:w="1350" w:type="dxa"/>
            <w:tcBorders>
              <w:top w:val="single" w:sz="6" w:space="0" w:color="auto"/>
              <w:left w:val="nil"/>
              <w:bottom w:val="nil"/>
              <w:right w:val="nil"/>
            </w:tcBorders>
            <w:shd w:val="clear" w:color="auto" w:fill="FFFFFF"/>
            <w:vAlign w:val="bottom"/>
          </w:tcPr>
          <w:p w14:paraId="2B6BD41C" w14:textId="77777777" w:rsidR="002F5AD0" w:rsidRPr="00837A41" w:rsidRDefault="002F5AD0" w:rsidP="00B02076">
            <w:pPr>
              <w:shd w:val="clear" w:color="auto" w:fill="FFFFFF"/>
              <w:jc w:val="right"/>
            </w:pPr>
          </w:p>
        </w:tc>
        <w:tc>
          <w:tcPr>
            <w:tcW w:w="1199" w:type="dxa"/>
            <w:tcBorders>
              <w:top w:val="single" w:sz="6" w:space="0" w:color="auto"/>
              <w:left w:val="nil"/>
              <w:bottom w:val="nil"/>
              <w:right w:val="nil"/>
            </w:tcBorders>
            <w:shd w:val="clear" w:color="auto" w:fill="FFFFFF"/>
            <w:vAlign w:val="bottom"/>
          </w:tcPr>
          <w:p w14:paraId="62B50D89" w14:textId="77777777" w:rsidR="002F5AD0" w:rsidRPr="00837A41" w:rsidRDefault="002F5AD0" w:rsidP="00B02076">
            <w:pPr>
              <w:shd w:val="clear" w:color="auto" w:fill="FFFFFF"/>
              <w:jc w:val="right"/>
            </w:pPr>
          </w:p>
        </w:tc>
      </w:tr>
      <w:tr w:rsidR="002F5AD0" w:rsidRPr="00837A41" w14:paraId="44664384" w14:textId="77777777" w:rsidTr="00B02076">
        <w:trPr>
          <w:trHeight w:val="20"/>
          <w:jc w:val="center"/>
        </w:trPr>
        <w:tc>
          <w:tcPr>
            <w:tcW w:w="5220" w:type="dxa"/>
            <w:tcBorders>
              <w:top w:val="nil"/>
              <w:left w:val="nil"/>
              <w:bottom w:val="nil"/>
              <w:right w:val="nil"/>
            </w:tcBorders>
            <w:shd w:val="clear" w:color="auto" w:fill="FFFFFF"/>
          </w:tcPr>
          <w:p w14:paraId="4CF9AFD6" w14:textId="77777777" w:rsidR="002F5AD0" w:rsidRPr="00837A41" w:rsidRDefault="002F5AD0" w:rsidP="00B02076">
            <w:pPr>
              <w:shd w:val="clear" w:color="auto" w:fill="FFFFFF"/>
              <w:tabs>
                <w:tab w:val="left" w:leader="dot" w:pos="5040"/>
              </w:tabs>
              <w:jc w:val="both"/>
            </w:pPr>
            <w:r w:rsidRPr="00837A41">
              <w:rPr>
                <w:b/>
                <w:bCs/>
                <w:szCs w:val="18"/>
              </w:rPr>
              <w:t>1.</w:t>
            </w:r>
            <w:r w:rsidRPr="00837A41">
              <w:rPr>
                <w:rFonts w:eastAsia="Times New Roman"/>
                <w:b/>
                <w:bCs/>
                <w:szCs w:val="18"/>
              </w:rPr>
              <w:t>—</w:t>
            </w:r>
            <w:r w:rsidRPr="00837A41">
              <w:rPr>
                <w:rFonts w:eastAsia="Times New Roman"/>
                <w:szCs w:val="18"/>
              </w:rPr>
              <w:t xml:space="preserve"> </w:t>
            </w:r>
            <w:r w:rsidRPr="00837A41">
              <w:rPr>
                <w:rFonts w:eastAsia="Times New Roman"/>
                <w:b/>
                <w:bCs/>
                <w:szCs w:val="18"/>
              </w:rPr>
              <w:t>Running Costs (net appropriation — see section 6)</w:t>
            </w:r>
            <w:r w:rsidR="00B02076">
              <w:rPr>
                <w:rFonts w:eastAsia="Times New Roman"/>
                <w:b/>
                <w:bCs/>
                <w:szCs w:val="18"/>
              </w:rPr>
              <w:tab/>
            </w:r>
          </w:p>
        </w:tc>
        <w:tc>
          <w:tcPr>
            <w:tcW w:w="1260" w:type="dxa"/>
            <w:tcBorders>
              <w:top w:val="nil"/>
              <w:left w:val="nil"/>
              <w:bottom w:val="single" w:sz="6" w:space="0" w:color="auto"/>
              <w:right w:val="nil"/>
            </w:tcBorders>
            <w:shd w:val="clear" w:color="auto" w:fill="FFFFFF"/>
            <w:vAlign w:val="bottom"/>
          </w:tcPr>
          <w:p w14:paraId="21DB8CF8" w14:textId="77777777" w:rsidR="002F5AD0" w:rsidRPr="00837A41" w:rsidRDefault="002F5AD0" w:rsidP="00B02076">
            <w:pPr>
              <w:shd w:val="clear" w:color="auto" w:fill="FFFFFF"/>
              <w:jc w:val="right"/>
            </w:pPr>
            <w:r w:rsidRPr="00837A41">
              <w:rPr>
                <w:szCs w:val="18"/>
              </w:rPr>
              <w:t>125 000</w:t>
            </w:r>
          </w:p>
        </w:tc>
        <w:tc>
          <w:tcPr>
            <w:tcW w:w="1350" w:type="dxa"/>
            <w:tcBorders>
              <w:top w:val="nil"/>
              <w:left w:val="nil"/>
              <w:bottom w:val="nil"/>
              <w:right w:val="nil"/>
            </w:tcBorders>
            <w:shd w:val="clear" w:color="auto" w:fill="FFFFFF"/>
            <w:vAlign w:val="bottom"/>
          </w:tcPr>
          <w:p w14:paraId="7EBBD2F7" w14:textId="77777777" w:rsidR="002F5AD0" w:rsidRPr="00837A41" w:rsidRDefault="002F5AD0" w:rsidP="00B02076">
            <w:pPr>
              <w:shd w:val="clear" w:color="auto" w:fill="FFFFFF"/>
              <w:jc w:val="right"/>
            </w:pPr>
            <w:r w:rsidRPr="00837A41">
              <w:rPr>
                <w:szCs w:val="18"/>
              </w:rPr>
              <w:t>34 355 000</w:t>
            </w:r>
          </w:p>
        </w:tc>
        <w:tc>
          <w:tcPr>
            <w:tcW w:w="1199" w:type="dxa"/>
            <w:tcBorders>
              <w:top w:val="nil"/>
              <w:left w:val="nil"/>
              <w:bottom w:val="nil"/>
              <w:right w:val="nil"/>
            </w:tcBorders>
            <w:shd w:val="clear" w:color="auto" w:fill="FFFFFF"/>
            <w:vAlign w:val="bottom"/>
          </w:tcPr>
          <w:p w14:paraId="06995BE0" w14:textId="77777777" w:rsidR="002F5AD0" w:rsidRPr="00837A41" w:rsidRDefault="002F5AD0" w:rsidP="00B02076">
            <w:pPr>
              <w:shd w:val="clear" w:color="auto" w:fill="FFFFFF"/>
              <w:jc w:val="right"/>
            </w:pPr>
            <w:r w:rsidRPr="00837A41">
              <w:rPr>
                <w:szCs w:val="18"/>
              </w:rPr>
              <w:t>34 596 003</w:t>
            </w:r>
          </w:p>
        </w:tc>
      </w:tr>
      <w:tr w:rsidR="002F5AD0" w:rsidRPr="00837A41" w14:paraId="06C873F7" w14:textId="77777777" w:rsidTr="00B02076">
        <w:trPr>
          <w:trHeight w:val="20"/>
          <w:jc w:val="center"/>
        </w:trPr>
        <w:tc>
          <w:tcPr>
            <w:tcW w:w="5220" w:type="dxa"/>
            <w:tcBorders>
              <w:top w:val="nil"/>
              <w:left w:val="nil"/>
              <w:bottom w:val="single" w:sz="6" w:space="0" w:color="auto"/>
              <w:right w:val="nil"/>
            </w:tcBorders>
            <w:shd w:val="clear" w:color="auto" w:fill="FFFFFF"/>
          </w:tcPr>
          <w:p w14:paraId="22390010" w14:textId="77777777" w:rsidR="002F5AD0" w:rsidRPr="00837A41" w:rsidRDefault="002F5AD0" w:rsidP="00B02076">
            <w:pPr>
              <w:shd w:val="clear" w:color="auto" w:fill="FFFFFF"/>
              <w:tabs>
                <w:tab w:val="left" w:leader="dot" w:pos="5040"/>
              </w:tabs>
              <w:spacing w:before="120" w:after="120"/>
              <w:ind w:left="490"/>
              <w:jc w:val="both"/>
            </w:pPr>
            <w:r w:rsidRPr="00837A41">
              <w:rPr>
                <w:b/>
                <w:bCs/>
                <w:szCs w:val="18"/>
              </w:rPr>
              <w:t>Total: Joint House Department</w:t>
            </w:r>
            <w:r w:rsidR="00B02076">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7FC428DF" w14:textId="77777777" w:rsidR="002F5AD0" w:rsidRPr="00837A41" w:rsidRDefault="002F5AD0" w:rsidP="00B02076">
            <w:pPr>
              <w:shd w:val="clear" w:color="auto" w:fill="FFFFFF"/>
              <w:spacing w:before="120" w:after="120"/>
              <w:jc w:val="right"/>
            </w:pPr>
            <w:r w:rsidRPr="00837A41">
              <w:rPr>
                <w:b/>
                <w:bCs/>
                <w:szCs w:val="18"/>
              </w:rPr>
              <w:t>125 000</w:t>
            </w:r>
          </w:p>
        </w:tc>
        <w:tc>
          <w:tcPr>
            <w:tcW w:w="1350" w:type="dxa"/>
            <w:tcBorders>
              <w:top w:val="nil"/>
              <w:left w:val="nil"/>
              <w:bottom w:val="single" w:sz="6" w:space="0" w:color="auto"/>
              <w:right w:val="nil"/>
            </w:tcBorders>
            <w:shd w:val="clear" w:color="auto" w:fill="FFFFFF"/>
            <w:vAlign w:val="bottom"/>
          </w:tcPr>
          <w:p w14:paraId="2360E2A8" w14:textId="77777777" w:rsidR="002F5AD0" w:rsidRPr="00837A41" w:rsidRDefault="002F5AD0" w:rsidP="00B02076">
            <w:pPr>
              <w:shd w:val="clear" w:color="auto" w:fill="FFFFFF"/>
              <w:jc w:val="right"/>
            </w:pPr>
          </w:p>
        </w:tc>
        <w:tc>
          <w:tcPr>
            <w:tcW w:w="1199" w:type="dxa"/>
            <w:tcBorders>
              <w:top w:val="nil"/>
              <w:left w:val="nil"/>
              <w:bottom w:val="single" w:sz="6" w:space="0" w:color="auto"/>
              <w:right w:val="nil"/>
            </w:tcBorders>
            <w:shd w:val="clear" w:color="auto" w:fill="FFFFFF"/>
            <w:vAlign w:val="bottom"/>
          </w:tcPr>
          <w:p w14:paraId="56E41362" w14:textId="77777777" w:rsidR="002F5AD0" w:rsidRPr="00837A41" w:rsidRDefault="002F5AD0" w:rsidP="00B02076">
            <w:pPr>
              <w:shd w:val="clear" w:color="auto" w:fill="FFFFFF"/>
              <w:jc w:val="right"/>
            </w:pPr>
          </w:p>
        </w:tc>
      </w:tr>
    </w:tbl>
    <w:p w14:paraId="53158AA5" w14:textId="77777777" w:rsidR="00B02076" w:rsidRPr="00663697" w:rsidRDefault="002F5AD0" w:rsidP="00B02076">
      <w:pPr>
        <w:shd w:val="clear" w:color="auto" w:fill="FFFFFF"/>
        <w:spacing w:before="240"/>
        <w:ind w:left="1008"/>
        <w:jc w:val="both"/>
        <w:rPr>
          <w:rFonts w:eastAsia="Times New Roman"/>
          <w:sz w:val="22"/>
          <w:szCs w:val="18"/>
        </w:rPr>
      </w:pPr>
      <w:r w:rsidRPr="00663697">
        <w:rPr>
          <w:sz w:val="22"/>
          <w:szCs w:val="18"/>
        </w:rPr>
        <w:t>[</w:t>
      </w:r>
      <w:r w:rsidRPr="00663697">
        <w:rPr>
          <w:i/>
          <w:iCs/>
          <w:sz w:val="22"/>
          <w:szCs w:val="18"/>
        </w:rPr>
        <w:t>Minister</w:t>
      </w:r>
      <w:r w:rsidR="00A6453F" w:rsidRPr="00663697">
        <w:rPr>
          <w:i/>
          <w:iCs/>
          <w:sz w:val="22"/>
          <w:szCs w:val="18"/>
        </w:rPr>
        <w:t>’</w:t>
      </w:r>
      <w:r w:rsidRPr="00663697">
        <w:rPr>
          <w:i/>
          <w:iCs/>
          <w:sz w:val="22"/>
          <w:szCs w:val="18"/>
        </w:rPr>
        <w:t>s second reading speech made in</w:t>
      </w:r>
      <w:r w:rsidRPr="00663697">
        <w:rPr>
          <w:rFonts w:eastAsia="Times New Roman"/>
          <w:sz w:val="22"/>
          <w:szCs w:val="18"/>
        </w:rPr>
        <w:t>—</w:t>
      </w:r>
    </w:p>
    <w:p w14:paraId="7C74B374" w14:textId="77777777" w:rsidR="00B02076" w:rsidRPr="00663697" w:rsidRDefault="002F5AD0" w:rsidP="00B02076">
      <w:pPr>
        <w:shd w:val="clear" w:color="auto" w:fill="FFFFFF"/>
        <w:ind w:left="1728"/>
        <w:jc w:val="both"/>
        <w:rPr>
          <w:rFonts w:eastAsia="Times New Roman"/>
          <w:i/>
          <w:iCs/>
          <w:sz w:val="22"/>
          <w:szCs w:val="18"/>
        </w:rPr>
      </w:pPr>
      <w:r w:rsidRPr="00663697">
        <w:rPr>
          <w:rFonts w:eastAsia="Times New Roman"/>
          <w:i/>
          <w:iCs/>
          <w:sz w:val="22"/>
          <w:szCs w:val="18"/>
        </w:rPr>
        <w:t>House of Representatives on 8 February 1994</w:t>
      </w:r>
    </w:p>
    <w:p w14:paraId="24156F57" w14:textId="77777777" w:rsidR="002F5AD0" w:rsidRPr="00663697" w:rsidRDefault="002F5AD0" w:rsidP="00B02076">
      <w:pPr>
        <w:shd w:val="clear" w:color="auto" w:fill="FFFFFF"/>
        <w:ind w:left="1728"/>
        <w:jc w:val="both"/>
        <w:rPr>
          <w:sz w:val="22"/>
        </w:rPr>
      </w:pPr>
      <w:r w:rsidRPr="00663697">
        <w:rPr>
          <w:rFonts w:eastAsia="Times New Roman"/>
          <w:i/>
          <w:iCs/>
          <w:sz w:val="22"/>
          <w:szCs w:val="18"/>
        </w:rPr>
        <w:t>Senate on 2 March 1994</w:t>
      </w:r>
      <w:r w:rsidRPr="00663697">
        <w:rPr>
          <w:rFonts w:eastAsia="Times New Roman"/>
          <w:sz w:val="22"/>
          <w:szCs w:val="18"/>
        </w:rPr>
        <w:t>]</w:t>
      </w:r>
    </w:p>
    <w:p w14:paraId="655D1C5E" w14:textId="77777777" w:rsidR="002F5AD0" w:rsidRPr="00837A41" w:rsidRDefault="002F5AD0" w:rsidP="00B02076">
      <w:pPr>
        <w:pBdr>
          <w:top w:val="single" w:sz="4" w:space="1" w:color="auto"/>
        </w:pBdr>
        <w:shd w:val="clear" w:color="auto" w:fill="FFFFFF"/>
        <w:tabs>
          <w:tab w:val="left" w:pos="6660"/>
        </w:tabs>
        <w:spacing w:before="4000"/>
        <w:jc w:val="right"/>
      </w:pPr>
      <w:r w:rsidRPr="00837A41">
        <w:rPr>
          <w:szCs w:val="18"/>
        </w:rPr>
        <w:t>Printed by Authority by the Commonwealth Government Printer</w:t>
      </w:r>
      <w:r w:rsidR="00B02076">
        <w:rPr>
          <w:szCs w:val="18"/>
        </w:rPr>
        <w:tab/>
      </w:r>
      <w:r w:rsidRPr="00837A41">
        <w:rPr>
          <w:szCs w:val="18"/>
        </w:rPr>
        <w:t>(8/94)</w:t>
      </w:r>
    </w:p>
    <w:p w14:paraId="40163217" w14:textId="77777777" w:rsidR="00B02076" w:rsidRDefault="00B02076" w:rsidP="00B02076">
      <w:pPr>
        <w:jc w:val="both"/>
        <w:sectPr w:rsidR="00B02076" w:rsidSect="0012431E">
          <w:headerReference w:type="even" r:id="rId11"/>
          <w:headerReference w:type="default" r:id="rId12"/>
          <w:pgSz w:w="11909" w:h="16834"/>
          <w:pgMar w:top="1440" w:right="1440" w:bottom="1440" w:left="1440" w:header="720" w:footer="720" w:gutter="0"/>
          <w:cols w:space="720"/>
          <w:noEndnote/>
          <w:titlePg/>
          <w:docGrid w:linePitch="272"/>
        </w:sectPr>
      </w:pPr>
    </w:p>
    <w:p w14:paraId="2E8C846F" w14:textId="77777777" w:rsidR="002F5AD0" w:rsidRPr="00837A41" w:rsidRDefault="00A2511C" w:rsidP="00B02076">
      <w:pPr>
        <w:spacing w:before="12000"/>
        <w:jc w:val="right"/>
        <w:rPr>
          <w:sz w:val="24"/>
          <w:szCs w:val="24"/>
        </w:rPr>
      </w:pPr>
      <w:r w:rsidRPr="00837A41">
        <w:rPr>
          <w:noProof/>
          <w:sz w:val="24"/>
          <w:szCs w:val="24"/>
          <w:lang w:val="en-AU" w:eastAsia="en-AU"/>
        </w:rPr>
        <w:drawing>
          <wp:inline distT="0" distB="0" distL="0" distR="0" wp14:anchorId="70F3D079" wp14:editId="5491A4E5">
            <wp:extent cx="1396441" cy="733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4094" t="19044" r="9809" b="13412"/>
                    <a:stretch/>
                  </pic:blipFill>
                  <pic:spPr bwMode="auto">
                    <a:xfrm>
                      <a:off x="0" y="0"/>
                      <a:ext cx="1396441" cy="733245"/>
                    </a:xfrm>
                    <a:prstGeom prst="rect">
                      <a:avLst/>
                    </a:prstGeom>
                    <a:noFill/>
                    <a:ln>
                      <a:noFill/>
                    </a:ln>
                    <a:extLst>
                      <a:ext uri="{53640926-AAD7-44D8-BBD7-CCE9431645EC}">
                        <a14:shadowObscured xmlns:a14="http://schemas.microsoft.com/office/drawing/2010/main"/>
                      </a:ext>
                    </a:extLst>
                  </pic:spPr>
                </pic:pic>
              </a:graphicData>
            </a:graphic>
          </wp:inline>
        </w:drawing>
      </w:r>
    </w:p>
    <w:p w14:paraId="5FC15543" w14:textId="77777777" w:rsidR="002F5AD0" w:rsidRPr="00837A41" w:rsidRDefault="002F5AD0" w:rsidP="00837A41">
      <w:pPr>
        <w:jc w:val="both"/>
        <w:rPr>
          <w:sz w:val="2"/>
          <w:szCs w:val="2"/>
        </w:rPr>
      </w:pPr>
    </w:p>
    <w:sectPr w:rsidR="002F5AD0" w:rsidRPr="00837A41" w:rsidSect="00BC6990">
      <w:pgSz w:w="11909" w:h="16834"/>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0209D" w14:textId="77777777" w:rsidR="00184D02" w:rsidRDefault="00184D02" w:rsidP="0012431E">
      <w:r>
        <w:separator/>
      </w:r>
    </w:p>
  </w:endnote>
  <w:endnote w:type="continuationSeparator" w:id="0">
    <w:p w14:paraId="401E43D7" w14:textId="77777777" w:rsidR="00184D02" w:rsidRDefault="00184D02" w:rsidP="0012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23ABE" w14:textId="77777777" w:rsidR="00184D02" w:rsidRDefault="00184D02" w:rsidP="0012431E">
      <w:r>
        <w:separator/>
      </w:r>
    </w:p>
  </w:footnote>
  <w:footnote w:type="continuationSeparator" w:id="0">
    <w:p w14:paraId="72CFDE86" w14:textId="77777777" w:rsidR="00184D02" w:rsidRDefault="00184D02" w:rsidP="00124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393531"/>
      <w:docPartObj>
        <w:docPartGallery w:val="Page Numbers (Top of Page)"/>
        <w:docPartUnique/>
      </w:docPartObj>
    </w:sdtPr>
    <w:sdtEndPr>
      <w:rPr>
        <w:noProof/>
        <w:sz w:val="22"/>
      </w:rPr>
    </w:sdtEndPr>
    <w:sdtContent>
      <w:p w14:paraId="453702F8" w14:textId="77777777" w:rsidR="0012431E" w:rsidRPr="0012431E" w:rsidRDefault="0012431E" w:rsidP="0012431E">
        <w:pPr>
          <w:widowControl/>
          <w:tabs>
            <w:tab w:val="left" w:pos="2340"/>
          </w:tabs>
          <w:rPr>
            <w:i/>
            <w:iCs/>
            <w:sz w:val="22"/>
            <w:szCs w:val="22"/>
          </w:rPr>
        </w:pPr>
        <w:r w:rsidRPr="0012431E">
          <w:rPr>
            <w:sz w:val="22"/>
          </w:rPr>
          <w:fldChar w:fldCharType="begin"/>
        </w:r>
        <w:r w:rsidRPr="0012431E">
          <w:rPr>
            <w:sz w:val="22"/>
          </w:rPr>
          <w:instrText xml:space="preserve"> PAGE   \* MERGEFORMAT </w:instrText>
        </w:r>
        <w:r w:rsidRPr="0012431E">
          <w:rPr>
            <w:sz w:val="22"/>
          </w:rPr>
          <w:fldChar w:fldCharType="separate"/>
        </w:r>
        <w:r w:rsidR="006E0C81">
          <w:rPr>
            <w:noProof/>
            <w:sz w:val="22"/>
          </w:rPr>
          <w:t>2</w:t>
        </w:r>
        <w:r w:rsidRPr="0012431E">
          <w:rPr>
            <w:noProof/>
            <w:sz w:val="22"/>
          </w:rPr>
          <w:fldChar w:fldCharType="end"/>
        </w:r>
        <w:r w:rsidRPr="0012431E">
          <w:rPr>
            <w:noProof/>
            <w:sz w:val="22"/>
          </w:rPr>
          <w:tab/>
        </w:r>
        <w:r w:rsidRPr="0012431E">
          <w:rPr>
            <w:i/>
            <w:iCs/>
            <w:sz w:val="22"/>
            <w:szCs w:val="22"/>
          </w:rPr>
          <w:t>Appropriation (Parliamentary Departments) (No. 2)</w:t>
        </w:r>
      </w:p>
      <w:p w14:paraId="6A79CEF0" w14:textId="77777777" w:rsidR="0012431E" w:rsidRPr="0012431E" w:rsidRDefault="0012431E" w:rsidP="0012431E">
        <w:pPr>
          <w:pStyle w:val="Header"/>
          <w:jc w:val="center"/>
          <w:rPr>
            <w:sz w:val="22"/>
          </w:rPr>
        </w:pPr>
        <w:r w:rsidRPr="0012431E">
          <w:rPr>
            <w:i/>
            <w:iCs/>
            <w:sz w:val="22"/>
            <w:szCs w:val="22"/>
          </w:rPr>
          <w:t>1993-94 No. 53, 1994</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505B4" w14:textId="77777777" w:rsidR="0012431E" w:rsidRDefault="0012431E" w:rsidP="0012431E">
    <w:pPr>
      <w:pStyle w:val="Header"/>
      <w:tabs>
        <w:tab w:val="clear" w:pos="4680"/>
        <w:tab w:val="clear" w:pos="9360"/>
        <w:tab w:val="center" w:pos="6750"/>
        <w:tab w:val="right" w:pos="9000"/>
      </w:tabs>
      <w:jc w:val="right"/>
    </w:pPr>
    <w:r>
      <w:rPr>
        <w:i/>
        <w:iCs/>
        <w:sz w:val="22"/>
        <w:szCs w:val="22"/>
      </w:rPr>
      <w:t>Appropriation (Parliamentary Departments) (No. 2)</w:t>
    </w:r>
    <w:r>
      <w:tab/>
    </w:r>
    <w:sdt>
      <w:sdtPr>
        <w:id w:val="20741593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E0C81">
          <w:rPr>
            <w:noProof/>
          </w:rPr>
          <w:t>3</w:t>
        </w:r>
        <w:r>
          <w:rPr>
            <w:noProof/>
          </w:rPr>
          <w:fldChar w:fldCharType="end"/>
        </w:r>
      </w:sdtContent>
    </w:sdt>
  </w:p>
  <w:p w14:paraId="3398C74C" w14:textId="77777777" w:rsidR="0012431E" w:rsidRDefault="0012431E" w:rsidP="0012431E">
    <w:pPr>
      <w:pStyle w:val="Header"/>
      <w:jc w:val="center"/>
    </w:pPr>
    <w:r>
      <w:rPr>
        <w:i/>
        <w:iCs/>
        <w:sz w:val="22"/>
        <w:szCs w:val="22"/>
      </w:rPr>
      <w:t>1993-94 No. 53, 1994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154"/>
      <w:docPartObj>
        <w:docPartGallery w:val="Page Numbers (Top of Page)"/>
        <w:docPartUnique/>
      </w:docPartObj>
    </w:sdtPr>
    <w:sdtEndPr>
      <w:rPr>
        <w:noProof/>
        <w:sz w:val="22"/>
      </w:rPr>
    </w:sdtEndPr>
    <w:sdtContent>
      <w:p w14:paraId="51AE82E6" w14:textId="77777777" w:rsidR="00BC6990" w:rsidRPr="0012431E" w:rsidRDefault="00BC6990" w:rsidP="00BC6990">
        <w:pPr>
          <w:widowControl/>
          <w:tabs>
            <w:tab w:val="left" w:pos="990"/>
          </w:tabs>
          <w:rPr>
            <w:sz w:val="22"/>
          </w:rPr>
        </w:pPr>
        <w:r w:rsidRPr="0012431E">
          <w:rPr>
            <w:sz w:val="22"/>
          </w:rPr>
          <w:fldChar w:fldCharType="begin"/>
        </w:r>
        <w:r w:rsidRPr="0012431E">
          <w:rPr>
            <w:sz w:val="22"/>
          </w:rPr>
          <w:instrText xml:space="preserve"> PAGE   \* MERGEFORMAT </w:instrText>
        </w:r>
        <w:r w:rsidRPr="0012431E">
          <w:rPr>
            <w:sz w:val="22"/>
          </w:rPr>
          <w:fldChar w:fldCharType="separate"/>
        </w:r>
        <w:r w:rsidR="006E0C81">
          <w:rPr>
            <w:noProof/>
            <w:sz w:val="22"/>
          </w:rPr>
          <w:t>6</w:t>
        </w:r>
        <w:r w:rsidRPr="0012431E">
          <w:rPr>
            <w:noProof/>
            <w:sz w:val="22"/>
          </w:rPr>
          <w:fldChar w:fldCharType="end"/>
        </w:r>
        <w:r w:rsidRPr="0012431E">
          <w:rPr>
            <w:noProof/>
            <w:sz w:val="22"/>
          </w:rPr>
          <w:tab/>
        </w:r>
        <w:r w:rsidRPr="0012431E">
          <w:rPr>
            <w:i/>
            <w:iCs/>
            <w:sz w:val="22"/>
            <w:szCs w:val="22"/>
          </w:rPr>
          <w:t>Appropriation (Parliamentary Departments) (No. 2)</w:t>
        </w:r>
        <w:r>
          <w:rPr>
            <w:i/>
            <w:iCs/>
            <w:sz w:val="22"/>
            <w:szCs w:val="22"/>
          </w:rPr>
          <w:t xml:space="preserve"> </w:t>
        </w:r>
        <w:r w:rsidRPr="0012431E">
          <w:rPr>
            <w:i/>
            <w:iCs/>
            <w:sz w:val="22"/>
            <w:szCs w:val="22"/>
          </w:rPr>
          <w:t>1993-94 No. 53, 1994</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C28C1" w14:textId="77777777" w:rsidR="00BC6990" w:rsidRDefault="00BC6990" w:rsidP="00BC6990">
    <w:pPr>
      <w:pStyle w:val="Header"/>
      <w:tabs>
        <w:tab w:val="clear" w:pos="4680"/>
        <w:tab w:val="clear" w:pos="9360"/>
        <w:tab w:val="center" w:pos="7650"/>
        <w:tab w:val="right" w:pos="9000"/>
      </w:tabs>
      <w:jc w:val="right"/>
    </w:pPr>
    <w:r>
      <w:rPr>
        <w:i/>
        <w:iCs/>
        <w:sz w:val="22"/>
        <w:szCs w:val="22"/>
      </w:rPr>
      <w:t>Appropriation (Parliamentary Departments) (No. 2) 1993-94 No. 53, 1994</w:t>
    </w:r>
    <w:r>
      <w:tab/>
    </w:r>
    <w:sdt>
      <w:sdtPr>
        <w:id w:val="-8043955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E0C81">
          <w:rPr>
            <w:noProof/>
          </w:rPr>
          <w:t>5</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0968"/>
    <w:multiLevelType w:val="singleLevel"/>
    <w:tmpl w:val="5CE429CA"/>
    <w:lvl w:ilvl="0">
      <w:start w:val="1"/>
      <w:numFmt w:val="lowerLetter"/>
      <w:lvlText w:val="(%1)"/>
      <w:legacy w:legacy="1" w:legacySpace="0" w:legacyIndent="346"/>
      <w:lvlJc w:val="left"/>
      <w:rPr>
        <w:rFonts w:ascii="Times New Roman" w:hAnsi="Times New Roman" w:cs="Times New Roman" w:hint="default"/>
      </w:rPr>
    </w:lvl>
  </w:abstractNum>
  <w:abstractNum w:abstractNumId="1">
    <w:nsid w:val="35221A69"/>
    <w:multiLevelType w:val="singleLevel"/>
    <w:tmpl w:val="B5E48BC6"/>
    <w:lvl w:ilvl="0">
      <w:start w:val="1"/>
      <w:numFmt w:val="lowerLetter"/>
      <w:lvlText w:val="(%1)"/>
      <w:legacy w:legacy="1" w:legacySpace="0" w:legacyIndent="360"/>
      <w:lvlJc w:val="left"/>
      <w:rPr>
        <w:rFonts w:ascii="Times New Roman" w:hAnsi="Times New Roman" w:cs="Times New Roman" w:hint="default"/>
      </w:rPr>
    </w:lvl>
  </w:abstractNum>
  <w:num w:numId="1">
    <w:abstractNumId w:val="0"/>
  </w:num>
  <w:num w:numId="2">
    <w:abstractNumId w:val="0"/>
    <w:lvlOverride w:ilvl="0">
      <w:lvl w:ilvl="0">
        <w:start w:val="1"/>
        <w:numFmt w:val="lowerLetter"/>
        <w:lvlText w:val="(%1)"/>
        <w:legacy w:legacy="1" w:legacySpace="0" w:legacyIndent="345"/>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3F"/>
    <w:rsid w:val="0012431E"/>
    <w:rsid w:val="00184D02"/>
    <w:rsid w:val="001D5188"/>
    <w:rsid w:val="00204AB4"/>
    <w:rsid w:val="002715F5"/>
    <w:rsid w:val="002F5AD0"/>
    <w:rsid w:val="00340E1F"/>
    <w:rsid w:val="003442DF"/>
    <w:rsid w:val="00346DE4"/>
    <w:rsid w:val="004812E8"/>
    <w:rsid w:val="004C46EB"/>
    <w:rsid w:val="00531E37"/>
    <w:rsid w:val="00663697"/>
    <w:rsid w:val="00675023"/>
    <w:rsid w:val="006B0A89"/>
    <w:rsid w:val="006C4AC8"/>
    <w:rsid w:val="006E0C81"/>
    <w:rsid w:val="0073531A"/>
    <w:rsid w:val="007742F6"/>
    <w:rsid w:val="007F3B30"/>
    <w:rsid w:val="00837A41"/>
    <w:rsid w:val="00853700"/>
    <w:rsid w:val="008F4BC5"/>
    <w:rsid w:val="00901046"/>
    <w:rsid w:val="00904947"/>
    <w:rsid w:val="00994ADC"/>
    <w:rsid w:val="009C5886"/>
    <w:rsid w:val="009F102C"/>
    <w:rsid w:val="00A2511C"/>
    <w:rsid w:val="00A6453F"/>
    <w:rsid w:val="00B02076"/>
    <w:rsid w:val="00B87A0A"/>
    <w:rsid w:val="00BC6990"/>
    <w:rsid w:val="00D22CE5"/>
    <w:rsid w:val="00D84C45"/>
    <w:rsid w:val="00E3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905B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188"/>
    <w:pPr>
      <w:ind w:left="720"/>
      <w:contextualSpacing/>
    </w:pPr>
  </w:style>
  <w:style w:type="paragraph" w:styleId="Header">
    <w:name w:val="header"/>
    <w:basedOn w:val="Normal"/>
    <w:link w:val="HeaderChar"/>
    <w:uiPriority w:val="99"/>
    <w:rsid w:val="0012431E"/>
    <w:pPr>
      <w:tabs>
        <w:tab w:val="center" w:pos="4680"/>
        <w:tab w:val="right" w:pos="9360"/>
      </w:tabs>
    </w:pPr>
  </w:style>
  <w:style w:type="character" w:customStyle="1" w:styleId="HeaderChar">
    <w:name w:val="Header Char"/>
    <w:basedOn w:val="DefaultParagraphFont"/>
    <w:link w:val="Header"/>
    <w:uiPriority w:val="99"/>
    <w:rsid w:val="0012431E"/>
    <w:rPr>
      <w:rFonts w:ascii="Times New Roman" w:hAnsi="Times New Roman"/>
      <w:sz w:val="20"/>
      <w:szCs w:val="20"/>
    </w:rPr>
  </w:style>
  <w:style w:type="paragraph" w:styleId="Footer">
    <w:name w:val="footer"/>
    <w:basedOn w:val="Normal"/>
    <w:link w:val="FooterChar"/>
    <w:uiPriority w:val="99"/>
    <w:rsid w:val="0012431E"/>
    <w:pPr>
      <w:tabs>
        <w:tab w:val="center" w:pos="4680"/>
        <w:tab w:val="right" w:pos="9360"/>
      </w:tabs>
    </w:pPr>
  </w:style>
  <w:style w:type="character" w:customStyle="1" w:styleId="FooterChar">
    <w:name w:val="Footer Char"/>
    <w:basedOn w:val="DefaultParagraphFont"/>
    <w:link w:val="Footer"/>
    <w:uiPriority w:val="99"/>
    <w:rsid w:val="0012431E"/>
    <w:rPr>
      <w:rFonts w:ascii="Times New Roman" w:hAnsi="Times New Roman"/>
      <w:sz w:val="20"/>
      <w:szCs w:val="20"/>
    </w:rPr>
  </w:style>
  <w:style w:type="paragraph" w:styleId="BalloonText">
    <w:name w:val="Balloon Text"/>
    <w:basedOn w:val="Normal"/>
    <w:link w:val="BalloonTextChar"/>
    <w:uiPriority w:val="99"/>
    <w:semiHidden/>
    <w:unhideWhenUsed/>
    <w:rsid w:val="00346DE4"/>
    <w:rPr>
      <w:rFonts w:ascii="Tahoma" w:hAnsi="Tahoma" w:cs="Tahoma"/>
      <w:sz w:val="16"/>
      <w:szCs w:val="16"/>
    </w:rPr>
  </w:style>
  <w:style w:type="character" w:customStyle="1" w:styleId="BalloonTextChar">
    <w:name w:val="Balloon Text Char"/>
    <w:basedOn w:val="DefaultParagraphFont"/>
    <w:link w:val="BalloonText"/>
    <w:uiPriority w:val="99"/>
    <w:semiHidden/>
    <w:rsid w:val="00346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188"/>
    <w:pPr>
      <w:ind w:left="720"/>
      <w:contextualSpacing/>
    </w:pPr>
  </w:style>
  <w:style w:type="paragraph" w:styleId="Header">
    <w:name w:val="header"/>
    <w:basedOn w:val="Normal"/>
    <w:link w:val="HeaderChar"/>
    <w:uiPriority w:val="99"/>
    <w:rsid w:val="0012431E"/>
    <w:pPr>
      <w:tabs>
        <w:tab w:val="center" w:pos="4680"/>
        <w:tab w:val="right" w:pos="9360"/>
      </w:tabs>
    </w:pPr>
  </w:style>
  <w:style w:type="character" w:customStyle="1" w:styleId="HeaderChar">
    <w:name w:val="Header Char"/>
    <w:basedOn w:val="DefaultParagraphFont"/>
    <w:link w:val="Header"/>
    <w:uiPriority w:val="99"/>
    <w:rsid w:val="0012431E"/>
    <w:rPr>
      <w:rFonts w:ascii="Times New Roman" w:hAnsi="Times New Roman"/>
      <w:sz w:val="20"/>
      <w:szCs w:val="20"/>
    </w:rPr>
  </w:style>
  <w:style w:type="paragraph" w:styleId="Footer">
    <w:name w:val="footer"/>
    <w:basedOn w:val="Normal"/>
    <w:link w:val="FooterChar"/>
    <w:uiPriority w:val="99"/>
    <w:rsid w:val="0012431E"/>
    <w:pPr>
      <w:tabs>
        <w:tab w:val="center" w:pos="4680"/>
        <w:tab w:val="right" w:pos="9360"/>
      </w:tabs>
    </w:pPr>
  </w:style>
  <w:style w:type="character" w:customStyle="1" w:styleId="FooterChar">
    <w:name w:val="Footer Char"/>
    <w:basedOn w:val="DefaultParagraphFont"/>
    <w:link w:val="Footer"/>
    <w:uiPriority w:val="99"/>
    <w:rsid w:val="0012431E"/>
    <w:rPr>
      <w:rFonts w:ascii="Times New Roman" w:hAnsi="Times New Roman"/>
      <w:sz w:val="20"/>
      <w:szCs w:val="20"/>
    </w:rPr>
  </w:style>
  <w:style w:type="paragraph" w:styleId="BalloonText">
    <w:name w:val="Balloon Text"/>
    <w:basedOn w:val="Normal"/>
    <w:link w:val="BalloonTextChar"/>
    <w:uiPriority w:val="99"/>
    <w:semiHidden/>
    <w:unhideWhenUsed/>
    <w:rsid w:val="00346DE4"/>
    <w:rPr>
      <w:rFonts w:ascii="Tahoma" w:hAnsi="Tahoma" w:cs="Tahoma"/>
      <w:sz w:val="16"/>
      <w:szCs w:val="16"/>
    </w:rPr>
  </w:style>
  <w:style w:type="character" w:customStyle="1" w:styleId="BalloonTextChar">
    <w:name w:val="Balloon Text Char"/>
    <w:basedOn w:val="DefaultParagraphFont"/>
    <w:link w:val="BalloonText"/>
    <w:uiPriority w:val="99"/>
    <w:semiHidden/>
    <w:rsid w:val="00346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950</Words>
  <Characters>4792</Characters>
  <Application>Microsoft Office Word</Application>
  <DocSecurity>0</DocSecurity>
  <Lines>88</Lines>
  <Paragraphs>51</Paragraphs>
  <ScaleCrop>false</ScaleCrop>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USER_005</dc:creator>
  <cp:keywords/>
  <dc:description/>
  <cp:lastModifiedBy>Sadleir, Anne</cp:lastModifiedBy>
  <cp:revision>214</cp:revision>
  <dcterms:created xsi:type="dcterms:W3CDTF">2019-10-22T12:01:00Z</dcterms:created>
  <dcterms:modified xsi:type="dcterms:W3CDTF">2020-09-10T00:32:00Z</dcterms:modified>
</cp:coreProperties>
</file>