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226E" w14:textId="77777777" w:rsidR="00005876" w:rsidRPr="00C87D79" w:rsidRDefault="00F40721" w:rsidP="00C87D79">
      <w:pPr>
        <w:jc w:val="center"/>
        <w:rPr>
          <w:sz w:val="22"/>
          <w:szCs w:val="24"/>
        </w:rPr>
      </w:pPr>
      <w:r w:rsidRPr="00C87D79">
        <w:rPr>
          <w:noProof/>
          <w:sz w:val="22"/>
          <w:szCs w:val="24"/>
          <w:lang w:val="en-AU" w:eastAsia="en-AU"/>
        </w:rPr>
        <w:drawing>
          <wp:inline distT="0" distB="0" distL="0" distR="0" wp14:anchorId="5A872CF7" wp14:editId="0ED4DDFE">
            <wp:extent cx="1353185" cy="1024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C7A0" w14:textId="77777777" w:rsidR="00005876" w:rsidRPr="00C87D79" w:rsidRDefault="00005876" w:rsidP="00C87D79">
      <w:pPr>
        <w:shd w:val="clear" w:color="auto" w:fill="FFFFFF"/>
        <w:spacing w:before="960" w:after="120"/>
        <w:ind w:left="1728" w:right="1728"/>
        <w:jc w:val="center"/>
        <w:rPr>
          <w:sz w:val="36"/>
        </w:rPr>
      </w:pPr>
      <w:r w:rsidRPr="00C87D79">
        <w:rPr>
          <w:b/>
          <w:bCs/>
          <w:sz w:val="36"/>
          <w:szCs w:val="42"/>
          <w:lang w:val="en-US"/>
        </w:rPr>
        <w:t>Broadcasting Services Amendment Act 1993</w:t>
      </w:r>
    </w:p>
    <w:p w14:paraId="48FE3418" w14:textId="77777777" w:rsidR="00005876" w:rsidRPr="00DB0B09" w:rsidRDefault="00005876" w:rsidP="00C87D79">
      <w:pPr>
        <w:shd w:val="clear" w:color="auto" w:fill="FFFFFF"/>
        <w:spacing w:before="840"/>
        <w:jc w:val="center"/>
        <w:rPr>
          <w:sz w:val="28"/>
          <w:szCs w:val="28"/>
        </w:rPr>
      </w:pPr>
      <w:r w:rsidRPr="00DB0B09">
        <w:rPr>
          <w:b/>
          <w:bCs/>
          <w:sz w:val="28"/>
          <w:szCs w:val="28"/>
          <w:lang w:val="en-US"/>
        </w:rPr>
        <w:t>No. 1 of 1993</w:t>
      </w:r>
    </w:p>
    <w:p w14:paraId="77DE5E49" w14:textId="77777777" w:rsidR="00142466" w:rsidRDefault="005D3C41" w:rsidP="00DC03CD">
      <w:pPr>
        <w:shd w:val="clear" w:color="auto" w:fill="FFFFFF"/>
        <w:spacing w:before="120"/>
        <w:jc w:val="center"/>
        <w:rPr>
          <w:b/>
          <w:bCs/>
          <w:sz w:val="28"/>
          <w:szCs w:val="28"/>
          <w:lang w:val="en-US"/>
        </w:rPr>
      </w:pPr>
      <w:r w:rsidRPr="00DB0B09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inline distT="0" distB="0" distL="0" distR="0" wp14:anchorId="17552015" wp14:editId="2ACC270C">
                <wp:extent cx="6144768" cy="0"/>
                <wp:effectExtent l="0" t="0" r="0" b="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76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6BB4FB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" strokecolor="black [3040]" strokeweight=".5pt">
                <w10:anchorlock/>
              </v:line>
            </w:pict>
          </mc:Fallback>
        </mc:AlternateContent>
      </w:r>
      <w:r w:rsidRPr="00DB0B09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inline distT="0" distB="0" distL="0" distR="0" wp14:anchorId="583C076A" wp14:editId="610B14F5">
                <wp:extent cx="6144768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76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A6D5F9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" strokecolor="black [3040]" strokeweight="1pt">
                <w10:anchorlock/>
              </v:line>
            </w:pict>
          </mc:Fallback>
        </mc:AlternateContent>
      </w:r>
    </w:p>
    <w:p w14:paraId="5B2156EE" w14:textId="28023600" w:rsidR="00005876" w:rsidRPr="00DB0B09" w:rsidRDefault="00005876" w:rsidP="00DC03CD">
      <w:pPr>
        <w:shd w:val="clear" w:color="auto" w:fill="FFFFFF"/>
        <w:spacing w:before="120"/>
        <w:jc w:val="center"/>
        <w:rPr>
          <w:sz w:val="28"/>
          <w:szCs w:val="28"/>
        </w:rPr>
      </w:pPr>
      <w:r w:rsidRPr="00DB0B09">
        <w:rPr>
          <w:b/>
          <w:bCs/>
          <w:sz w:val="28"/>
          <w:szCs w:val="28"/>
          <w:lang w:val="en-US"/>
        </w:rPr>
        <w:t xml:space="preserve">An Act to amend the </w:t>
      </w:r>
      <w:r w:rsidRPr="00DB0B09">
        <w:rPr>
          <w:b/>
          <w:bCs/>
          <w:i/>
          <w:iCs/>
          <w:sz w:val="28"/>
          <w:szCs w:val="28"/>
          <w:lang w:val="en-US"/>
        </w:rPr>
        <w:t>Broadcasting Services Act 1992</w:t>
      </w:r>
    </w:p>
    <w:p w14:paraId="2910DCFA" w14:textId="77777777" w:rsidR="00005876" w:rsidRPr="00C87D79" w:rsidRDefault="00005876" w:rsidP="00C87D79">
      <w:pPr>
        <w:shd w:val="clear" w:color="auto" w:fill="FFFFFF"/>
        <w:spacing w:before="240" w:after="240"/>
        <w:jc w:val="right"/>
        <w:rPr>
          <w:sz w:val="22"/>
        </w:rPr>
      </w:pPr>
      <w:r w:rsidRPr="00C87D79">
        <w:rPr>
          <w:sz w:val="22"/>
          <w:szCs w:val="24"/>
          <w:lang w:val="en-US"/>
        </w:rPr>
        <w:t>[</w:t>
      </w:r>
      <w:r w:rsidRPr="00C87D79">
        <w:rPr>
          <w:i/>
          <w:iCs/>
          <w:sz w:val="22"/>
          <w:szCs w:val="24"/>
          <w:lang w:val="en-US"/>
        </w:rPr>
        <w:t>Assented to 14 May 1993</w:t>
      </w:r>
      <w:r w:rsidRPr="00C87D79">
        <w:rPr>
          <w:sz w:val="22"/>
          <w:szCs w:val="24"/>
          <w:lang w:val="en-US"/>
        </w:rPr>
        <w:t>]</w:t>
      </w:r>
    </w:p>
    <w:p w14:paraId="06FA279C" w14:textId="77777777" w:rsidR="00005876" w:rsidRPr="00C87D79" w:rsidRDefault="00005876" w:rsidP="00C87D79">
      <w:pPr>
        <w:shd w:val="clear" w:color="auto" w:fill="FFFFFF"/>
        <w:spacing w:before="120"/>
        <w:ind w:left="451"/>
        <w:rPr>
          <w:sz w:val="22"/>
        </w:rPr>
      </w:pPr>
      <w:r w:rsidRPr="00C87D79">
        <w:rPr>
          <w:sz w:val="22"/>
          <w:szCs w:val="24"/>
          <w:lang w:val="en-US"/>
        </w:rPr>
        <w:t>The Parliament of Australia enacts:</w:t>
      </w:r>
    </w:p>
    <w:p w14:paraId="45CE3568" w14:textId="77777777" w:rsidR="00005876" w:rsidRPr="00C87D79" w:rsidRDefault="00005876" w:rsidP="00C87D79">
      <w:pPr>
        <w:shd w:val="clear" w:color="auto" w:fill="FFFFFF"/>
        <w:spacing w:before="120"/>
        <w:ind w:left="24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Short title etc.</w:t>
      </w:r>
    </w:p>
    <w:p w14:paraId="12E3B74B" w14:textId="77777777" w:rsidR="00005876" w:rsidRPr="00C87D79" w:rsidRDefault="00005876" w:rsidP="00C87D79">
      <w:pPr>
        <w:shd w:val="clear" w:color="auto" w:fill="FFFFFF"/>
        <w:spacing w:before="120"/>
        <w:ind w:firstLine="466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1.(1)</w:t>
      </w:r>
      <w:r w:rsidRPr="00C87D79">
        <w:rPr>
          <w:sz w:val="22"/>
          <w:szCs w:val="24"/>
          <w:lang w:val="en-US"/>
        </w:rPr>
        <w:t xml:space="preserve"> This Act may be cited as the </w:t>
      </w:r>
      <w:r w:rsidRPr="00C87D79">
        <w:rPr>
          <w:i/>
          <w:iCs/>
          <w:sz w:val="22"/>
          <w:szCs w:val="24"/>
          <w:lang w:val="en-US"/>
        </w:rPr>
        <w:t>Broadcasting Services Amendment Act 1993.</w:t>
      </w:r>
    </w:p>
    <w:p w14:paraId="44FB69EC" w14:textId="77777777" w:rsidR="00005876" w:rsidRPr="00C87D79" w:rsidRDefault="00005876" w:rsidP="00C87D79">
      <w:pPr>
        <w:shd w:val="clear" w:color="auto" w:fill="FFFFFF"/>
        <w:spacing w:before="120"/>
        <w:ind w:firstLine="456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 xml:space="preserve">(2) </w:t>
      </w:r>
      <w:r w:rsidRPr="00C87D79">
        <w:rPr>
          <w:sz w:val="22"/>
          <w:szCs w:val="24"/>
          <w:lang w:val="en-US"/>
        </w:rPr>
        <w:t xml:space="preserve">In this Act, </w:t>
      </w:r>
      <w:r w:rsidRPr="00C87D79">
        <w:rPr>
          <w:b/>
          <w:bCs/>
          <w:sz w:val="22"/>
          <w:szCs w:val="24"/>
          <w:lang w:val="en-US"/>
        </w:rPr>
        <w:t xml:space="preserve">“Principal Act” </w:t>
      </w:r>
      <w:r w:rsidRPr="00C87D79">
        <w:rPr>
          <w:sz w:val="22"/>
          <w:szCs w:val="24"/>
          <w:lang w:val="en-US"/>
        </w:rPr>
        <w:t xml:space="preserve">means the </w:t>
      </w:r>
      <w:r w:rsidRPr="00C87D79">
        <w:rPr>
          <w:i/>
          <w:iCs/>
          <w:sz w:val="22"/>
          <w:szCs w:val="24"/>
          <w:lang w:val="en-US"/>
        </w:rPr>
        <w:t>Broadcasting Services Act 1992</w:t>
      </w:r>
      <w:r w:rsidRPr="00C87D79">
        <w:rPr>
          <w:sz w:val="22"/>
          <w:szCs w:val="24"/>
          <w:vertAlign w:val="superscript"/>
          <w:lang w:val="en-US"/>
        </w:rPr>
        <w:t>1</w:t>
      </w:r>
      <w:r w:rsidRPr="00C87D79">
        <w:rPr>
          <w:i/>
          <w:iCs/>
          <w:sz w:val="22"/>
          <w:szCs w:val="24"/>
          <w:lang w:val="en-US"/>
        </w:rPr>
        <w:t>.</w:t>
      </w:r>
    </w:p>
    <w:p w14:paraId="7C1B6CFB" w14:textId="77777777" w:rsidR="00005876" w:rsidRPr="00C87D79" w:rsidRDefault="00005876" w:rsidP="00C87D79">
      <w:pPr>
        <w:shd w:val="clear" w:color="auto" w:fill="FFFFFF"/>
        <w:spacing w:before="120"/>
        <w:ind w:left="19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Commencement</w:t>
      </w:r>
    </w:p>
    <w:p w14:paraId="4330C8C1" w14:textId="77777777" w:rsidR="00005876" w:rsidRPr="00C87D79" w:rsidRDefault="00005876" w:rsidP="00C87D79">
      <w:pPr>
        <w:shd w:val="clear" w:color="auto" w:fill="FFFFFF"/>
        <w:tabs>
          <w:tab w:val="left" w:pos="869"/>
        </w:tabs>
        <w:spacing w:before="120"/>
        <w:ind w:left="14" w:firstLine="432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2.</w:t>
      </w:r>
      <w:r w:rsidRPr="00C87D79">
        <w:rPr>
          <w:b/>
          <w:bCs/>
          <w:sz w:val="22"/>
          <w:szCs w:val="24"/>
          <w:lang w:val="en-US"/>
        </w:rPr>
        <w:tab/>
      </w:r>
      <w:r w:rsidRPr="00C87D79">
        <w:rPr>
          <w:sz w:val="22"/>
          <w:szCs w:val="24"/>
          <w:lang w:val="en-US"/>
        </w:rPr>
        <w:t>This Act commences on the day on which it receives the Royal</w:t>
      </w:r>
      <w:r w:rsidR="00C87D79">
        <w:rPr>
          <w:sz w:val="22"/>
          <w:szCs w:val="24"/>
          <w:lang w:val="en-US"/>
        </w:rPr>
        <w:t xml:space="preserve"> </w:t>
      </w:r>
      <w:r w:rsidRPr="00C87D79">
        <w:rPr>
          <w:sz w:val="22"/>
          <w:szCs w:val="24"/>
          <w:lang w:val="en-US"/>
        </w:rPr>
        <w:t>Assent.</w:t>
      </w:r>
    </w:p>
    <w:p w14:paraId="4192596C" w14:textId="77777777" w:rsidR="00005876" w:rsidRPr="00C87D79" w:rsidRDefault="00005876" w:rsidP="00C87D79">
      <w:pPr>
        <w:shd w:val="clear" w:color="auto" w:fill="FFFFFF"/>
        <w:spacing w:before="120"/>
        <w:ind w:left="14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Interpretation</w:t>
      </w:r>
    </w:p>
    <w:p w14:paraId="267D5EC0" w14:textId="77777777" w:rsidR="00005876" w:rsidRPr="00C87D79" w:rsidRDefault="00005876" w:rsidP="00C87D79">
      <w:pPr>
        <w:shd w:val="clear" w:color="auto" w:fill="FFFFFF"/>
        <w:tabs>
          <w:tab w:val="left" w:pos="869"/>
        </w:tabs>
        <w:spacing w:before="120"/>
        <w:ind w:left="14" w:firstLine="432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3.</w:t>
      </w:r>
      <w:r w:rsidRPr="00C87D79">
        <w:rPr>
          <w:b/>
          <w:bCs/>
          <w:sz w:val="22"/>
          <w:szCs w:val="24"/>
          <w:lang w:val="en-US"/>
        </w:rPr>
        <w:tab/>
      </w:r>
      <w:r w:rsidRPr="00C87D79">
        <w:rPr>
          <w:sz w:val="22"/>
          <w:szCs w:val="24"/>
          <w:lang w:val="en-US"/>
        </w:rPr>
        <w:t>Section 6 of the Principal Act is amended by inserting in</w:t>
      </w:r>
      <w:r w:rsidR="00C87D79">
        <w:rPr>
          <w:sz w:val="22"/>
          <w:szCs w:val="24"/>
          <w:lang w:val="en-US"/>
        </w:rPr>
        <w:t xml:space="preserve"> </w:t>
      </w:r>
      <w:r w:rsidRPr="00C87D79">
        <w:rPr>
          <w:sz w:val="22"/>
          <w:szCs w:val="24"/>
          <w:lang w:val="en-US"/>
        </w:rPr>
        <w:t>subsection (1) the following definitions:</w:t>
      </w:r>
    </w:p>
    <w:p w14:paraId="32A8AF69" w14:textId="3B746DC6" w:rsidR="00005876" w:rsidRPr="00C87D79" w:rsidRDefault="00005876" w:rsidP="00C87D79">
      <w:pPr>
        <w:shd w:val="clear" w:color="auto" w:fill="FFFFFF"/>
        <w:spacing w:before="120"/>
        <w:ind w:left="24"/>
        <w:rPr>
          <w:sz w:val="22"/>
        </w:rPr>
      </w:pPr>
      <w:r w:rsidRPr="00751EF4">
        <w:rPr>
          <w:bCs/>
          <w:sz w:val="22"/>
          <w:szCs w:val="24"/>
          <w:lang w:val="en-US"/>
        </w:rPr>
        <w:t>“</w:t>
      </w:r>
      <w:r w:rsidR="00751EF4">
        <w:rPr>
          <w:bCs/>
          <w:sz w:val="22"/>
          <w:szCs w:val="24"/>
          <w:lang w:val="en-US"/>
        </w:rPr>
        <w:t xml:space="preserve"> </w:t>
      </w:r>
      <w:r w:rsidRPr="00C87D79">
        <w:rPr>
          <w:b/>
          <w:bCs/>
          <w:sz w:val="22"/>
          <w:szCs w:val="24"/>
          <w:lang w:val="en-US"/>
        </w:rPr>
        <w:t xml:space="preserve">‘line’ </w:t>
      </w:r>
      <w:r w:rsidRPr="00C87D79">
        <w:rPr>
          <w:sz w:val="22"/>
          <w:szCs w:val="24"/>
          <w:lang w:val="en-US"/>
        </w:rPr>
        <w:t xml:space="preserve">has the same meaning as in the </w:t>
      </w:r>
      <w:r w:rsidRPr="00C87D79">
        <w:rPr>
          <w:i/>
          <w:iCs/>
          <w:sz w:val="22"/>
          <w:szCs w:val="24"/>
          <w:lang w:val="en-US"/>
        </w:rPr>
        <w:t>Telecommunications Act 1991;</w:t>
      </w:r>
    </w:p>
    <w:p w14:paraId="0C5E29D0" w14:textId="77777777" w:rsidR="00005876" w:rsidRPr="00C87D79" w:rsidRDefault="00005876" w:rsidP="00C87D79">
      <w:pPr>
        <w:shd w:val="clear" w:color="auto" w:fill="FFFFFF"/>
        <w:spacing w:before="120"/>
        <w:ind w:left="24"/>
        <w:rPr>
          <w:sz w:val="22"/>
        </w:rPr>
        <w:sectPr w:rsidR="00005876" w:rsidRPr="00C87D79" w:rsidSect="000977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1376BBCD" w14:textId="77777777" w:rsidR="00005876" w:rsidRPr="00C87D79" w:rsidRDefault="00005876" w:rsidP="00C87D79">
      <w:pPr>
        <w:shd w:val="clear" w:color="auto" w:fill="FFFFFF"/>
        <w:spacing w:before="120"/>
        <w:ind w:left="5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lastRenderedPageBreak/>
        <w:t xml:space="preserve">‘MDS system’ </w:t>
      </w:r>
      <w:r w:rsidRPr="00C87D79">
        <w:rPr>
          <w:sz w:val="22"/>
          <w:szCs w:val="24"/>
          <w:lang w:val="en-US"/>
        </w:rPr>
        <w:t xml:space="preserve">means a system for transmitting </w:t>
      </w:r>
      <w:r w:rsidRPr="00C87D79">
        <w:rPr>
          <w:sz w:val="22"/>
          <w:szCs w:val="24"/>
          <w:lang w:val="fr-FR"/>
        </w:rPr>
        <w:t xml:space="preserve">radiocommunications on </w:t>
      </w:r>
      <w:r w:rsidRPr="00C87D79">
        <w:rPr>
          <w:sz w:val="22"/>
          <w:szCs w:val="24"/>
          <w:lang w:val="en-US"/>
        </w:rPr>
        <w:t>a frequency or frequencies within:</w:t>
      </w:r>
    </w:p>
    <w:p w14:paraId="4D0F5388" w14:textId="77777777" w:rsidR="00005876" w:rsidRPr="00C87D79" w:rsidRDefault="00005876" w:rsidP="00C87D79">
      <w:pPr>
        <w:numPr>
          <w:ilvl w:val="0"/>
          <w:numId w:val="1"/>
        </w:numPr>
        <w:shd w:val="clear" w:color="auto" w:fill="FFFFFF"/>
        <w:tabs>
          <w:tab w:val="left" w:pos="1032"/>
        </w:tabs>
        <w:spacing w:before="120"/>
        <w:ind w:left="1032" w:hanging="581"/>
        <w:jc w:val="both"/>
        <w:rPr>
          <w:sz w:val="22"/>
          <w:szCs w:val="24"/>
          <w:lang w:val="en-US"/>
        </w:rPr>
      </w:pPr>
      <w:r w:rsidRPr="00C87D79">
        <w:rPr>
          <w:sz w:val="22"/>
          <w:szCs w:val="24"/>
          <w:lang w:val="en-US"/>
        </w:rPr>
        <w:t>the frequency band from 2076 Megahertz up to and including 2111 Megahertz; or</w:t>
      </w:r>
    </w:p>
    <w:p w14:paraId="60045AC0" w14:textId="77777777" w:rsidR="00005876" w:rsidRPr="00C87D79" w:rsidRDefault="00005876" w:rsidP="00C87D79">
      <w:pPr>
        <w:numPr>
          <w:ilvl w:val="0"/>
          <w:numId w:val="1"/>
        </w:numPr>
        <w:shd w:val="clear" w:color="auto" w:fill="FFFFFF"/>
        <w:tabs>
          <w:tab w:val="left" w:pos="1032"/>
        </w:tabs>
        <w:spacing w:before="120"/>
        <w:ind w:left="1032" w:hanging="581"/>
        <w:jc w:val="both"/>
        <w:rPr>
          <w:sz w:val="22"/>
          <w:szCs w:val="24"/>
          <w:lang w:val="en-US"/>
        </w:rPr>
      </w:pPr>
      <w:r w:rsidRPr="00C87D79">
        <w:rPr>
          <w:sz w:val="22"/>
          <w:szCs w:val="24"/>
          <w:lang w:val="en-US"/>
        </w:rPr>
        <w:t>the frequency band from 2300 Megahertz up to and including 2400 Megahertz;”.</w:t>
      </w:r>
    </w:p>
    <w:p w14:paraId="221A697E" w14:textId="77777777" w:rsidR="00005876" w:rsidRPr="00C87D79" w:rsidRDefault="00005876" w:rsidP="00C87D79">
      <w:pPr>
        <w:shd w:val="clear" w:color="auto" w:fill="FFFFFF"/>
        <w:spacing w:before="120"/>
        <w:ind w:left="10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Transmission system standards</w:t>
      </w:r>
    </w:p>
    <w:p w14:paraId="6A4DD645" w14:textId="77777777" w:rsidR="00005876" w:rsidRPr="00C87D79" w:rsidRDefault="00005876" w:rsidP="00C87D79">
      <w:pPr>
        <w:shd w:val="clear" w:color="auto" w:fill="FFFFFF"/>
        <w:tabs>
          <w:tab w:val="left" w:pos="878"/>
        </w:tabs>
        <w:spacing w:before="120"/>
        <w:ind w:left="10" w:firstLine="437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4.</w:t>
      </w:r>
      <w:r w:rsidRPr="00C87D79">
        <w:rPr>
          <w:b/>
          <w:bCs/>
          <w:sz w:val="22"/>
          <w:szCs w:val="24"/>
          <w:lang w:val="en-US"/>
        </w:rPr>
        <w:tab/>
      </w:r>
      <w:r w:rsidRPr="00C87D79">
        <w:rPr>
          <w:sz w:val="22"/>
          <w:szCs w:val="24"/>
          <w:lang w:val="en-US"/>
        </w:rPr>
        <w:t>Section 94 of the Principal Act is amended by inserting in</w:t>
      </w:r>
      <w:r w:rsidR="00C87D79">
        <w:rPr>
          <w:sz w:val="22"/>
          <w:szCs w:val="24"/>
          <w:lang w:val="en-US"/>
        </w:rPr>
        <w:t xml:space="preserve"> </w:t>
      </w:r>
      <w:r w:rsidRPr="00C87D79">
        <w:rPr>
          <w:sz w:val="22"/>
          <w:szCs w:val="24"/>
          <w:lang w:val="en-US"/>
        </w:rPr>
        <w:t>subsection (3) “by 1 March 1994” after “agree”.</w:t>
      </w:r>
    </w:p>
    <w:p w14:paraId="47220A8E" w14:textId="77777777" w:rsidR="00005876" w:rsidRPr="00C87D79" w:rsidRDefault="00005876" w:rsidP="00C87D79">
      <w:pPr>
        <w:shd w:val="clear" w:color="auto" w:fill="FFFFFF"/>
        <w:spacing w:before="120"/>
        <w:ind w:left="5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 xml:space="preserve">Allocation of other subscription television broadcasting </w:t>
      </w:r>
      <w:proofErr w:type="spellStart"/>
      <w:r w:rsidRPr="00C87D79">
        <w:rPr>
          <w:b/>
          <w:bCs/>
          <w:sz w:val="22"/>
          <w:szCs w:val="24"/>
          <w:lang w:val="en-US"/>
        </w:rPr>
        <w:t>licences</w:t>
      </w:r>
      <w:proofErr w:type="spellEnd"/>
    </w:p>
    <w:p w14:paraId="7FFBBC3A" w14:textId="77777777" w:rsidR="00005876" w:rsidRPr="00C87D79" w:rsidRDefault="00005876" w:rsidP="00C87D79">
      <w:pPr>
        <w:shd w:val="clear" w:color="auto" w:fill="FFFFFF"/>
        <w:tabs>
          <w:tab w:val="left" w:pos="878"/>
        </w:tabs>
        <w:spacing w:before="120"/>
        <w:ind w:left="10" w:firstLine="437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5.</w:t>
      </w:r>
      <w:r w:rsidRPr="00C87D79">
        <w:rPr>
          <w:b/>
          <w:bCs/>
          <w:sz w:val="22"/>
          <w:szCs w:val="24"/>
          <w:lang w:val="en-US"/>
        </w:rPr>
        <w:tab/>
      </w:r>
      <w:r w:rsidRPr="00C87D79">
        <w:rPr>
          <w:sz w:val="22"/>
          <w:szCs w:val="24"/>
          <w:lang w:val="en-US"/>
        </w:rPr>
        <w:t>Section 96 of the Principal Act is amended by inserting after</w:t>
      </w:r>
      <w:r w:rsidR="00C87D79">
        <w:rPr>
          <w:sz w:val="22"/>
          <w:szCs w:val="24"/>
          <w:lang w:val="en-US"/>
        </w:rPr>
        <w:t xml:space="preserve"> </w:t>
      </w:r>
      <w:r w:rsidRPr="00C87D79">
        <w:rPr>
          <w:sz w:val="22"/>
          <w:szCs w:val="24"/>
          <w:lang w:val="en-US"/>
        </w:rPr>
        <w:t>subsection (3) the following subsections:</w:t>
      </w:r>
    </w:p>
    <w:p w14:paraId="77710AAF" w14:textId="77777777" w:rsidR="00005876" w:rsidRPr="00C87D79" w:rsidRDefault="00005876" w:rsidP="00C87D79">
      <w:pPr>
        <w:shd w:val="clear" w:color="auto" w:fill="FFFFFF"/>
        <w:spacing w:before="120"/>
        <w:ind w:left="10" w:firstLine="446"/>
        <w:jc w:val="both"/>
        <w:rPr>
          <w:sz w:val="22"/>
        </w:rPr>
      </w:pPr>
      <w:r w:rsidRPr="00C87D79">
        <w:rPr>
          <w:sz w:val="22"/>
          <w:szCs w:val="24"/>
          <w:lang w:val="en-US"/>
        </w:rPr>
        <w:t xml:space="preserve">“(3A) In dealing with an application for a </w:t>
      </w:r>
      <w:proofErr w:type="spellStart"/>
      <w:r w:rsidRPr="00C87D79">
        <w:rPr>
          <w:sz w:val="22"/>
          <w:szCs w:val="24"/>
          <w:lang w:val="en-US"/>
        </w:rPr>
        <w:t>licence</w:t>
      </w:r>
      <w:proofErr w:type="spellEnd"/>
      <w:r w:rsidRPr="00C87D79">
        <w:rPr>
          <w:sz w:val="22"/>
          <w:szCs w:val="24"/>
          <w:lang w:val="en-US"/>
        </w:rPr>
        <w:t xml:space="preserve"> under subsection (1) for a service that is dependent on an MDS system as its means of transmission or as a part of its means of transmission (whether that application is made before or after the commencement of this subsection), the ABA must not allocate such a </w:t>
      </w:r>
      <w:proofErr w:type="spellStart"/>
      <w:r w:rsidRPr="00C87D79">
        <w:rPr>
          <w:sz w:val="22"/>
          <w:szCs w:val="24"/>
          <w:lang w:val="en-US"/>
        </w:rPr>
        <w:t>licence</w:t>
      </w:r>
      <w:proofErr w:type="spellEnd"/>
      <w:r w:rsidRPr="00C87D79">
        <w:rPr>
          <w:sz w:val="22"/>
          <w:szCs w:val="24"/>
          <w:lang w:val="en-US"/>
        </w:rPr>
        <w:t xml:space="preserve"> before services commence under </w:t>
      </w:r>
      <w:proofErr w:type="spellStart"/>
      <w:r w:rsidRPr="00C87D79">
        <w:rPr>
          <w:sz w:val="22"/>
          <w:szCs w:val="24"/>
          <w:lang w:val="en-US"/>
        </w:rPr>
        <w:t>licence</w:t>
      </w:r>
      <w:proofErr w:type="spellEnd"/>
      <w:r w:rsidRPr="00C87D79">
        <w:rPr>
          <w:sz w:val="22"/>
          <w:szCs w:val="24"/>
          <w:lang w:val="en-US"/>
        </w:rPr>
        <w:t xml:space="preserve"> A, </w:t>
      </w:r>
      <w:proofErr w:type="spellStart"/>
      <w:r w:rsidRPr="00C87D79">
        <w:rPr>
          <w:sz w:val="22"/>
          <w:szCs w:val="24"/>
          <w:lang w:val="en-US"/>
        </w:rPr>
        <w:t>licence</w:t>
      </w:r>
      <w:proofErr w:type="spellEnd"/>
      <w:r w:rsidRPr="00C87D79">
        <w:rPr>
          <w:sz w:val="22"/>
          <w:szCs w:val="24"/>
          <w:lang w:val="en-US"/>
        </w:rPr>
        <w:t xml:space="preserve"> B or </w:t>
      </w:r>
      <w:proofErr w:type="spellStart"/>
      <w:r w:rsidRPr="00C87D79">
        <w:rPr>
          <w:sz w:val="22"/>
          <w:szCs w:val="24"/>
          <w:lang w:val="en-US"/>
        </w:rPr>
        <w:t>licence</w:t>
      </w:r>
      <w:proofErr w:type="spellEnd"/>
      <w:r w:rsidRPr="00C87D79">
        <w:rPr>
          <w:sz w:val="22"/>
          <w:szCs w:val="24"/>
          <w:lang w:val="en-US"/>
        </w:rPr>
        <w:t xml:space="preserve"> C.</w:t>
      </w:r>
    </w:p>
    <w:p w14:paraId="46B3C11A" w14:textId="77777777" w:rsidR="00005876" w:rsidRPr="00C87D79" w:rsidRDefault="00005876" w:rsidP="00C87D79">
      <w:pPr>
        <w:shd w:val="clear" w:color="auto" w:fill="FFFFFF"/>
        <w:spacing w:before="120"/>
        <w:ind w:left="456"/>
        <w:jc w:val="both"/>
        <w:rPr>
          <w:sz w:val="22"/>
        </w:rPr>
      </w:pPr>
      <w:r w:rsidRPr="00C87D79">
        <w:rPr>
          <w:sz w:val="22"/>
          <w:szCs w:val="24"/>
          <w:lang w:val="en-US"/>
        </w:rPr>
        <w:t>“(3B) Subsection (3A) ceases to have effect on 31 December 1994.”.</w:t>
      </w:r>
    </w:p>
    <w:p w14:paraId="7903E114" w14:textId="77777777" w:rsidR="00005876" w:rsidRPr="00C87D79" w:rsidRDefault="00005876" w:rsidP="00C87D79">
      <w:pPr>
        <w:shd w:val="clear" w:color="auto" w:fill="FFFFFF"/>
        <w:tabs>
          <w:tab w:val="left" w:pos="878"/>
        </w:tabs>
        <w:spacing w:before="120"/>
        <w:ind w:left="10" w:firstLine="437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6.</w:t>
      </w:r>
      <w:r w:rsidRPr="00C87D79">
        <w:rPr>
          <w:sz w:val="22"/>
          <w:szCs w:val="24"/>
          <w:lang w:val="en-US"/>
        </w:rPr>
        <w:tab/>
        <w:t>After section 96 of the Principal Act the following section is</w:t>
      </w:r>
      <w:r w:rsidR="00C87D79">
        <w:rPr>
          <w:sz w:val="22"/>
          <w:szCs w:val="24"/>
          <w:lang w:val="en-US"/>
        </w:rPr>
        <w:t xml:space="preserve"> </w:t>
      </w:r>
      <w:r w:rsidRPr="00C87D79">
        <w:rPr>
          <w:sz w:val="22"/>
          <w:szCs w:val="24"/>
          <w:lang w:val="en-US"/>
        </w:rPr>
        <w:t>inserted:</w:t>
      </w:r>
    </w:p>
    <w:p w14:paraId="24DEA5EB" w14:textId="77777777" w:rsidR="00005876" w:rsidRPr="00C87D79" w:rsidRDefault="00005876" w:rsidP="00C87D79">
      <w:pPr>
        <w:shd w:val="clear" w:color="auto" w:fill="FFFFFF"/>
        <w:spacing w:before="120"/>
        <w:ind w:left="5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 xml:space="preserve">Monitoring of cross-media ownership of </w:t>
      </w:r>
      <w:proofErr w:type="spellStart"/>
      <w:r w:rsidRPr="00C87D79">
        <w:rPr>
          <w:b/>
          <w:bCs/>
          <w:sz w:val="22"/>
          <w:szCs w:val="24"/>
          <w:lang w:val="en-US"/>
        </w:rPr>
        <w:t>licences</w:t>
      </w:r>
      <w:proofErr w:type="spellEnd"/>
      <w:r w:rsidRPr="00C87D79">
        <w:rPr>
          <w:b/>
          <w:bCs/>
          <w:sz w:val="22"/>
          <w:szCs w:val="24"/>
          <w:lang w:val="en-US"/>
        </w:rPr>
        <w:t xml:space="preserve"> allocated under section 96</w:t>
      </w:r>
    </w:p>
    <w:p w14:paraId="0C8FE059" w14:textId="77777777" w:rsidR="00005876" w:rsidRPr="00C87D79" w:rsidRDefault="00005876" w:rsidP="00C87D79">
      <w:pPr>
        <w:shd w:val="clear" w:color="auto" w:fill="FFFFFF"/>
        <w:spacing w:before="120"/>
        <w:ind w:left="5" w:firstLine="456"/>
        <w:jc w:val="both"/>
        <w:rPr>
          <w:sz w:val="22"/>
        </w:rPr>
      </w:pPr>
      <w:r w:rsidRPr="00C87D79">
        <w:rPr>
          <w:sz w:val="22"/>
          <w:szCs w:val="24"/>
          <w:lang w:val="en-US"/>
        </w:rPr>
        <w:t xml:space="preserve">“96A.(1) The ABA, in consultation with the Trade Practices Commission, must monitor the cross-media ownership of the holders of </w:t>
      </w:r>
      <w:proofErr w:type="spellStart"/>
      <w:r w:rsidRPr="00C87D79">
        <w:rPr>
          <w:sz w:val="22"/>
          <w:szCs w:val="24"/>
          <w:lang w:val="en-US"/>
        </w:rPr>
        <w:t>licences</w:t>
      </w:r>
      <w:proofErr w:type="spellEnd"/>
      <w:r w:rsidRPr="00C87D79">
        <w:rPr>
          <w:sz w:val="22"/>
          <w:szCs w:val="24"/>
          <w:lang w:val="en-US"/>
        </w:rPr>
        <w:t xml:space="preserve"> allocated under section 96 in the context of the objects of this Act, particularly paragraph 3(c).</w:t>
      </w:r>
    </w:p>
    <w:p w14:paraId="069E5DC0" w14:textId="77777777" w:rsidR="00005876" w:rsidRPr="00C87D79" w:rsidRDefault="00005876" w:rsidP="00C87D79">
      <w:pPr>
        <w:shd w:val="clear" w:color="auto" w:fill="FFFFFF"/>
        <w:spacing w:before="120"/>
        <w:ind w:firstLine="446"/>
        <w:jc w:val="both"/>
        <w:rPr>
          <w:sz w:val="22"/>
        </w:rPr>
      </w:pPr>
      <w:r w:rsidRPr="00C87D79">
        <w:rPr>
          <w:sz w:val="22"/>
          <w:szCs w:val="24"/>
          <w:lang w:val="en-US"/>
        </w:rPr>
        <w:t>“(2) If, as a result of that monitoring, the ABA is concerned that the objects of this Act are being undermined, the ABA must report that concern to the Minister.</w:t>
      </w:r>
    </w:p>
    <w:p w14:paraId="047F30B2" w14:textId="77777777" w:rsidR="00005876" w:rsidRPr="00C87D79" w:rsidRDefault="00005876" w:rsidP="00C87D79">
      <w:pPr>
        <w:shd w:val="clear" w:color="auto" w:fill="FFFFFF"/>
        <w:spacing w:before="120"/>
        <w:ind w:left="5" w:firstLine="456"/>
        <w:jc w:val="both"/>
        <w:rPr>
          <w:sz w:val="22"/>
        </w:rPr>
      </w:pPr>
      <w:r w:rsidRPr="00C87D79">
        <w:rPr>
          <w:sz w:val="22"/>
          <w:szCs w:val="24"/>
          <w:lang w:val="en-US"/>
        </w:rPr>
        <w:t>“(3) The Minister must cause a copy of a report under this section to be laid before each House of the Parliament within 15 sitting days of that House after receiving the report.”.</w:t>
      </w:r>
    </w:p>
    <w:p w14:paraId="1E7BDB02" w14:textId="77777777" w:rsidR="00005876" w:rsidRPr="00C87D79" w:rsidRDefault="00005876" w:rsidP="00C87D79">
      <w:pPr>
        <w:shd w:val="clear" w:color="auto" w:fill="FFFFFF"/>
        <w:spacing w:before="120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Matters to which conditions may relate</w:t>
      </w:r>
    </w:p>
    <w:p w14:paraId="108D9400" w14:textId="77777777" w:rsidR="00005876" w:rsidRPr="00C87D79" w:rsidRDefault="00005876" w:rsidP="00C87D79">
      <w:pPr>
        <w:shd w:val="clear" w:color="auto" w:fill="FFFFFF"/>
        <w:tabs>
          <w:tab w:val="left" w:pos="878"/>
        </w:tabs>
        <w:spacing w:before="120"/>
        <w:ind w:left="446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7.</w:t>
      </w:r>
      <w:r w:rsidRPr="00C87D79">
        <w:rPr>
          <w:b/>
          <w:bCs/>
          <w:sz w:val="22"/>
          <w:szCs w:val="24"/>
          <w:lang w:val="en-US"/>
        </w:rPr>
        <w:tab/>
      </w:r>
      <w:r w:rsidRPr="00C87D79">
        <w:rPr>
          <w:sz w:val="22"/>
          <w:szCs w:val="24"/>
          <w:lang w:val="en-US"/>
        </w:rPr>
        <w:t>Section 100 of the Principal Act is amended:</w:t>
      </w:r>
    </w:p>
    <w:p w14:paraId="2273874A" w14:textId="77777777" w:rsidR="00005876" w:rsidRPr="00C87D79" w:rsidRDefault="00005876" w:rsidP="00C87D79">
      <w:pPr>
        <w:shd w:val="clear" w:color="auto" w:fill="FFFFFF"/>
        <w:spacing w:before="120"/>
        <w:ind w:left="1032" w:hanging="586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(a)</w:t>
      </w:r>
      <w:r w:rsidRPr="00C87D79">
        <w:rPr>
          <w:sz w:val="22"/>
          <w:szCs w:val="24"/>
          <w:lang w:val="en-US"/>
        </w:rPr>
        <w:t xml:space="preserve"> by omitting from subsection (4) “licensee A, licensee B and licensee C” and substituting “subscription television broadcasting licensees”;</w:t>
      </w:r>
    </w:p>
    <w:p w14:paraId="4519D9B4" w14:textId="77777777" w:rsidR="00005876" w:rsidRPr="00C87D79" w:rsidRDefault="00005876" w:rsidP="00C87D79">
      <w:pPr>
        <w:shd w:val="clear" w:color="auto" w:fill="FFFFFF"/>
        <w:spacing w:before="120"/>
        <w:ind w:left="1032" w:hanging="586"/>
        <w:jc w:val="both"/>
        <w:rPr>
          <w:sz w:val="22"/>
        </w:rPr>
        <w:sectPr w:rsidR="00005876" w:rsidRPr="00C87D79" w:rsidSect="00C87D79">
          <w:type w:val="nextColumn"/>
          <w:pgSz w:w="12240" w:h="15840"/>
          <w:pgMar w:top="1440" w:right="1440" w:bottom="1440" w:left="1440" w:header="720" w:footer="720" w:gutter="0"/>
          <w:cols w:space="60"/>
          <w:noEndnote/>
          <w:docGrid w:linePitch="272"/>
        </w:sectPr>
      </w:pPr>
    </w:p>
    <w:p w14:paraId="0BC1B499" w14:textId="77777777" w:rsidR="00005876" w:rsidRPr="00C87D79" w:rsidRDefault="00005876" w:rsidP="00C87D79">
      <w:pPr>
        <w:shd w:val="clear" w:color="auto" w:fill="FFFFFF"/>
        <w:spacing w:before="120"/>
        <w:ind w:left="427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lastRenderedPageBreak/>
        <w:t>(b)</w:t>
      </w:r>
      <w:r w:rsidRPr="00C87D79">
        <w:rPr>
          <w:sz w:val="22"/>
          <w:szCs w:val="24"/>
          <w:lang w:val="en-US"/>
        </w:rPr>
        <w:t xml:space="preserve"> by inserting after subsection (4) the following subsection:</w:t>
      </w:r>
    </w:p>
    <w:p w14:paraId="2139FBC5" w14:textId="77777777" w:rsidR="00005876" w:rsidRPr="00C87D79" w:rsidRDefault="00005876" w:rsidP="00C87D79">
      <w:pPr>
        <w:shd w:val="clear" w:color="auto" w:fill="FFFFFF"/>
        <w:spacing w:before="120"/>
        <w:ind w:left="1061" w:firstLine="274"/>
        <w:jc w:val="both"/>
        <w:rPr>
          <w:sz w:val="22"/>
        </w:rPr>
      </w:pPr>
      <w:r w:rsidRPr="00C87D79">
        <w:rPr>
          <w:sz w:val="22"/>
          <w:szCs w:val="24"/>
          <w:lang w:val="en-US"/>
        </w:rPr>
        <w:t>“(4A) Conditions under subsection (4) may be different for different classes of licensees.”.</w:t>
      </w:r>
    </w:p>
    <w:p w14:paraId="487C7228" w14:textId="77777777" w:rsidR="00005876" w:rsidRPr="00C87D79" w:rsidRDefault="00005876" w:rsidP="00C87D79">
      <w:pPr>
        <w:shd w:val="clear" w:color="auto" w:fill="FFFFFF"/>
        <w:spacing w:before="120"/>
        <w:ind w:firstLine="528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8.</w:t>
      </w:r>
      <w:r w:rsidRPr="00C87D79">
        <w:rPr>
          <w:sz w:val="22"/>
          <w:szCs w:val="24"/>
          <w:lang w:val="en-US"/>
        </w:rPr>
        <w:t xml:space="preserve"> Section 215 of the Principal Act is repealed and the following section is substituted:</w:t>
      </w:r>
    </w:p>
    <w:p w14:paraId="69344E35" w14:textId="77777777" w:rsidR="00005876" w:rsidRPr="00C87D79" w:rsidRDefault="00005876" w:rsidP="00C87D79">
      <w:pPr>
        <w:shd w:val="clear" w:color="auto" w:fill="FFFFFF"/>
        <w:spacing w:before="120"/>
        <w:ind w:left="5"/>
        <w:jc w:val="both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Review of television broadcasting industry</w:t>
      </w:r>
    </w:p>
    <w:p w14:paraId="16A933C1" w14:textId="77777777" w:rsidR="00005876" w:rsidRPr="00C87D79" w:rsidRDefault="00005876" w:rsidP="00C87D79">
      <w:pPr>
        <w:shd w:val="clear" w:color="auto" w:fill="FFFFFF"/>
        <w:spacing w:before="120"/>
        <w:ind w:left="5" w:firstLine="542"/>
        <w:jc w:val="both"/>
        <w:rPr>
          <w:sz w:val="22"/>
        </w:rPr>
      </w:pPr>
      <w:r w:rsidRPr="00C87D79">
        <w:rPr>
          <w:sz w:val="22"/>
          <w:szCs w:val="24"/>
          <w:lang w:val="en-US"/>
        </w:rPr>
        <w:t xml:space="preserve">“215.(1) The Minister must, before 1 July 1997, conduct a review of the television broadcasting industry to assess the national benefits that would accrue if more than 3 commercial television broadcasting services were permitted in </w:t>
      </w:r>
      <w:proofErr w:type="spellStart"/>
      <w:r w:rsidRPr="00C87D79">
        <w:rPr>
          <w:sz w:val="22"/>
          <w:szCs w:val="24"/>
          <w:lang w:val="en-US"/>
        </w:rPr>
        <w:t>licence</w:t>
      </w:r>
      <w:proofErr w:type="spellEnd"/>
      <w:r w:rsidRPr="00C87D79">
        <w:rPr>
          <w:sz w:val="22"/>
          <w:szCs w:val="24"/>
          <w:lang w:val="en-US"/>
        </w:rPr>
        <w:t xml:space="preserve"> areas.</w:t>
      </w:r>
    </w:p>
    <w:p w14:paraId="74332730" w14:textId="77777777" w:rsidR="00005876" w:rsidRPr="00C87D79" w:rsidRDefault="00005876" w:rsidP="00C87D79">
      <w:pPr>
        <w:shd w:val="clear" w:color="auto" w:fill="FFFFFF"/>
        <w:spacing w:before="120"/>
        <w:ind w:left="5" w:firstLine="538"/>
        <w:jc w:val="both"/>
        <w:rPr>
          <w:sz w:val="22"/>
        </w:rPr>
      </w:pPr>
      <w:r w:rsidRPr="00C87D79">
        <w:rPr>
          <w:sz w:val="22"/>
          <w:szCs w:val="24"/>
          <w:lang w:val="en-US"/>
        </w:rPr>
        <w:t>“(2) The Minister must, as soon as practicable, but in any case before 1 July 1997, conduct a review of the operation of the condition relating to Australian content on subscription television broadcasting licensees, including into the feasibility of increasing to 20% the level of expenditure required under section 102.”.</w:t>
      </w:r>
    </w:p>
    <w:p w14:paraId="7A66CA55" w14:textId="77777777" w:rsidR="00B265EB" w:rsidRDefault="00C87D79" w:rsidP="00DB0B09">
      <w:pPr>
        <w:shd w:val="clear" w:color="auto" w:fill="FFFFFF"/>
        <w:spacing w:before="840" w:after="120"/>
        <w:ind w:firstLine="5"/>
        <w:jc w:val="center"/>
        <w:rPr>
          <w:b/>
          <w:bCs/>
          <w:sz w:val="22"/>
          <w:szCs w:val="24"/>
          <w:lang w:val="en-US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inline distT="0" distB="0" distL="0" distR="0" wp14:anchorId="0AFE04A7" wp14:editId="4EE96575">
                <wp:extent cx="5983834" cy="0"/>
                <wp:effectExtent l="0" t="0" r="0" b="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8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A241E5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1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69733F7E" w14:textId="147C2A13" w:rsidR="00005876" w:rsidRPr="00C87D79" w:rsidRDefault="00005876" w:rsidP="00B265EB">
      <w:pPr>
        <w:shd w:val="clear" w:color="auto" w:fill="FFFFFF"/>
        <w:spacing w:before="120" w:after="120"/>
        <w:ind w:firstLine="5"/>
        <w:jc w:val="center"/>
        <w:rPr>
          <w:sz w:val="22"/>
        </w:rPr>
      </w:pPr>
      <w:r w:rsidRPr="00C87D79">
        <w:rPr>
          <w:b/>
          <w:bCs/>
          <w:sz w:val="22"/>
          <w:szCs w:val="24"/>
          <w:lang w:val="en-US"/>
        </w:rPr>
        <w:t>NOTE</w:t>
      </w:r>
    </w:p>
    <w:p w14:paraId="0557A3B6" w14:textId="77777777" w:rsidR="00005876" w:rsidRPr="00C87D79" w:rsidRDefault="00005876" w:rsidP="00B265EB">
      <w:pPr>
        <w:shd w:val="clear" w:color="auto" w:fill="FFFFFF"/>
        <w:spacing w:before="120"/>
        <w:ind w:left="552" w:hanging="514"/>
        <w:jc w:val="both"/>
      </w:pPr>
      <w:r w:rsidRPr="00C87D79">
        <w:rPr>
          <w:lang w:val="en-US"/>
        </w:rPr>
        <w:t xml:space="preserve">1. No. 110, 1992, as amended. For previous amendments, see </w:t>
      </w:r>
      <w:r w:rsidRPr="00C87D79">
        <w:rPr>
          <w:lang w:val="fr-FR"/>
        </w:rPr>
        <w:t xml:space="preserve">Nos. </w:t>
      </w:r>
      <w:r w:rsidRPr="00C87D79">
        <w:rPr>
          <w:lang w:val="en-US"/>
        </w:rPr>
        <w:t>167, 171, 216 and 218, 1992.</w:t>
      </w:r>
    </w:p>
    <w:p w14:paraId="76E1564F" w14:textId="77777777" w:rsidR="00B265EB" w:rsidRDefault="00C87D79" w:rsidP="00B265EB">
      <w:pPr>
        <w:shd w:val="clear" w:color="auto" w:fill="FFFFFF"/>
        <w:spacing w:before="120"/>
        <w:ind w:left="34"/>
        <w:jc w:val="both"/>
        <w:rPr>
          <w:lang w:val="en-US"/>
        </w:rPr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3826EED9" wp14:editId="02A87AD0">
                <wp:extent cx="6013095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7C6095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3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0E3035EB" w14:textId="546D0EE5" w:rsidR="00005876" w:rsidRPr="00C87D79" w:rsidRDefault="00005876" w:rsidP="00B265EB">
      <w:pPr>
        <w:shd w:val="clear" w:color="auto" w:fill="FFFFFF"/>
        <w:spacing w:before="120"/>
        <w:ind w:left="34"/>
        <w:jc w:val="both"/>
      </w:pPr>
      <w:r w:rsidRPr="00C87D79">
        <w:rPr>
          <w:lang w:val="en-US"/>
        </w:rPr>
        <w:t>[</w:t>
      </w:r>
      <w:r w:rsidRPr="00C87D79">
        <w:rPr>
          <w:i/>
          <w:iCs/>
          <w:lang w:val="en-US"/>
        </w:rPr>
        <w:t>Minister’s second reading speech made in</w:t>
      </w:r>
      <w:r w:rsidRPr="00C87D79">
        <w:rPr>
          <w:rFonts w:eastAsia="Times New Roman"/>
          <w:lang w:val="en-US"/>
        </w:rPr>
        <w:t>—</w:t>
      </w:r>
    </w:p>
    <w:p w14:paraId="6A911FB5" w14:textId="77777777" w:rsidR="00005876" w:rsidRPr="00C87D79" w:rsidRDefault="00005876" w:rsidP="00B265EB">
      <w:pPr>
        <w:shd w:val="clear" w:color="auto" w:fill="FFFFFF"/>
        <w:spacing w:before="120"/>
        <w:ind w:left="883"/>
        <w:jc w:val="both"/>
      </w:pPr>
      <w:r w:rsidRPr="00C87D79">
        <w:rPr>
          <w:i/>
          <w:iCs/>
          <w:lang w:val="en-US"/>
        </w:rPr>
        <w:t>Senate on 6 May 1993</w:t>
      </w:r>
    </w:p>
    <w:p w14:paraId="5C7A4A74" w14:textId="77777777" w:rsidR="00005876" w:rsidRPr="00C87D79" w:rsidRDefault="00005876" w:rsidP="00B265EB">
      <w:pPr>
        <w:shd w:val="clear" w:color="auto" w:fill="FFFFFF"/>
        <w:spacing w:before="120"/>
        <w:ind w:left="883"/>
        <w:jc w:val="both"/>
      </w:pPr>
      <w:r w:rsidRPr="00C87D79">
        <w:rPr>
          <w:i/>
          <w:iCs/>
          <w:lang w:val="en-US"/>
        </w:rPr>
        <w:t>House of Representatives on 14 May 1993 a.m.</w:t>
      </w:r>
      <w:r w:rsidRPr="00C87D79">
        <w:rPr>
          <w:lang w:val="en-US"/>
        </w:rPr>
        <w:t>]</w:t>
      </w:r>
      <w:bookmarkStart w:id="0" w:name="_GoBack"/>
      <w:bookmarkEnd w:id="0"/>
    </w:p>
    <w:sectPr w:rsidR="00005876" w:rsidRPr="00C87D79" w:rsidSect="00C87D79">
      <w:type w:val="nextColumn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81907" w14:textId="77777777" w:rsidR="00164B28" w:rsidRDefault="00164B28" w:rsidP="00097796">
      <w:r>
        <w:separator/>
      </w:r>
    </w:p>
  </w:endnote>
  <w:endnote w:type="continuationSeparator" w:id="0">
    <w:p w14:paraId="4DFF9025" w14:textId="77777777" w:rsidR="00164B28" w:rsidRDefault="00164B28" w:rsidP="0009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BF62" w14:textId="77777777" w:rsidR="00097796" w:rsidRDefault="00097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206A" w14:textId="77777777" w:rsidR="00097796" w:rsidRDefault="00097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AB384" w14:textId="77777777" w:rsidR="00097796" w:rsidRDefault="00097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88292" w14:textId="77777777" w:rsidR="00164B28" w:rsidRDefault="00164B28" w:rsidP="00097796">
      <w:r>
        <w:separator/>
      </w:r>
    </w:p>
  </w:footnote>
  <w:footnote w:type="continuationSeparator" w:id="0">
    <w:p w14:paraId="3211667C" w14:textId="77777777" w:rsidR="00164B28" w:rsidRDefault="00164B28" w:rsidP="0009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57E8" w14:textId="77777777" w:rsidR="00097796" w:rsidRDefault="00097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4D18" w14:textId="77777777" w:rsidR="00097796" w:rsidRPr="00097796" w:rsidRDefault="00097796" w:rsidP="00097796">
    <w:pPr>
      <w:pStyle w:val="Header"/>
      <w:tabs>
        <w:tab w:val="clear" w:pos="4680"/>
        <w:tab w:val="center" w:pos="4140"/>
      </w:tabs>
      <w:jc w:val="center"/>
      <w:rPr>
        <w:sz w:val="22"/>
      </w:rPr>
    </w:pPr>
    <w:r w:rsidRPr="00097796">
      <w:rPr>
        <w:i/>
        <w:iCs/>
        <w:sz w:val="22"/>
        <w:szCs w:val="24"/>
        <w:lang w:val="en-US" w:eastAsia="en-US"/>
      </w:rPr>
      <w:t>Broadcasting Services Amendment</w:t>
    </w:r>
    <w:r>
      <w:rPr>
        <w:i/>
        <w:iCs/>
        <w:sz w:val="22"/>
        <w:szCs w:val="24"/>
        <w:lang w:val="en-US" w:eastAsia="en-US"/>
      </w:rPr>
      <w:tab/>
    </w:r>
    <w:r w:rsidRPr="00097796">
      <w:rPr>
        <w:i/>
        <w:iCs/>
        <w:sz w:val="22"/>
        <w:szCs w:val="24"/>
        <w:lang w:val="en-US" w:eastAsia="en-US"/>
      </w:rPr>
      <w:t>No. 1, 1993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A9D7" w14:textId="77777777" w:rsidR="00097796" w:rsidRPr="00097796" w:rsidRDefault="00097796" w:rsidP="00097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C1667"/>
    <w:multiLevelType w:val="singleLevel"/>
    <w:tmpl w:val="5B1816DC"/>
    <w:lvl w:ilvl="0">
      <w:start w:val="1"/>
      <w:numFmt w:val="lowerLetter"/>
      <w:lvlText w:val="(%1)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1C8"/>
    <w:rsid w:val="00005876"/>
    <w:rsid w:val="00097796"/>
    <w:rsid w:val="00142466"/>
    <w:rsid w:val="00164B28"/>
    <w:rsid w:val="001731C8"/>
    <w:rsid w:val="005D3C41"/>
    <w:rsid w:val="00751EF4"/>
    <w:rsid w:val="008427B0"/>
    <w:rsid w:val="00914D69"/>
    <w:rsid w:val="00A3453A"/>
    <w:rsid w:val="00B265EB"/>
    <w:rsid w:val="00BA27B8"/>
    <w:rsid w:val="00BE0401"/>
    <w:rsid w:val="00C87D79"/>
    <w:rsid w:val="00DB0B09"/>
    <w:rsid w:val="00DC03CD"/>
    <w:rsid w:val="00F4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B4402"/>
  <w14:defaultImageDpi w14:val="0"/>
  <w15:docId w15:val="{1D386A5E-8E02-4500-96A9-D117B29A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7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796"/>
    <w:rPr>
      <w:rFonts w:ascii="Times New Roman" w:hAnsi="Times New Roman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rsid w:val="00097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796"/>
    <w:rPr>
      <w:rFonts w:ascii="Times New Roman" w:hAnsi="Times New Roman"/>
      <w:sz w:val="20"/>
      <w:szCs w:val="20"/>
      <w:lang w:val="en-IN" w:eastAsia="en-IN"/>
    </w:rPr>
  </w:style>
  <w:style w:type="character" w:styleId="CommentReference">
    <w:name w:val="annotation reference"/>
    <w:basedOn w:val="DefaultParagraphFont"/>
    <w:uiPriority w:val="99"/>
    <w:rsid w:val="00BA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27B8"/>
  </w:style>
  <w:style w:type="character" w:customStyle="1" w:styleId="CommentTextChar">
    <w:name w:val="Comment Text Char"/>
    <w:basedOn w:val="DefaultParagraphFont"/>
    <w:link w:val="CommentText"/>
    <w:uiPriority w:val="99"/>
    <w:rsid w:val="00BA27B8"/>
    <w:rPr>
      <w:rFonts w:ascii="Times New Roman" w:hAnsi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A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A27B8"/>
    <w:rPr>
      <w:rFonts w:ascii="Times New Roman" w:hAnsi="Times New Roman"/>
      <w:b/>
      <w:bCs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B8"/>
    <w:rPr>
      <w:rFonts w:ascii="Segoe UI" w:hAnsi="Segoe UI" w:cs="Segoe UI"/>
      <w:sz w:val="18"/>
      <w:szCs w:val="18"/>
      <w:lang w:val="en-IN" w:eastAsia="en-IN"/>
    </w:rPr>
  </w:style>
  <w:style w:type="paragraph" w:styleId="Revision">
    <w:name w:val="Revision"/>
    <w:hidden/>
    <w:uiPriority w:val="99"/>
    <w:semiHidden/>
    <w:rsid w:val="00914D69"/>
    <w:pPr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USER_015</dc:creator>
  <cp:keywords/>
  <dc:description/>
  <cp:lastModifiedBy>Sadleir, Anne</cp:lastModifiedBy>
  <cp:revision>4</cp:revision>
  <dcterms:created xsi:type="dcterms:W3CDTF">2023-07-28T00:31:00Z</dcterms:created>
  <dcterms:modified xsi:type="dcterms:W3CDTF">2023-07-28T00:35:00Z</dcterms:modified>
</cp:coreProperties>
</file>