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D9444" w14:textId="77777777" w:rsidR="002C016D" w:rsidRPr="003A696F" w:rsidRDefault="003D1443" w:rsidP="003A696F">
      <w:pPr>
        <w:jc w:val="center"/>
        <w:rPr>
          <w:sz w:val="22"/>
          <w:szCs w:val="22"/>
        </w:rPr>
      </w:pPr>
      <w:r w:rsidRPr="003A696F">
        <w:rPr>
          <w:noProof/>
          <w:sz w:val="22"/>
          <w:szCs w:val="22"/>
          <w:lang w:val="en-AU" w:eastAsia="en-AU"/>
        </w:rPr>
        <w:drawing>
          <wp:inline distT="0" distB="0" distL="0" distR="0" wp14:anchorId="79BF9DB2" wp14:editId="4711B7BD">
            <wp:extent cx="1405890" cy="10420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890" cy="1042035"/>
                    </a:xfrm>
                    <a:prstGeom prst="rect">
                      <a:avLst/>
                    </a:prstGeom>
                    <a:noFill/>
                    <a:ln>
                      <a:noFill/>
                    </a:ln>
                  </pic:spPr>
                </pic:pic>
              </a:graphicData>
            </a:graphic>
          </wp:inline>
        </w:drawing>
      </w:r>
    </w:p>
    <w:p w14:paraId="129DF343" w14:textId="77777777" w:rsidR="00C21508" w:rsidRDefault="00C21508" w:rsidP="00C21508">
      <w:pPr>
        <w:shd w:val="clear" w:color="auto" w:fill="FFFFFF"/>
        <w:spacing w:after="240"/>
        <w:jc w:val="center"/>
        <w:rPr>
          <w:b/>
          <w:bCs/>
          <w:sz w:val="36"/>
          <w:szCs w:val="22"/>
        </w:rPr>
      </w:pPr>
    </w:p>
    <w:p w14:paraId="5089FCDF" w14:textId="77777777" w:rsidR="00C21508" w:rsidRDefault="00C21508" w:rsidP="00C21508">
      <w:pPr>
        <w:shd w:val="clear" w:color="auto" w:fill="FFFFFF"/>
        <w:spacing w:after="240"/>
        <w:jc w:val="center"/>
        <w:rPr>
          <w:b/>
          <w:bCs/>
          <w:sz w:val="36"/>
          <w:szCs w:val="22"/>
        </w:rPr>
      </w:pPr>
    </w:p>
    <w:p w14:paraId="58B6E54E" w14:textId="77777777" w:rsidR="00C21508" w:rsidRDefault="00A6708C" w:rsidP="00C21508">
      <w:pPr>
        <w:shd w:val="clear" w:color="auto" w:fill="FFFFFF"/>
        <w:jc w:val="center"/>
        <w:rPr>
          <w:b/>
          <w:bCs/>
          <w:sz w:val="36"/>
          <w:szCs w:val="22"/>
        </w:rPr>
      </w:pPr>
      <w:r w:rsidRPr="003A696F">
        <w:rPr>
          <w:b/>
          <w:bCs/>
          <w:sz w:val="36"/>
          <w:szCs w:val="22"/>
        </w:rPr>
        <w:t>Se</w:t>
      </w:r>
      <w:bookmarkStart w:id="0" w:name="_GoBack"/>
      <w:bookmarkEnd w:id="0"/>
      <w:r w:rsidRPr="003A696F">
        <w:rPr>
          <w:b/>
          <w:bCs/>
          <w:sz w:val="36"/>
          <w:szCs w:val="22"/>
        </w:rPr>
        <w:t>afarers Rehabilitation and Compensation</w:t>
      </w:r>
    </w:p>
    <w:p w14:paraId="7B87C98F" w14:textId="77777777" w:rsidR="002C016D" w:rsidRPr="003A696F" w:rsidRDefault="00A6708C" w:rsidP="00C21508">
      <w:pPr>
        <w:shd w:val="clear" w:color="auto" w:fill="FFFFFF"/>
        <w:jc w:val="center"/>
        <w:rPr>
          <w:sz w:val="36"/>
          <w:szCs w:val="22"/>
        </w:rPr>
      </w:pPr>
      <w:r w:rsidRPr="003A696F">
        <w:rPr>
          <w:b/>
          <w:bCs/>
          <w:sz w:val="36"/>
          <w:szCs w:val="22"/>
        </w:rPr>
        <w:t xml:space="preserve"> Levy Collection Act 1992</w:t>
      </w:r>
    </w:p>
    <w:p w14:paraId="234C6631" w14:textId="77777777" w:rsidR="002C016D" w:rsidRPr="003A696F" w:rsidRDefault="00A6708C" w:rsidP="003A696F">
      <w:pPr>
        <w:shd w:val="clear" w:color="auto" w:fill="FFFFFF"/>
        <w:spacing w:before="960"/>
        <w:jc w:val="center"/>
        <w:rPr>
          <w:sz w:val="28"/>
          <w:szCs w:val="28"/>
        </w:rPr>
      </w:pPr>
      <w:r w:rsidRPr="003A696F">
        <w:rPr>
          <w:b/>
          <w:bCs/>
          <w:sz w:val="28"/>
          <w:szCs w:val="28"/>
        </w:rPr>
        <w:t>No. 232 of 1992</w:t>
      </w:r>
    </w:p>
    <w:p w14:paraId="44F9275D" w14:textId="77777777" w:rsidR="002C016D" w:rsidRPr="003A696F" w:rsidRDefault="009D1A85" w:rsidP="003A696F">
      <w:pPr>
        <w:shd w:val="clear" w:color="auto" w:fill="FFFFFF"/>
        <w:spacing w:before="1949"/>
        <w:jc w:val="center"/>
        <w:rPr>
          <w:sz w:val="28"/>
          <w:szCs w:val="28"/>
        </w:rPr>
      </w:pPr>
      <w:r w:rsidRPr="003A696F">
        <w:rPr>
          <w:b/>
          <w:bCs/>
          <w:noProof/>
          <w:sz w:val="28"/>
          <w:szCs w:val="28"/>
          <w:lang w:val="en-AU" w:eastAsia="en-AU"/>
        </w:rPr>
        <mc:AlternateContent>
          <mc:Choice Requires="wps">
            <w:drawing>
              <wp:anchor distT="0" distB="0" distL="114300" distR="114300" simplePos="0" relativeHeight="251659264" behindDoc="0" locked="0" layoutInCell="1" allowOverlap="1" wp14:anchorId="0DC2B417" wp14:editId="01839573">
                <wp:simplePos x="0" y="0"/>
                <wp:positionH relativeFrom="column">
                  <wp:posOffset>-33351</wp:posOffset>
                </wp:positionH>
                <wp:positionV relativeFrom="paragraph">
                  <wp:posOffset>483870</wp:posOffset>
                </wp:positionV>
                <wp:extent cx="601913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19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391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38.1pt" to="471.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OtgEAALcDAAAOAAAAZHJzL2Uyb0RvYy54bWysU02P0zAQvSPxHyzfaZKttED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" strokecolor="black [3040]"/>
            </w:pict>
          </mc:Fallback>
        </mc:AlternateContent>
      </w:r>
      <w:r w:rsidRPr="003A696F">
        <w:rPr>
          <w:b/>
          <w:bCs/>
          <w:noProof/>
          <w:sz w:val="28"/>
          <w:szCs w:val="28"/>
          <w:lang w:val="en-AU" w:eastAsia="en-AU"/>
        </w:rPr>
        <mc:AlternateContent>
          <mc:Choice Requires="wps">
            <w:drawing>
              <wp:anchor distT="0" distB="0" distL="114300" distR="114300" simplePos="0" relativeHeight="251656192" behindDoc="0" locked="0" layoutInCell="1" allowOverlap="1" wp14:anchorId="30090E02" wp14:editId="666B232A">
                <wp:simplePos x="0" y="0"/>
                <wp:positionH relativeFrom="column">
                  <wp:posOffset>-31806</wp:posOffset>
                </wp:positionH>
                <wp:positionV relativeFrom="paragraph">
                  <wp:posOffset>465124</wp:posOffset>
                </wp:positionV>
                <wp:extent cx="601913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6019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BFAAB"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pt,36.6pt" to="471.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APtgEAALcDAAAOAAAAZHJzL2Uyb0RvYy54bWysU02P0zAQvSPxHyzfaZIiLRA13UNXcEFQ&#10;sfADvM64sdb2WGPTj3/P2G2zCBBCaC+Ox37vzbzxZHV79E7sgZLFMMhu0UoBQeNow26Q376+f/VW&#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" strokecolor="black [3040]"/>
            </w:pict>
          </mc:Fallback>
        </mc:AlternateContent>
      </w:r>
      <w:r w:rsidR="00A6708C" w:rsidRPr="003A696F">
        <w:rPr>
          <w:b/>
          <w:bCs/>
          <w:sz w:val="28"/>
          <w:szCs w:val="28"/>
        </w:rPr>
        <w:t xml:space="preserve">An Act relating to the collection of levy imposed by the </w:t>
      </w:r>
      <w:r w:rsidR="00A6708C" w:rsidRPr="003A696F">
        <w:rPr>
          <w:b/>
          <w:bCs/>
          <w:i/>
          <w:iCs/>
          <w:sz w:val="28"/>
          <w:szCs w:val="28"/>
        </w:rPr>
        <w:t>Seafarers Rehabilitation and Compensation Levy Act 1992</w:t>
      </w:r>
    </w:p>
    <w:p w14:paraId="2567F227" w14:textId="77777777" w:rsidR="002C016D" w:rsidRPr="003A696F" w:rsidRDefault="00A6708C" w:rsidP="003A696F">
      <w:pPr>
        <w:shd w:val="clear" w:color="auto" w:fill="FFFFFF"/>
        <w:spacing w:before="120"/>
        <w:jc w:val="right"/>
        <w:rPr>
          <w:sz w:val="22"/>
          <w:szCs w:val="22"/>
        </w:rPr>
      </w:pPr>
      <w:r w:rsidRPr="003A696F">
        <w:rPr>
          <w:iCs/>
          <w:sz w:val="22"/>
          <w:szCs w:val="22"/>
        </w:rPr>
        <w:t>[</w:t>
      </w:r>
      <w:r w:rsidRPr="003A696F">
        <w:rPr>
          <w:i/>
          <w:iCs/>
          <w:sz w:val="22"/>
          <w:szCs w:val="22"/>
        </w:rPr>
        <w:t>Assented to 24 December 1992</w:t>
      </w:r>
      <w:r w:rsidRPr="003A696F">
        <w:rPr>
          <w:iCs/>
          <w:sz w:val="22"/>
          <w:szCs w:val="22"/>
        </w:rPr>
        <w:t>]</w:t>
      </w:r>
    </w:p>
    <w:p w14:paraId="1FC19411" w14:textId="77777777" w:rsidR="002C016D" w:rsidRPr="003A696F" w:rsidRDefault="00A6708C" w:rsidP="003A696F">
      <w:pPr>
        <w:shd w:val="clear" w:color="auto" w:fill="FFFFFF"/>
        <w:spacing w:before="120"/>
        <w:ind w:left="336"/>
        <w:rPr>
          <w:sz w:val="22"/>
          <w:szCs w:val="22"/>
        </w:rPr>
      </w:pPr>
      <w:r w:rsidRPr="003A696F">
        <w:rPr>
          <w:sz w:val="22"/>
          <w:szCs w:val="22"/>
        </w:rPr>
        <w:t>The Parliament of Australia enacts:</w:t>
      </w:r>
    </w:p>
    <w:p w14:paraId="605A181B" w14:textId="77777777" w:rsidR="002C016D" w:rsidRPr="003A696F" w:rsidRDefault="00A6708C" w:rsidP="003A696F">
      <w:pPr>
        <w:shd w:val="clear" w:color="auto" w:fill="FFFFFF"/>
        <w:spacing w:before="120" w:after="60"/>
        <w:rPr>
          <w:sz w:val="22"/>
          <w:szCs w:val="22"/>
        </w:rPr>
      </w:pPr>
      <w:r w:rsidRPr="003A696F">
        <w:rPr>
          <w:b/>
          <w:bCs/>
          <w:sz w:val="22"/>
          <w:szCs w:val="22"/>
        </w:rPr>
        <w:t>Short title</w:t>
      </w:r>
    </w:p>
    <w:p w14:paraId="7B5BAC08" w14:textId="77777777" w:rsidR="002C016D" w:rsidRPr="003A696F" w:rsidRDefault="00A6708C" w:rsidP="003A696F">
      <w:pPr>
        <w:shd w:val="clear" w:color="auto" w:fill="FFFFFF"/>
        <w:tabs>
          <w:tab w:val="left" w:pos="629"/>
        </w:tabs>
        <w:spacing w:before="120"/>
        <w:ind w:firstLine="336"/>
        <w:rPr>
          <w:sz w:val="22"/>
          <w:szCs w:val="22"/>
        </w:rPr>
      </w:pPr>
      <w:r w:rsidRPr="003A696F">
        <w:rPr>
          <w:b/>
          <w:bCs/>
          <w:sz w:val="22"/>
          <w:szCs w:val="22"/>
        </w:rPr>
        <w:t>1.</w:t>
      </w:r>
      <w:r w:rsidRPr="003A696F">
        <w:rPr>
          <w:sz w:val="22"/>
          <w:szCs w:val="22"/>
        </w:rPr>
        <w:tab/>
        <w:t>This Act</w:t>
      </w:r>
      <w:r w:rsidR="00534E56" w:rsidRPr="003A696F">
        <w:rPr>
          <w:sz w:val="22"/>
          <w:szCs w:val="22"/>
        </w:rPr>
        <w:t xml:space="preserve"> </w:t>
      </w:r>
      <w:r w:rsidRPr="003A696F">
        <w:rPr>
          <w:sz w:val="22"/>
          <w:szCs w:val="22"/>
        </w:rPr>
        <w:t xml:space="preserve">may be cited as the </w:t>
      </w:r>
      <w:r w:rsidRPr="003A696F">
        <w:rPr>
          <w:i/>
          <w:iCs/>
          <w:sz w:val="22"/>
          <w:szCs w:val="22"/>
        </w:rPr>
        <w:t>Seafarers Rehabilitation and</w:t>
      </w:r>
      <w:r w:rsidR="009D1A85" w:rsidRPr="003A696F">
        <w:rPr>
          <w:i/>
          <w:iCs/>
          <w:sz w:val="22"/>
          <w:szCs w:val="22"/>
        </w:rPr>
        <w:t xml:space="preserve"> </w:t>
      </w:r>
      <w:r w:rsidRPr="003A696F">
        <w:rPr>
          <w:i/>
          <w:iCs/>
          <w:sz w:val="22"/>
          <w:szCs w:val="22"/>
        </w:rPr>
        <w:t>Compensation Levy Collection Act 1992.</w:t>
      </w:r>
    </w:p>
    <w:p w14:paraId="06E3A226" w14:textId="77777777" w:rsidR="002C016D" w:rsidRPr="003A696F" w:rsidRDefault="00A6708C" w:rsidP="003A696F">
      <w:pPr>
        <w:shd w:val="clear" w:color="auto" w:fill="FFFFFF"/>
        <w:spacing w:before="120" w:after="60"/>
        <w:rPr>
          <w:sz w:val="22"/>
          <w:szCs w:val="22"/>
        </w:rPr>
      </w:pPr>
      <w:r w:rsidRPr="003A696F">
        <w:rPr>
          <w:b/>
          <w:bCs/>
          <w:sz w:val="22"/>
          <w:szCs w:val="22"/>
        </w:rPr>
        <w:t>Commencement</w:t>
      </w:r>
    </w:p>
    <w:p w14:paraId="65D04D5D" w14:textId="77777777" w:rsidR="002C016D" w:rsidRPr="003A696F" w:rsidRDefault="00A6708C" w:rsidP="003A696F">
      <w:pPr>
        <w:shd w:val="clear" w:color="auto" w:fill="FFFFFF"/>
        <w:tabs>
          <w:tab w:val="left" w:pos="629"/>
        </w:tabs>
        <w:spacing w:before="120"/>
        <w:ind w:firstLine="336"/>
        <w:rPr>
          <w:sz w:val="22"/>
          <w:szCs w:val="22"/>
        </w:rPr>
      </w:pPr>
      <w:r w:rsidRPr="003A696F">
        <w:rPr>
          <w:b/>
          <w:bCs/>
          <w:sz w:val="22"/>
          <w:szCs w:val="22"/>
        </w:rPr>
        <w:t>2.</w:t>
      </w:r>
      <w:r w:rsidRPr="003A696F">
        <w:rPr>
          <w:sz w:val="22"/>
          <w:szCs w:val="22"/>
        </w:rPr>
        <w:tab/>
        <w:t>This Act commences on the day on which section 2 of the</w:t>
      </w:r>
      <w:r w:rsidR="009D1A85" w:rsidRPr="003A696F">
        <w:rPr>
          <w:sz w:val="22"/>
          <w:szCs w:val="22"/>
        </w:rPr>
        <w:t xml:space="preserve"> </w:t>
      </w:r>
      <w:r w:rsidRPr="003A696F">
        <w:rPr>
          <w:sz w:val="22"/>
          <w:szCs w:val="22"/>
        </w:rPr>
        <w:t>Compensation Act commences.</w:t>
      </w:r>
    </w:p>
    <w:p w14:paraId="0334E685" w14:textId="77777777" w:rsidR="002C016D" w:rsidRPr="003A696F" w:rsidRDefault="00A6708C" w:rsidP="003A696F">
      <w:pPr>
        <w:shd w:val="clear" w:color="auto" w:fill="FFFFFF"/>
        <w:spacing w:before="120" w:after="60"/>
        <w:rPr>
          <w:sz w:val="22"/>
          <w:szCs w:val="22"/>
        </w:rPr>
      </w:pPr>
      <w:r w:rsidRPr="003A696F">
        <w:rPr>
          <w:b/>
          <w:bCs/>
          <w:sz w:val="22"/>
          <w:szCs w:val="22"/>
        </w:rPr>
        <w:t>Interpretation</w:t>
      </w:r>
    </w:p>
    <w:p w14:paraId="2D3842AD" w14:textId="77777777" w:rsidR="00AD3DBA" w:rsidRDefault="00A6708C" w:rsidP="003A696F">
      <w:pPr>
        <w:shd w:val="clear" w:color="auto" w:fill="FFFFFF"/>
        <w:tabs>
          <w:tab w:val="left" w:pos="629"/>
        </w:tabs>
        <w:spacing w:before="120"/>
        <w:ind w:firstLine="336"/>
        <w:rPr>
          <w:sz w:val="22"/>
          <w:szCs w:val="22"/>
        </w:rPr>
      </w:pPr>
      <w:r w:rsidRPr="003A696F">
        <w:rPr>
          <w:b/>
          <w:bCs/>
          <w:sz w:val="22"/>
          <w:szCs w:val="22"/>
        </w:rPr>
        <w:t>3.</w:t>
      </w:r>
      <w:r w:rsidRPr="003A696F">
        <w:rPr>
          <w:b/>
          <w:bCs/>
          <w:sz w:val="22"/>
          <w:szCs w:val="22"/>
        </w:rPr>
        <w:tab/>
      </w:r>
      <w:r w:rsidRPr="003A696F">
        <w:rPr>
          <w:sz w:val="22"/>
          <w:szCs w:val="22"/>
        </w:rPr>
        <w:t>In this Act, unless the contrary intention appears:</w:t>
      </w:r>
      <w:r w:rsidR="009D1A85" w:rsidRPr="003A696F">
        <w:rPr>
          <w:sz w:val="22"/>
          <w:szCs w:val="22"/>
        </w:rPr>
        <w:t xml:space="preserve"> </w:t>
      </w:r>
    </w:p>
    <w:p w14:paraId="1F7C27DA" w14:textId="48EB0DB1" w:rsidR="002C016D" w:rsidRPr="003A696F" w:rsidRDefault="00534E56" w:rsidP="00AD3DBA">
      <w:pPr>
        <w:shd w:val="clear" w:color="auto" w:fill="FFFFFF"/>
        <w:tabs>
          <w:tab w:val="left" w:pos="629"/>
        </w:tabs>
        <w:spacing w:before="120"/>
        <w:rPr>
          <w:sz w:val="22"/>
          <w:szCs w:val="22"/>
        </w:rPr>
      </w:pPr>
      <w:r w:rsidRPr="003A696F">
        <w:rPr>
          <w:b/>
          <w:bCs/>
          <w:sz w:val="22"/>
          <w:szCs w:val="22"/>
        </w:rPr>
        <w:t>“</w:t>
      </w:r>
      <w:proofErr w:type="spellStart"/>
      <w:r w:rsidR="00A6708C" w:rsidRPr="003A696F">
        <w:rPr>
          <w:b/>
          <w:bCs/>
          <w:sz w:val="22"/>
          <w:szCs w:val="22"/>
        </w:rPr>
        <w:t>authorised</w:t>
      </w:r>
      <w:proofErr w:type="spellEnd"/>
      <w:r w:rsidR="00A6708C" w:rsidRPr="003A696F">
        <w:rPr>
          <w:b/>
          <w:bCs/>
          <w:sz w:val="22"/>
          <w:szCs w:val="22"/>
        </w:rPr>
        <w:t xml:space="preserve"> person</w:t>
      </w:r>
      <w:r w:rsidRPr="003A696F">
        <w:rPr>
          <w:b/>
          <w:bCs/>
          <w:sz w:val="22"/>
          <w:szCs w:val="22"/>
        </w:rPr>
        <w:t>”</w:t>
      </w:r>
      <w:r w:rsidR="00A6708C" w:rsidRPr="003A696F">
        <w:rPr>
          <w:b/>
          <w:bCs/>
          <w:sz w:val="22"/>
          <w:szCs w:val="22"/>
        </w:rPr>
        <w:t xml:space="preserve"> </w:t>
      </w:r>
      <w:r w:rsidR="00A6708C" w:rsidRPr="003A696F">
        <w:rPr>
          <w:sz w:val="22"/>
          <w:szCs w:val="22"/>
        </w:rPr>
        <w:t>means a person appointed as an authorised person</w:t>
      </w:r>
      <w:r w:rsidR="009D1A85" w:rsidRPr="003A696F">
        <w:rPr>
          <w:sz w:val="22"/>
          <w:szCs w:val="22"/>
        </w:rPr>
        <w:t xml:space="preserve"> </w:t>
      </w:r>
      <w:r w:rsidR="00A6708C" w:rsidRPr="003A696F">
        <w:rPr>
          <w:sz w:val="22"/>
          <w:szCs w:val="22"/>
        </w:rPr>
        <w:t>under section 11;</w:t>
      </w:r>
    </w:p>
    <w:p w14:paraId="79119E20" w14:textId="77777777" w:rsidR="002C016D" w:rsidRPr="003A696F" w:rsidRDefault="002C016D" w:rsidP="003A696F">
      <w:pPr>
        <w:shd w:val="clear" w:color="auto" w:fill="FFFFFF"/>
        <w:tabs>
          <w:tab w:val="left" w:pos="629"/>
        </w:tabs>
        <w:spacing w:before="120"/>
        <w:ind w:firstLine="336"/>
        <w:rPr>
          <w:sz w:val="22"/>
          <w:szCs w:val="22"/>
        </w:rPr>
        <w:sectPr w:rsidR="002C016D" w:rsidRPr="003A696F" w:rsidSect="00BE04A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60"/>
          <w:noEndnote/>
          <w:titlePg/>
          <w:docGrid w:linePitch="272"/>
        </w:sectPr>
      </w:pPr>
    </w:p>
    <w:p w14:paraId="33EC30DB" w14:textId="77777777" w:rsidR="002C016D" w:rsidRPr="003A696F" w:rsidRDefault="00534E56" w:rsidP="003A696F">
      <w:pPr>
        <w:shd w:val="clear" w:color="auto" w:fill="FFFFFF"/>
        <w:spacing w:before="120"/>
        <w:rPr>
          <w:sz w:val="22"/>
          <w:szCs w:val="22"/>
        </w:rPr>
      </w:pPr>
      <w:r w:rsidRPr="003A696F">
        <w:rPr>
          <w:b/>
          <w:bCs/>
          <w:sz w:val="22"/>
          <w:szCs w:val="22"/>
        </w:rPr>
        <w:lastRenderedPageBreak/>
        <w:t>“</w:t>
      </w:r>
      <w:r w:rsidR="00A6708C" w:rsidRPr="003A696F">
        <w:rPr>
          <w:b/>
          <w:bCs/>
          <w:sz w:val="22"/>
          <w:szCs w:val="22"/>
        </w:rPr>
        <w:t>Authority</w:t>
      </w:r>
      <w:r w:rsidRPr="003A696F">
        <w:rPr>
          <w:b/>
          <w:bCs/>
          <w:sz w:val="22"/>
          <w:szCs w:val="22"/>
        </w:rPr>
        <w:t>”</w:t>
      </w:r>
      <w:r w:rsidR="00A6708C" w:rsidRPr="003A696F">
        <w:rPr>
          <w:b/>
          <w:bCs/>
          <w:sz w:val="22"/>
          <w:szCs w:val="22"/>
        </w:rPr>
        <w:t xml:space="preserve"> </w:t>
      </w:r>
      <w:r w:rsidR="00A6708C" w:rsidRPr="003A696F">
        <w:rPr>
          <w:sz w:val="22"/>
          <w:szCs w:val="22"/>
        </w:rPr>
        <w:t>has the same meaning as in the Compensation Act;</w:t>
      </w:r>
    </w:p>
    <w:p w14:paraId="071B0586" w14:textId="5E17CAFD" w:rsidR="002C016D" w:rsidRPr="003A696F" w:rsidRDefault="00534E56" w:rsidP="003A696F">
      <w:pPr>
        <w:shd w:val="clear" w:color="auto" w:fill="FFFFFF"/>
        <w:spacing w:before="120"/>
        <w:ind w:left="10"/>
        <w:rPr>
          <w:sz w:val="22"/>
          <w:szCs w:val="22"/>
        </w:rPr>
      </w:pPr>
      <w:r w:rsidRPr="003A696F">
        <w:rPr>
          <w:b/>
          <w:bCs/>
          <w:sz w:val="22"/>
          <w:szCs w:val="22"/>
        </w:rPr>
        <w:t>“</w:t>
      </w:r>
      <w:r w:rsidR="00A6708C" w:rsidRPr="003A696F">
        <w:rPr>
          <w:b/>
          <w:bCs/>
          <w:sz w:val="22"/>
          <w:szCs w:val="22"/>
        </w:rPr>
        <w:t>Compensation</w:t>
      </w:r>
      <w:r w:rsidRPr="003A696F">
        <w:rPr>
          <w:b/>
          <w:bCs/>
          <w:sz w:val="22"/>
          <w:szCs w:val="22"/>
        </w:rPr>
        <w:t xml:space="preserve"> </w:t>
      </w:r>
      <w:r w:rsidR="00A6708C" w:rsidRPr="003A696F">
        <w:rPr>
          <w:b/>
          <w:bCs/>
          <w:sz w:val="22"/>
          <w:szCs w:val="22"/>
        </w:rPr>
        <w:t>Act</w:t>
      </w:r>
      <w:r w:rsidRPr="003A696F">
        <w:rPr>
          <w:b/>
          <w:bCs/>
          <w:sz w:val="22"/>
          <w:szCs w:val="22"/>
        </w:rPr>
        <w:t xml:space="preserve">” </w:t>
      </w:r>
      <w:r w:rsidR="00A6708C" w:rsidRPr="003A696F">
        <w:rPr>
          <w:sz w:val="22"/>
          <w:szCs w:val="22"/>
        </w:rPr>
        <w:t>means</w:t>
      </w:r>
      <w:r w:rsidRPr="003A696F">
        <w:rPr>
          <w:sz w:val="22"/>
          <w:szCs w:val="22"/>
        </w:rPr>
        <w:t xml:space="preserve"> </w:t>
      </w:r>
      <w:r w:rsidR="00A6708C" w:rsidRPr="003A696F">
        <w:rPr>
          <w:sz w:val="22"/>
          <w:szCs w:val="22"/>
        </w:rPr>
        <w:t>the</w:t>
      </w:r>
      <w:r w:rsidRPr="003A696F">
        <w:rPr>
          <w:sz w:val="22"/>
          <w:szCs w:val="22"/>
        </w:rPr>
        <w:t xml:space="preserve"> </w:t>
      </w:r>
      <w:r w:rsidR="00A6708C" w:rsidRPr="003A696F">
        <w:rPr>
          <w:i/>
          <w:iCs/>
          <w:sz w:val="22"/>
          <w:szCs w:val="22"/>
        </w:rPr>
        <w:t>Seafarers</w:t>
      </w:r>
      <w:r w:rsidRPr="003A696F">
        <w:rPr>
          <w:i/>
          <w:iCs/>
          <w:sz w:val="22"/>
          <w:szCs w:val="22"/>
        </w:rPr>
        <w:t xml:space="preserve"> </w:t>
      </w:r>
      <w:r w:rsidR="00A6708C" w:rsidRPr="003A696F">
        <w:rPr>
          <w:i/>
          <w:iCs/>
          <w:sz w:val="22"/>
          <w:szCs w:val="22"/>
        </w:rPr>
        <w:t>Rehabilitation</w:t>
      </w:r>
      <w:r w:rsidRPr="003A696F">
        <w:rPr>
          <w:i/>
          <w:iCs/>
          <w:sz w:val="22"/>
          <w:szCs w:val="22"/>
        </w:rPr>
        <w:t xml:space="preserve"> </w:t>
      </w:r>
      <w:r w:rsidR="00A6708C" w:rsidRPr="003A696F">
        <w:rPr>
          <w:i/>
          <w:iCs/>
          <w:sz w:val="22"/>
          <w:szCs w:val="22"/>
        </w:rPr>
        <w:t>and Compensation Act 1992</w:t>
      </w:r>
      <w:r w:rsidR="00A6708C" w:rsidRPr="00AD3DBA">
        <w:rPr>
          <w:iCs/>
          <w:sz w:val="22"/>
          <w:szCs w:val="22"/>
        </w:rPr>
        <w:t>;</w:t>
      </w:r>
    </w:p>
    <w:p w14:paraId="32AF8F7E" w14:textId="77777777" w:rsidR="002C016D" w:rsidRPr="003A696F" w:rsidRDefault="00534E56" w:rsidP="003A696F">
      <w:pPr>
        <w:shd w:val="clear" w:color="auto" w:fill="FFFFFF"/>
        <w:spacing w:before="120"/>
        <w:ind w:left="5"/>
        <w:rPr>
          <w:sz w:val="22"/>
          <w:szCs w:val="22"/>
        </w:rPr>
      </w:pPr>
      <w:r w:rsidRPr="003A696F">
        <w:rPr>
          <w:b/>
          <w:bCs/>
          <w:sz w:val="22"/>
          <w:szCs w:val="22"/>
        </w:rPr>
        <w:t>“</w:t>
      </w:r>
      <w:r w:rsidR="00A6708C" w:rsidRPr="003A696F">
        <w:rPr>
          <w:b/>
          <w:bCs/>
          <w:sz w:val="22"/>
          <w:szCs w:val="22"/>
        </w:rPr>
        <w:t>employer</w:t>
      </w:r>
      <w:r w:rsidRPr="003A696F">
        <w:rPr>
          <w:b/>
          <w:bCs/>
          <w:sz w:val="22"/>
          <w:szCs w:val="22"/>
        </w:rPr>
        <w:t>”</w:t>
      </w:r>
      <w:r w:rsidR="00A6708C" w:rsidRPr="003A696F">
        <w:rPr>
          <w:b/>
          <w:bCs/>
          <w:sz w:val="22"/>
          <w:szCs w:val="22"/>
        </w:rPr>
        <w:t xml:space="preserve"> </w:t>
      </w:r>
      <w:r w:rsidR="00A6708C" w:rsidRPr="003A696F">
        <w:rPr>
          <w:sz w:val="22"/>
          <w:szCs w:val="22"/>
        </w:rPr>
        <w:t>means a person who employs or engages one or more seafarers on a prescribed ship;</w:t>
      </w:r>
    </w:p>
    <w:p w14:paraId="142095E4" w14:textId="37C7A80F" w:rsidR="002C016D" w:rsidRPr="003A696F" w:rsidRDefault="00534E56" w:rsidP="003A696F">
      <w:pPr>
        <w:shd w:val="clear" w:color="auto" w:fill="FFFFFF"/>
        <w:spacing w:before="120"/>
        <w:ind w:left="5"/>
        <w:rPr>
          <w:sz w:val="22"/>
          <w:szCs w:val="22"/>
        </w:rPr>
      </w:pPr>
      <w:r w:rsidRPr="003A696F">
        <w:rPr>
          <w:b/>
          <w:bCs/>
          <w:sz w:val="22"/>
          <w:szCs w:val="22"/>
        </w:rPr>
        <w:t>“</w:t>
      </w:r>
      <w:r w:rsidR="00A6708C" w:rsidRPr="003A696F">
        <w:rPr>
          <w:b/>
          <w:bCs/>
          <w:sz w:val="22"/>
          <w:szCs w:val="22"/>
        </w:rPr>
        <w:t>levy</w:t>
      </w:r>
      <w:r w:rsidRPr="003A696F">
        <w:rPr>
          <w:b/>
          <w:bCs/>
          <w:sz w:val="22"/>
          <w:szCs w:val="22"/>
        </w:rPr>
        <w:t>”</w:t>
      </w:r>
      <w:r w:rsidR="00A6708C" w:rsidRPr="003A696F">
        <w:rPr>
          <w:b/>
          <w:bCs/>
          <w:sz w:val="22"/>
          <w:szCs w:val="22"/>
        </w:rPr>
        <w:t xml:space="preserve"> </w:t>
      </w:r>
      <w:r w:rsidR="00A6708C" w:rsidRPr="003A696F">
        <w:rPr>
          <w:sz w:val="22"/>
          <w:szCs w:val="22"/>
        </w:rPr>
        <w:t xml:space="preserve">means an amount of levy imposed by the </w:t>
      </w:r>
      <w:r w:rsidR="00A6708C" w:rsidRPr="003A696F">
        <w:rPr>
          <w:i/>
          <w:iCs/>
          <w:sz w:val="22"/>
          <w:szCs w:val="22"/>
        </w:rPr>
        <w:t>Seafarers Rehabilitation and Compensation Levy Act 1992</w:t>
      </w:r>
      <w:r w:rsidR="00A6708C" w:rsidRPr="00AD3DBA">
        <w:rPr>
          <w:iCs/>
          <w:sz w:val="22"/>
          <w:szCs w:val="22"/>
        </w:rPr>
        <w:t>;</w:t>
      </w:r>
    </w:p>
    <w:p w14:paraId="4122F963" w14:textId="77777777" w:rsidR="002C016D" w:rsidRPr="003A696F" w:rsidRDefault="00534E56" w:rsidP="003A696F">
      <w:pPr>
        <w:shd w:val="clear" w:color="auto" w:fill="FFFFFF"/>
        <w:spacing w:before="120"/>
        <w:ind w:left="5"/>
        <w:rPr>
          <w:sz w:val="22"/>
          <w:szCs w:val="22"/>
        </w:rPr>
      </w:pPr>
      <w:r w:rsidRPr="003A696F">
        <w:rPr>
          <w:b/>
          <w:bCs/>
          <w:sz w:val="22"/>
          <w:szCs w:val="22"/>
        </w:rPr>
        <w:t>“</w:t>
      </w:r>
      <w:r w:rsidR="00A6708C" w:rsidRPr="003A696F">
        <w:rPr>
          <w:b/>
          <w:bCs/>
          <w:sz w:val="22"/>
          <w:szCs w:val="22"/>
        </w:rPr>
        <w:t>premises</w:t>
      </w:r>
      <w:r w:rsidRPr="003A696F">
        <w:rPr>
          <w:b/>
          <w:bCs/>
          <w:sz w:val="22"/>
          <w:szCs w:val="22"/>
        </w:rPr>
        <w:t>”</w:t>
      </w:r>
      <w:r w:rsidR="00A6708C" w:rsidRPr="003A696F">
        <w:rPr>
          <w:b/>
          <w:bCs/>
          <w:sz w:val="22"/>
          <w:szCs w:val="22"/>
        </w:rPr>
        <w:t xml:space="preserve"> </w:t>
      </w:r>
      <w:r w:rsidR="00A6708C" w:rsidRPr="003A696F">
        <w:rPr>
          <w:sz w:val="22"/>
          <w:szCs w:val="22"/>
        </w:rPr>
        <w:t>includes:</w:t>
      </w:r>
    </w:p>
    <w:p w14:paraId="75C60F39" w14:textId="77777777" w:rsidR="002C016D" w:rsidRPr="003A696F" w:rsidRDefault="00A6708C" w:rsidP="003A696F">
      <w:pPr>
        <w:numPr>
          <w:ilvl w:val="0"/>
          <w:numId w:val="1"/>
        </w:numPr>
        <w:shd w:val="clear" w:color="auto" w:fill="FFFFFF"/>
        <w:tabs>
          <w:tab w:val="left" w:pos="787"/>
        </w:tabs>
        <w:spacing w:before="120"/>
        <w:ind w:left="394"/>
        <w:rPr>
          <w:sz w:val="22"/>
          <w:szCs w:val="22"/>
        </w:rPr>
      </w:pPr>
      <w:r w:rsidRPr="003A696F">
        <w:rPr>
          <w:sz w:val="22"/>
          <w:szCs w:val="22"/>
        </w:rPr>
        <w:t>a structure, building, vehicle or vessel; and</w:t>
      </w:r>
    </w:p>
    <w:p w14:paraId="4A42E9C1" w14:textId="77777777" w:rsidR="002C016D" w:rsidRPr="003A696F" w:rsidRDefault="00A6708C" w:rsidP="003A696F">
      <w:pPr>
        <w:numPr>
          <w:ilvl w:val="0"/>
          <w:numId w:val="1"/>
        </w:numPr>
        <w:shd w:val="clear" w:color="auto" w:fill="FFFFFF"/>
        <w:tabs>
          <w:tab w:val="left" w:pos="787"/>
        </w:tabs>
        <w:spacing w:before="120"/>
        <w:ind w:left="394"/>
        <w:rPr>
          <w:sz w:val="22"/>
          <w:szCs w:val="22"/>
        </w:rPr>
      </w:pPr>
      <w:r w:rsidRPr="003A696F">
        <w:rPr>
          <w:sz w:val="22"/>
          <w:szCs w:val="22"/>
        </w:rPr>
        <w:t>a place (whether enclosed or built on or not); and</w:t>
      </w:r>
    </w:p>
    <w:p w14:paraId="040E6842" w14:textId="77777777" w:rsidR="002C016D" w:rsidRPr="003A696F" w:rsidRDefault="00A6708C" w:rsidP="003A696F">
      <w:pPr>
        <w:numPr>
          <w:ilvl w:val="0"/>
          <w:numId w:val="2"/>
        </w:numPr>
        <w:shd w:val="clear" w:color="auto" w:fill="FFFFFF"/>
        <w:tabs>
          <w:tab w:val="left" w:pos="787"/>
        </w:tabs>
        <w:spacing w:before="120"/>
        <w:ind w:left="787" w:hanging="394"/>
        <w:jc w:val="both"/>
        <w:rPr>
          <w:sz w:val="22"/>
          <w:szCs w:val="22"/>
        </w:rPr>
      </w:pPr>
      <w:r w:rsidRPr="003A696F">
        <w:rPr>
          <w:sz w:val="22"/>
          <w:szCs w:val="22"/>
        </w:rPr>
        <w:t>a part of premises (including premises of a kind referred to in paragraph (a) or (b));</w:t>
      </w:r>
    </w:p>
    <w:p w14:paraId="37C268F8" w14:textId="77777777" w:rsidR="002C016D" w:rsidRPr="003A696F" w:rsidRDefault="00534E56" w:rsidP="003A696F">
      <w:pPr>
        <w:shd w:val="clear" w:color="auto" w:fill="FFFFFF"/>
        <w:spacing w:before="120"/>
        <w:ind w:left="10"/>
        <w:rPr>
          <w:sz w:val="22"/>
          <w:szCs w:val="22"/>
        </w:rPr>
      </w:pPr>
      <w:r w:rsidRPr="003A696F">
        <w:rPr>
          <w:b/>
          <w:bCs/>
          <w:sz w:val="22"/>
          <w:szCs w:val="22"/>
        </w:rPr>
        <w:t>“</w:t>
      </w:r>
      <w:r w:rsidR="00A6708C" w:rsidRPr="003A696F">
        <w:rPr>
          <w:b/>
          <w:bCs/>
          <w:sz w:val="22"/>
          <w:szCs w:val="22"/>
        </w:rPr>
        <w:t>prescribed ship</w:t>
      </w:r>
      <w:r w:rsidRPr="003A696F">
        <w:rPr>
          <w:b/>
          <w:bCs/>
          <w:sz w:val="22"/>
          <w:szCs w:val="22"/>
        </w:rPr>
        <w:t>”</w:t>
      </w:r>
      <w:r w:rsidR="00A6708C" w:rsidRPr="003A696F">
        <w:rPr>
          <w:b/>
          <w:bCs/>
          <w:sz w:val="22"/>
          <w:szCs w:val="22"/>
        </w:rPr>
        <w:t xml:space="preserve"> </w:t>
      </w:r>
      <w:r w:rsidR="00A6708C" w:rsidRPr="003A696F">
        <w:rPr>
          <w:sz w:val="22"/>
          <w:szCs w:val="22"/>
        </w:rPr>
        <w:t>has the same meaning as in the Compensation Act;</w:t>
      </w:r>
    </w:p>
    <w:p w14:paraId="3841C664" w14:textId="77777777" w:rsidR="002C016D" w:rsidRPr="003A696F" w:rsidRDefault="00534E56" w:rsidP="003A696F">
      <w:pPr>
        <w:shd w:val="clear" w:color="auto" w:fill="FFFFFF"/>
        <w:spacing w:before="120"/>
        <w:ind w:left="10"/>
        <w:rPr>
          <w:sz w:val="22"/>
          <w:szCs w:val="22"/>
        </w:rPr>
      </w:pPr>
      <w:r w:rsidRPr="003A696F">
        <w:rPr>
          <w:b/>
          <w:bCs/>
          <w:sz w:val="22"/>
          <w:szCs w:val="22"/>
        </w:rPr>
        <w:t>“</w:t>
      </w:r>
      <w:r w:rsidR="00A6708C" w:rsidRPr="003A696F">
        <w:rPr>
          <w:b/>
          <w:bCs/>
          <w:sz w:val="22"/>
          <w:szCs w:val="22"/>
        </w:rPr>
        <w:t>quarter</w:t>
      </w:r>
      <w:r w:rsidRPr="003A696F">
        <w:rPr>
          <w:b/>
          <w:bCs/>
          <w:sz w:val="22"/>
          <w:szCs w:val="22"/>
        </w:rPr>
        <w:t>”</w:t>
      </w:r>
      <w:r w:rsidR="00A6708C" w:rsidRPr="003A696F">
        <w:rPr>
          <w:b/>
          <w:bCs/>
          <w:sz w:val="22"/>
          <w:szCs w:val="22"/>
        </w:rPr>
        <w:t xml:space="preserve"> </w:t>
      </w:r>
      <w:r w:rsidR="00A6708C" w:rsidRPr="003A696F">
        <w:rPr>
          <w:sz w:val="22"/>
          <w:szCs w:val="22"/>
        </w:rPr>
        <w:t>means:</w:t>
      </w:r>
    </w:p>
    <w:p w14:paraId="4E64AB11" w14:textId="77777777" w:rsidR="002C016D" w:rsidRPr="003A696F" w:rsidRDefault="00A6708C" w:rsidP="003A696F">
      <w:pPr>
        <w:numPr>
          <w:ilvl w:val="0"/>
          <w:numId w:val="3"/>
        </w:numPr>
        <w:shd w:val="clear" w:color="auto" w:fill="FFFFFF"/>
        <w:tabs>
          <w:tab w:val="left" w:pos="792"/>
        </w:tabs>
        <w:spacing w:before="120"/>
        <w:ind w:left="792" w:hanging="389"/>
        <w:jc w:val="both"/>
        <w:rPr>
          <w:sz w:val="22"/>
          <w:szCs w:val="22"/>
        </w:rPr>
      </w:pPr>
      <w:r w:rsidRPr="003A696F">
        <w:rPr>
          <w:sz w:val="22"/>
          <w:szCs w:val="22"/>
        </w:rPr>
        <w:t>the period beginning on the day on which this Act commences and ending on the last day of March, June, September or December, whichever occurs first after the commencement of this Act; and</w:t>
      </w:r>
    </w:p>
    <w:p w14:paraId="0703829F" w14:textId="77777777" w:rsidR="002C016D" w:rsidRPr="003A696F" w:rsidRDefault="00A6708C" w:rsidP="003A696F">
      <w:pPr>
        <w:numPr>
          <w:ilvl w:val="0"/>
          <w:numId w:val="3"/>
        </w:numPr>
        <w:shd w:val="clear" w:color="auto" w:fill="FFFFFF"/>
        <w:tabs>
          <w:tab w:val="left" w:pos="792"/>
        </w:tabs>
        <w:spacing w:before="120"/>
        <w:ind w:left="403"/>
        <w:rPr>
          <w:sz w:val="22"/>
          <w:szCs w:val="22"/>
        </w:rPr>
      </w:pPr>
      <w:r w:rsidRPr="003A696F">
        <w:rPr>
          <w:sz w:val="22"/>
          <w:szCs w:val="22"/>
        </w:rPr>
        <w:t>each later period of 3 months;</w:t>
      </w:r>
    </w:p>
    <w:p w14:paraId="2CB6C044" w14:textId="77777777" w:rsidR="002C016D" w:rsidRPr="003A696F" w:rsidRDefault="00534E56" w:rsidP="003A696F">
      <w:pPr>
        <w:shd w:val="clear" w:color="auto" w:fill="FFFFFF"/>
        <w:spacing w:before="120"/>
        <w:ind w:left="10"/>
        <w:rPr>
          <w:sz w:val="22"/>
          <w:szCs w:val="22"/>
        </w:rPr>
      </w:pPr>
      <w:r w:rsidRPr="003A696F">
        <w:rPr>
          <w:b/>
          <w:bCs/>
          <w:sz w:val="22"/>
          <w:szCs w:val="22"/>
        </w:rPr>
        <w:t>“</w:t>
      </w:r>
      <w:r w:rsidR="00A6708C" w:rsidRPr="003A696F">
        <w:rPr>
          <w:b/>
          <w:bCs/>
          <w:sz w:val="22"/>
          <w:szCs w:val="22"/>
        </w:rPr>
        <w:t>seafarer</w:t>
      </w:r>
      <w:r w:rsidRPr="003A696F">
        <w:rPr>
          <w:b/>
          <w:bCs/>
          <w:sz w:val="22"/>
          <w:szCs w:val="22"/>
        </w:rPr>
        <w:t>”</w:t>
      </w:r>
      <w:r w:rsidR="00A6708C" w:rsidRPr="003A696F">
        <w:rPr>
          <w:b/>
          <w:bCs/>
          <w:sz w:val="22"/>
          <w:szCs w:val="22"/>
        </w:rPr>
        <w:t xml:space="preserve"> </w:t>
      </w:r>
      <w:r w:rsidR="00A6708C" w:rsidRPr="003A696F">
        <w:rPr>
          <w:sz w:val="22"/>
          <w:szCs w:val="22"/>
        </w:rPr>
        <w:t>has the same meaning as in the Compensation Act;</w:t>
      </w:r>
    </w:p>
    <w:p w14:paraId="79FAB483" w14:textId="77777777" w:rsidR="002C016D" w:rsidRPr="003A696F" w:rsidRDefault="00534E56" w:rsidP="003A696F">
      <w:pPr>
        <w:shd w:val="clear" w:color="auto" w:fill="FFFFFF"/>
        <w:spacing w:before="120"/>
        <w:ind w:left="10"/>
        <w:rPr>
          <w:sz w:val="22"/>
          <w:szCs w:val="22"/>
        </w:rPr>
      </w:pPr>
      <w:r w:rsidRPr="003A696F">
        <w:rPr>
          <w:b/>
          <w:bCs/>
          <w:sz w:val="22"/>
          <w:szCs w:val="22"/>
        </w:rPr>
        <w:t>“</w:t>
      </w:r>
      <w:r w:rsidR="00A6708C" w:rsidRPr="003A696F">
        <w:rPr>
          <w:b/>
          <w:bCs/>
          <w:sz w:val="22"/>
          <w:szCs w:val="22"/>
        </w:rPr>
        <w:t>seafarer berth</w:t>
      </w:r>
      <w:r w:rsidRPr="003A696F">
        <w:rPr>
          <w:b/>
          <w:bCs/>
          <w:sz w:val="22"/>
          <w:szCs w:val="22"/>
        </w:rPr>
        <w:t>”</w:t>
      </w:r>
      <w:r w:rsidR="00A6708C" w:rsidRPr="003A696F">
        <w:rPr>
          <w:b/>
          <w:bCs/>
          <w:sz w:val="22"/>
          <w:szCs w:val="22"/>
        </w:rPr>
        <w:t xml:space="preserve"> </w:t>
      </w:r>
      <w:r w:rsidR="00A6708C" w:rsidRPr="003A696F">
        <w:rPr>
          <w:sz w:val="22"/>
          <w:szCs w:val="22"/>
        </w:rPr>
        <w:t>has the same meaning as in the Compensation Act.</w:t>
      </w:r>
    </w:p>
    <w:p w14:paraId="21EBEE31" w14:textId="77777777" w:rsidR="002C016D" w:rsidRPr="003A696F" w:rsidRDefault="00A6708C" w:rsidP="003A696F">
      <w:pPr>
        <w:shd w:val="clear" w:color="auto" w:fill="FFFFFF"/>
        <w:spacing w:before="120" w:after="60"/>
        <w:rPr>
          <w:sz w:val="22"/>
          <w:szCs w:val="22"/>
        </w:rPr>
      </w:pPr>
      <w:r w:rsidRPr="003A696F">
        <w:rPr>
          <w:b/>
          <w:bCs/>
          <w:sz w:val="22"/>
          <w:szCs w:val="22"/>
        </w:rPr>
        <w:t>Number of seafarer berths on which levy is payable</w:t>
      </w:r>
    </w:p>
    <w:p w14:paraId="731D9727" w14:textId="77777777" w:rsidR="002C016D" w:rsidRPr="003A696F" w:rsidRDefault="00A6708C" w:rsidP="003A696F">
      <w:pPr>
        <w:shd w:val="clear" w:color="auto" w:fill="FFFFFF"/>
        <w:tabs>
          <w:tab w:val="left" w:pos="653"/>
        </w:tabs>
        <w:spacing w:before="120"/>
        <w:ind w:left="14" w:firstLine="336"/>
        <w:jc w:val="both"/>
        <w:rPr>
          <w:sz w:val="22"/>
          <w:szCs w:val="22"/>
        </w:rPr>
      </w:pPr>
      <w:r w:rsidRPr="003A696F">
        <w:rPr>
          <w:b/>
          <w:bCs/>
          <w:sz w:val="22"/>
          <w:szCs w:val="22"/>
        </w:rPr>
        <w:t>4.</w:t>
      </w:r>
      <w:r w:rsidRPr="003A696F">
        <w:rPr>
          <w:b/>
          <w:bCs/>
          <w:sz w:val="22"/>
          <w:szCs w:val="22"/>
        </w:rPr>
        <w:tab/>
      </w:r>
      <w:r w:rsidRPr="003A696F">
        <w:rPr>
          <w:sz w:val="22"/>
          <w:szCs w:val="22"/>
        </w:rPr>
        <w:t>A reference in this Act to the number of seafarer berths on a</w:t>
      </w:r>
      <w:r w:rsidR="009D1A85" w:rsidRPr="003A696F">
        <w:rPr>
          <w:sz w:val="22"/>
          <w:szCs w:val="22"/>
        </w:rPr>
        <w:t xml:space="preserve"> </w:t>
      </w:r>
      <w:r w:rsidRPr="003A696F">
        <w:rPr>
          <w:sz w:val="22"/>
          <w:szCs w:val="22"/>
        </w:rPr>
        <w:t>prescribed ship is a reference to the number of seafarer berths on the</w:t>
      </w:r>
      <w:r w:rsidR="009D1A85" w:rsidRPr="003A696F">
        <w:rPr>
          <w:sz w:val="22"/>
          <w:szCs w:val="22"/>
        </w:rPr>
        <w:t xml:space="preserve"> </w:t>
      </w:r>
      <w:r w:rsidRPr="003A696F">
        <w:rPr>
          <w:sz w:val="22"/>
          <w:szCs w:val="22"/>
        </w:rPr>
        <w:t>ship on the first day of each quarter.</w:t>
      </w:r>
    </w:p>
    <w:p w14:paraId="513CACB3" w14:textId="77777777" w:rsidR="002C016D" w:rsidRPr="003A696F" w:rsidRDefault="00A6708C" w:rsidP="003A696F">
      <w:pPr>
        <w:shd w:val="clear" w:color="auto" w:fill="FFFFFF"/>
        <w:spacing w:before="120" w:after="60"/>
        <w:rPr>
          <w:sz w:val="22"/>
          <w:szCs w:val="22"/>
        </w:rPr>
      </w:pPr>
      <w:r w:rsidRPr="003A696F">
        <w:rPr>
          <w:b/>
          <w:bCs/>
          <w:sz w:val="22"/>
          <w:szCs w:val="22"/>
        </w:rPr>
        <w:t>Due date for payment</w:t>
      </w:r>
    </w:p>
    <w:p w14:paraId="1FBA40D9" w14:textId="77777777" w:rsidR="002C016D" w:rsidRPr="003A696F" w:rsidRDefault="00A6708C" w:rsidP="003A696F">
      <w:pPr>
        <w:shd w:val="clear" w:color="auto" w:fill="FFFFFF"/>
        <w:tabs>
          <w:tab w:val="left" w:pos="653"/>
        </w:tabs>
        <w:spacing w:before="120"/>
        <w:ind w:left="14" w:firstLine="336"/>
        <w:jc w:val="both"/>
        <w:rPr>
          <w:sz w:val="22"/>
          <w:szCs w:val="22"/>
        </w:rPr>
      </w:pPr>
      <w:r w:rsidRPr="003A696F">
        <w:rPr>
          <w:b/>
          <w:bCs/>
          <w:sz w:val="22"/>
          <w:szCs w:val="22"/>
        </w:rPr>
        <w:t>5.</w:t>
      </w:r>
      <w:r w:rsidRPr="003A696F">
        <w:rPr>
          <w:b/>
          <w:bCs/>
          <w:sz w:val="22"/>
          <w:szCs w:val="22"/>
        </w:rPr>
        <w:tab/>
      </w:r>
      <w:r w:rsidRPr="003A696F">
        <w:rPr>
          <w:sz w:val="22"/>
          <w:szCs w:val="22"/>
        </w:rPr>
        <w:t>Levy on a seafarer berth is payable at the end of the period</w:t>
      </w:r>
      <w:r w:rsidR="009D1A85" w:rsidRPr="003A696F">
        <w:rPr>
          <w:sz w:val="22"/>
          <w:szCs w:val="22"/>
        </w:rPr>
        <w:t xml:space="preserve"> </w:t>
      </w:r>
      <w:r w:rsidRPr="003A696F">
        <w:rPr>
          <w:sz w:val="22"/>
          <w:szCs w:val="22"/>
        </w:rPr>
        <w:t>within which an employer is required by this Act to give a return under</w:t>
      </w:r>
      <w:r w:rsidR="009D1A85" w:rsidRPr="003A696F">
        <w:rPr>
          <w:sz w:val="22"/>
          <w:szCs w:val="22"/>
        </w:rPr>
        <w:t xml:space="preserve"> </w:t>
      </w:r>
      <w:r w:rsidRPr="003A696F">
        <w:rPr>
          <w:sz w:val="22"/>
          <w:szCs w:val="22"/>
        </w:rPr>
        <w:t>section 6.</w:t>
      </w:r>
    </w:p>
    <w:p w14:paraId="475674F0" w14:textId="77777777" w:rsidR="002C016D" w:rsidRPr="003A696F" w:rsidRDefault="00A6708C" w:rsidP="003A696F">
      <w:pPr>
        <w:shd w:val="clear" w:color="auto" w:fill="FFFFFF"/>
        <w:spacing w:before="120" w:after="60"/>
        <w:rPr>
          <w:sz w:val="22"/>
          <w:szCs w:val="22"/>
        </w:rPr>
      </w:pPr>
      <w:r w:rsidRPr="003A696F">
        <w:rPr>
          <w:b/>
          <w:bCs/>
          <w:sz w:val="22"/>
          <w:szCs w:val="22"/>
        </w:rPr>
        <w:t>Employers to give returns and information</w:t>
      </w:r>
    </w:p>
    <w:p w14:paraId="5AD0E630" w14:textId="77777777" w:rsidR="002C016D" w:rsidRPr="003A696F" w:rsidRDefault="00A6708C" w:rsidP="003A696F">
      <w:pPr>
        <w:shd w:val="clear" w:color="auto" w:fill="FFFFFF"/>
        <w:tabs>
          <w:tab w:val="left" w:pos="653"/>
        </w:tabs>
        <w:spacing w:before="120"/>
        <w:ind w:left="14" w:firstLine="336"/>
        <w:jc w:val="both"/>
        <w:rPr>
          <w:sz w:val="22"/>
          <w:szCs w:val="22"/>
        </w:rPr>
      </w:pPr>
      <w:r w:rsidRPr="003A696F">
        <w:rPr>
          <w:b/>
          <w:bCs/>
          <w:sz w:val="22"/>
          <w:szCs w:val="22"/>
        </w:rPr>
        <w:t>6.</w:t>
      </w:r>
      <w:r w:rsidRPr="003A696F">
        <w:rPr>
          <w:b/>
          <w:bCs/>
          <w:sz w:val="22"/>
          <w:szCs w:val="22"/>
        </w:rPr>
        <w:tab/>
      </w:r>
      <w:r w:rsidRPr="003A696F">
        <w:rPr>
          <w:sz w:val="22"/>
          <w:szCs w:val="22"/>
        </w:rPr>
        <w:t>An employer must, within 14 days after the beginning of each</w:t>
      </w:r>
      <w:r w:rsidR="009D1A85" w:rsidRPr="003A696F">
        <w:rPr>
          <w:sz w:val="22"/>
          <w:szCs w:val="22"/>
        </w:rPr>
        <w:t xml:space="preserve"> </w:t>
      </w:r>
      <w:r w:rsidRPr="003A696F">
        <w:rPr>
          <w:sz w:val="22"/>
          <w:szCs w:val="22"/>
        </w:rPr>
        <w:t>quarter, give to the person prescribed by the regulations a return in</w:t>
      </w:r>
      <w:r w:rsidR="009D1A85" w:rsidRPr="003A696F">
        <w:rPr>
          <w:sz w:val="22"/>
          <w:szCs w:val="22"/>
        </w:rPr>
        <w:t xml:space="preserve"> </w:t>
      </w:r>
      <w:r w:rsidRPr="003A696F">
        <w:rPr>
          <w:sz w:val="22"/>
          <w:szCs w:val="22"/>
        </w:rPr>
        <w:t>accordance with a form approved by the Secretary containing:</w:t>
      </w:r>
    </w:p>
    <w:p w14:paraId="1B1BB8D3" w14:textId="77777777" w:rsidR="002C016D" w:rsidRPr="003A696F" w:rsidRDefault="00A6708C" w:rsidP="003A696F">
      <w:pPr>
        <w:numPr>
          <w:ilvl w:val="0"/>
          <w:numId w:val="4"/>
        </w:numPr>
        <w:shd w:val="clear" w:color="auto" w:fill="FFFFFF"/>
        <w:tabs>
          <w:tab w:val="left" w:pos="806"/>
        </w:tabs>
        <w:spacing w:before="120"/>
        <w:ind w:left="806" w:hanging="394"/>
        <w:jc w:val="both"/>
        <w:rPr>
          <w:sz w:val="22"/>
          <w:szCs w:val="22"/>
        </w:rPr>
      </w:pPr>
      <w:r w:rsidRPr="003A696F">
        <w:rPr>
          <w:sz w:val="22"/>
          <w:szCs w:val="22"/>
        </w:rPr>
        <w:t>a statement of the number of seafarer berths on each prescribed ship in respect of which the employer employed or engaged seafarers on the first day of the quarter; and</w:t>
      </w:r>
    </w:p>
    <w:p w14:paraId="118E3406" w14:textId="77777777" w:rsidR="002C016D" w:rsidRPr="003A696F" w:rsidRDefault="00A6708C" w:rsidP="003A696F">
      <w:pPr>
        <w:numPr>
          <w:ilvl w:val="0"/>
          <w:numId w:val="4"/>
        </w:numPr>
        <w:shd w:val="clear" w:color="auto" w:fill="FFFFFF"/>
        <w:tabs>
          <w:tab w:val="left" w:pos="806"/>
        </w:tabs>
        <w:spacing w:before="120"/>
        <w:ind w:left="806" w:hanging="394"/>
        <w:jc w:val="both"/>
        <w:rPr>
          <w:sz w:val="22"/>
          <w:szCs w:val="22"/>
        </w:rPr>
      </w:pPr>
      <w:r w:rsidRPr="003A696F">
        <w:rPr>
          <w:sz w:val="22"/>
          <w:szCs w:val="22"/>
        </w:rPr>
        <w:t>such other information, relating to those berths as is specified in the form.</w:t>
      </w:r>
    </w:p>
    <w:p w14:paraId="176E7498" w14:textId="77777777" w:rsidR="002C016D" w:rsidRPr="003A696F" w:rsidRDefault="002C016D" w:rsidP="003A696F">
      <w:pPr>
        <w:numPr>
          <w:ilvl w:val="0"/>
          <w:numId w:val="4"/>
        </w:numPr>
        <w:shd w:val="clear" w:color="auto" w:fill="FFFFFF"/>
        <w:tabs>
          <w:tab w:val="left" w:pos="806"/>
        </w:tabs>
        <w:spacing w:before="120"/>
        <w:ind w:left="806" w:hanging="394"/>
        <w:jc w:val="both"/>
        <w:rPr>
          <w:sz w:val="22"/>
          <w:szCs w:val="22"/>
        </w:rPr>
        <w:sectPr w:rsidR="002C016D" w:rsidRPr="003A696F" w:rsidSect="009D1A85">
          <w:pgSz w:w="12240" w:h="15840" w:code="1"/>
          <w:pgMar w:top="1440" w:right="1440" w:bottom="1440" w:left="1440" w:header="720" w:footer="720" w:gutter="0"/>
          <w:cols w:space="60"/>
          <w:noEndnote/>
        </w:sectPr>
      </w:pPr>
    </w:p>
    <w:p w14:paraId="037B975B" w14:textId="77777777" w:rsidR="002C016D" w:rsidRPr="003A696F" w:rsidRDefault="00A6708C" w:rsidP="003A696F">
      <w:pPr>
        <w:shd w:val="clear" w:color="auto" w:fill="FFFFFF"/>
        <w:spacing w:before="120" w:after="60"/>
        <w:rPr>
          <w:sz w:val="22"/>
          <w:szCs w:val="22"/>
        </w:rPr>
      </w:pPr>
      <w:r w:rsidRPr="003A696F">
        <w:rPr>
          <w:b/>
          <w:bCs/>
          <w:sz w:val="22"/>
          <w:szCs w:val="22"/>
        </w:rPr>
        <w:lastRenderedPageBreak/>
        <w:t>Offences relating to returns</w:t>
      </w:r>
    </w:p>
    <w:p w14:paraId="376A3103" w14:textId="77777777" w:rsidR="002C016D" w:rsidRPr="003A696F" w:rsidRDefault="00A6708C" w:rsidP="003A696F">
      <w:pPr>
        <w:shd w:val="clear" w:color="auto" w:fill="FFFFFF"/>
        <w:spacing w:before="120"/>
        <w:ind w:left="24" w:firstLine="336"/>
        <w:jc w:val="both"/>
        <w:rPr>
          <w:sz w:val="22"/>
          <w:szCs w:val="22"/>
        </w:rPr>
      </w:pPr>
      <w:r w:rsidRPr="003A696F">
        <w:rPr>
          <w:b/>
          <w:bCs/>
          <w:sz w:val="22"/>
          <w:szCs w:val="22"/>
        </w:rPr>
        <w:t xml:space="preserve">7.(1) </w:t>
      </w:r>
      <w:r w:rsidRPr="003A696F">
        <w:rPr>
          <w:sz w:val="22"/>
          <w:szCs w:val="22"/>
        </w:rPr>
        <w:t>A person must not, without reasonable excuse, knowingly refuse or fail to give a return that he or she is required to give under section 6.</w:t>
      </w:r>
    </w:p>
    <w:p w14:paraId="7FE70758" w14:textId="77777777" w:rsidR="002C016D" w:rsidRPr="003A696F" w:rsidRDefault="00A6708C" w:rsidP="003A696F">
      <w:pPr>
        <w:shd w:val="clear" w:color="auto" w:fill="FFFFFF"/>
        <w:spacing w:before="120"/>
        <w:ind w:left="24"/>
        <w:rPr>
          <w:sz w:val="22"/>
          <w:szCs w:val="22"/>
        </w:rPr>
      </w:pPr>
      <w:r w:rsidRPr="003A696F">
        <w:rPr>
          <w:sz w:val="22"/>
          <w:szCs w:val="22"/>
        </w:rPr>
        <w:t>Penalty: 5 penalty units.</w:t>
      </w:r>
    </w:p>
    <w:p w14:paraId="5D11B134" w14:textId="77777777" w:rsidR="002C016D" w:rsidRPr="003A696F" w:rsidRDefault="00A6708C" w:rsidP="003A696F">
      <w:pPr>
        <w:shd w:val="clear" w:color="auto" w:fill="FFFFFF"/>
        <w:tabs>
          <w:tab w:val="left" w:pos="744"/>
        </w:tabs>
        <w:spacing w:before="120"/>
        <w:ind w:left="355"/>
        <w:rPr>
          <w:sz w:val="22"/>
          <w:szCs w:val="22"/>
        </w:rPr>
      </w:pPr>
      <w:r w:rsidRPr="003A696F">
        <w:rPr>
          <w:b/>
          <w:bCs/>
          <w:sz w:val="22"/>
          <w:szCs w:val="22"/>
        </w:rPr>
        <w:t>(2)</w:t>
      </w:r>
      <w:r w:rsidRPr="003A696F">
        <w:rPr>
          <w:sz w:val="22"/>
          <w:szCs w:val="22"/>
        </w:rPr>
        <w:tab/>
        <w:t>A person must not, without reasonable excuse:</w:t>
      </w:r>
    </w:p>
    <w:p w14:paraId="0AC80A03" w14:textId="77777777" w:rsidR="002C016D" w:rsidRPr="003A696F" w:rsidRDefault="00A6708C" w:rsidP="003A696F">
      <w:pPr>
        <w:numPr>
          <w:ilvl w:val="0"/>
          <w:numId w:val="5"/>
        </w:numPr>
        <w:shd w:val="clear" w:color="auto" w:fill="FFFFFF"/>
        <w:tabs>
          <w:tab w:val="left" w:pos="797"/>
        </w:tabs>
        <w:spacing w:before="120"/>
        <w:ind w:left="797" w:hanging="389"/>
        <w:jc w:val="both"/>
        <w:rPr>
          <w:sz w:val="22"/>
          <w:szCs w:val="22"/>
        </w:rPr>
      </w:pPr>
      <w:r w:rsidRPr="003A696F">
        <w:rPr>
          <w:sz w:val="22"/>
          <w:szCs w:val="22"/>
        </w:rPr>
        <w:t>knowingly give a return that does not contain all or any of the information required by section 6 to be included in the return; or</w:t>
      </w:r>
    </w:p>
    <w:p w14:paraId="3734BAB4" w14:textId="77777777" w:rsidR="002C016D" w:rsidRPr="003A696F" w:rsidRDefault="00A6708C" w:rsidP="003A696F">
      <w:pPr>
        <w:numPr>
          <w:ilvl w:val="0"/>
          <w:numId w:val="5"/>
        </w:numPr>
        <w:shd w:val="clear" w:color="auto" w:fill="FFFFFF"/>
        <w:tabs>
          <w:tab w:val="left" w:pos="797"/>
        </w:tabs>
        <w:spacing w:before="120"/>
        <w:ind w:left="797" w:hanging="389"/>
        <w:jc w:val="both"/>
        <w:rPr>
          <w:sz w:val="22"/>
          <w:szCs w:val="22"/>
        </w:rPr>
      </w:pPr>
      <w:r w:rsidRPr="003A696F">
        <w:rPr>
          <w:sz w:val="22"/>
          <w:szCs w:val="22"/>
        </w:rPr>
        <w:t>give, for the purposes of this Act, a return that contains a statement that the person knows to be false or misleading in a material particular.</w:t>
      </w:r>
    </w:p>
    <w:p w14:paraId="7CEB6C45" w14:textId="77777777" w:rsidR="002C016D" w:rsidRPr="003A696F" w:rsidRDefault="00A6708C" w:rsidP="003A696F">
      <w:pPr>
        <w:shd w:val="clear" w:color="auto" w:fill="FFFFFF"/>
        <w:spacing w:before="120"/>
        <w:ind w:left="19"/>
        <w:rPr>
          <w:sz w:val="22"/>
          <w:szCs w:val="22"/>
        </w:rPr>
      </w:pPr>
      <w:r w:rsidRPr="003A696F">
        <w:rPr>
          <w:sz w:val="22"/>
          <w:szCs w:val="22"/>
        </w:rPr>
        <w:t>Penalty: 20 penalty units.</w:t>
      </w:r>
    </w:p>
    <w:p w14:paraId="6EA58DF2" w14:textId="77777777" w:rsidR="002C016D" w:rsidRPr="003A696F" w:rsidRDefault="00A6708C" w:rsidP="003A696F">
      <w:pPr>
        <w:shd w:val="clear" w:color="auto" w:fill="FFFFFF"/>
        <w:tabs>
          <w:tab w:val="left" w:pos="744"/>
        </w:tabs>
        <w:spacing w:before="120"/>
        <w:ind w:left="14" w:firstLine="341"/>
        <w:jc w:val="both"/>
        <w:rPr>
          <w:sz w:val="22"/>
          <w:szCs w:val="22"/>
        </w:rPr>
      </w:pPr>
      <w:r w:rsidRPr="003A696F">
        <w:rPr>
          <w:b/>
          <w:bCs/>
          <w:sz w:val="22"/>
          <w:szCs w:val="22"/>
        </w:rPr>
        <w:t>(3)</w:t>
      </w:r>
      <w:r w:rsidRPr="003A696F">
        <w:rPr>
          <w:sz w:val="22"/>
          <w:szCs w:val="22"/>
        </w:rPr>
        <w:tab/>
        <w:t>A person is not excused from giving a return on the ground that</w:t>
      </w:r>
      <w:r w:rsidR="009D1A85" w:rsidRPr="003A696F">
        <w:rPr>
          <w:sz w:val="22"/>
          <w:szCs w:val="22"/>
        </w:rPr>
        <w:t xml:space="preserve"> </w:t>
      </w:r>
      <w:r w:rsidRPr="003A696F">
        <w:rPr>
          <w:sz w:val="22"/>
          <w:szCs w:val="22"/>
        </w:rPr>
        <w:t>the return might tend to incriminate the person, but any return given,</w:t>
      </w:r>
      <w:r w:rsidR="009D1A85" w:rsidRPr="003A696F">
        <w:rPr>
          <w:sz w:val="22"/>
          <w:szCs w:val="22"/>
        </w:rPr>
        <w:t xml:space="preserve"> </w:t>
      </w:r>
      <w:r w:rsidRPr="003A696F">
        <w:rPr>
          <w:sz w:val="22"/>
          <w:szCs w:val="22"/>
        </w:rPr>
        <w:t>and any information or thing (including any document) obtained as a</w:t>
      </w:r>
      <w:r w:rsidR="009D1A85" w:rsidRPr="003A696F">
        <w:rPr>
          <w:sz w:val="22"/>
          <w:szCs w:val="22"/>
        </w:rPr>
        <w:t xml:space="preserve"> </w:t>
      </w:r>
      <w:r w:rsidRPr="003A696F">
        <w:rPr>
          <w:sz w:val="22"/>
          <w:szCs w:val="22"/>
        </w:rPr>
        <w:t>direct or indirect consequence of the giving of the return, is not</w:t>
      </w:r>
      <w:r w:rsidR="009D1A85" w:rsidRPr="003A696F">
        <w:rPr>
          <w:sz w:val="22"/>
          <w:szCs w:val="22"/>
        </w:rPr>
        <w:t xml:space="preserve"> </w:t>
      </w:r>
      <w:r w:rsidRPr="003A696F">
        <w:rPr>
          <w:sz w:val="22"/>
          <w:szCs w:val="22"/>
        </w:rPr>
        <w:t>admissible in evidence against the person in criminal proceedings, other</w:t>
      </w:r>
      <w:r w:rsidR="009D1A85" w:rsidRPr="003A696F">
        <w:rPr>
          <w:sz w:val="22"/>
          <w:szCs w:val="22"/>
        </w:rPr>
        <w:t xml:space="preserve"> </w:t>
      </w:r>
      <w:r w:rsidRPr="003A696F">
        <w:rPr>
          <w:sz w:val="22"/>
          <w:szCs w:val="22"/>
        </w:rPr>
        <w:t>than proceedings for an offence against subsection (2).</w:t>
      </w:r>
    </w:p>
    <w:p w14:paraId="604378EB" w14:textId="77777777" w:rsidR="002C016D" w:rsidRPr="003A696F" w:rsidRDefault="00A6708C" w:rsidP="003A696F">
      <w:pPr>
        <w:shd w:val="clear" w:color="auto" w:fill="FFFFFF"/>
        <w:spacing w:before="120" w:after="60"/>
        <w:rPr>
          <w:sz w:val="22"/>
          <w:szCs w:val="22"/>
        </w:rPr>
      </w:pPr>
      <w:r w:rsidRPr="003A696F">
        <w:rPr>
          <w:b/>
          <w:bCs/>
          <w:sz w:val="22"/>
          <w:szCs w:val="22"/>
        </w:rPr>
        <w:t>Recovery of levy</w:t>
      </w:r>
    </w:p>
    <w:p w14:paraId="1782C0E4" w14:textId="77777777" w:rsidR="002C016D" w:rsidRPr="003A696F" w:rsidRDefault="00A6708C" w:rsidP="003A696F">
      <w:pPr>
        <w:shd w:val="clear" w:color="auto" w:fill="FFFFFF"/>
        <w:tabs>
          <w:tab w:val="left" w:pos="648"/>
        </w:tabs>
        <w:spacing w:before="120"/>
        <w:ind w:left="10" w:firstLine="336"/>
        <w:jc w:val="both"/>
        <w:rPr>
          <w:sz w:val="22"/>
          <w:szCs w:val="22"/>
        </w:rPr>
      </w:pPr>
      <w:r w:rsidRPr="003A696F">
        <w:rPr>
          <w:b/>
          <w:bCs/>
          <w:sz w:val="22"/>
          <w:szCs w:val="22"/>
        </w:rPr>
        <w:t>8.</w:t>
      </w:r>
      <w:r w:rsidRPr="003A696F">
        <w:rPr>
          <w:sz w:val="22"/>
          <w:szCs w:val="22"/>
        </w:rPr>
        <w:tab/>
        <w:t>Levy payable on a seafarer berth may be recovered by the</w:t>
      </w:r>
      <w:r w:rsidR="009D1A85" w:rsidRPr="003A696F">
        <w:rPr>
          <w:sz w:val="22"/>
          <w:szCs w:val="22"/>
        </w:rPr>
        <w:t xml:space="preserve"> </w:t>
      </w:r>
      <w:r w:rsidRPr="003A696F">
        <w:rPr>
          <w:sz w:val="22"/>
          <w:szCs w:val="22"/>
        </w:rPr>
        <w:t>Commonwealth as a debt due to the Commonwealth.</w:t>
      </w:r>
    </w:p>
    <w:p w14:paraId="0E2EA56D" w14:textId="77777777" w:rsidR="002C016D" w:rsidRPr="003A696F" w:rsidRDefault="00A6708C" w:rsidP="003A696F">
      <w:pPr>
        <w:shd w:val="clear" w:color="auto" w:fill="FFFFFF"/>
        <w:spacing w:before="120" w:after="60"/>
        <w:rPr>
          <w:sz w:val="22"/>
          <w:szCs w:val="22"/>
        </w:rPr>
      </w:pPr>
      <w:r w:rsidRPr="003A696F">
        <w:rPr>
          <w:b/>
          <w:bCs/>
          <w:sz w:val="22"/>
          <w:szCs w:val="22"/>
        </w:rPr>
        <w:t>Detention of ship</w:t>
      </w:r>
    </w:p>
    <w:p w14:paraId="2E8CFBB9" w14:textId="77777777" w:rsidR="002C016D" w:rsidRPr="003A696F" w:rsidRDefault="00A6708C" w:rsidP="003A696F">
      <w:pPr>
        <w:shd w:val="clear" w:color="auto" w:fill="FFFFFF"/>
        <w:tabs>
          <w:tab w:val="left" w:pos="648"/>
        </w:tabs>
        <w:spacing w:before="120"/>
        <w:ind w:left="10" w:firstLine="336"/>
        <w:jc w:val="both"/>
        <w:rPr>
          <w:sz w:val="22"/>
          <w:szCs w:val="22"/>
        </w:rPr>
      </w:pPr>
      <w:r w:rsidRPr="003A696F">
        <w:rPr>
          <w:b/>
          <w:bCs/>
          <w:sz w:val="22"/>
          <w:szCs w:val="22"/>
        </w:rPr>
        <w:t>9.</w:t>
      </w:r>
      <w:r w:rsidRPr="003A696F">
        <w:rPr>
          <w:b/>
          <w:bCs/>
          <w:sz w:val="22"/>
          <w:szCs w:val="22"/>
        </w:rPr>
        <w:tab/>
      </w:r>
      <w:r w:rsidRPr="003A696F">
        <w:rPr>
          <w:sz w:val="22"/>
          <w:szCs w:val="22"/>
        </w:rPr>
        <w:t>If any levy imposed on a seafarer berth on a prescribed ship</w:t>
      </w:r>
      <w:r w:rsidR="009D1A85" w:rsidRPr="003A696F">
        <w:rPr>
          <w:sz w:val="22"/>
          <w:szCs w:val="22"/>
        </w:rPr>
        <w:t xml:space="preserve"> </w:t>
      </w:r>
      <w:r w:rsidRPr="003A696F">
        <w:rPr>
          <w:sz w:val="22"/>
          <w:szCs w:val="22"/>
        </w:rPr>
        <w:t>remains unpaid after it becomes payable the ship may be detained by</w:t>
      </w:r>
      <w:r w:rsidR="009D1A85" w:rsidRPr="003A696F">
        <w:rPr>
          <w:sz w:val="22"/>
          <w:szCs w:val="22"/>
        </w:rPr>
        <w:t xml:space="preserve"> </w:t>
      </w:r>
      <w:r w:rsidRPr="003A696F">
        <w:rPr>
          <w:sz w:val="22"/>
          <w:szCs w:val="22"/>
        </w:rPr>
        <w:t>an authorised person until the levy is paid.</w:t>
      </w:r>
    </w:p>
    <w:p w14:paraId="71A1B9BA" w14:textId="77777777" w:rsidR="002C016D" w:rsidRPr="003A696F" w:rsidRDefault="00A6708C" w:rsidP="003A696F">
      <w:pPr>
        <w:shd w:val="clear" w:color="auto" w:fill="FFFFFF"/>
        <w:spacing w:before="120" w:after="60"/>
        <w:rPr>
          <w:sz w:val="22"/>
          <w:szCs w:val="22"/>
        </w:rPr>
      </w:pPr>
      <w:r w:rsidRPr="003A696F">
        <w:rPr>
          <w:b/>
          <w:bCs/>
          <w:sz w:val="22"/>
          <w:szCs w:val="22"/>
        </w:rPr>
        <w:t>Levy taken to be levy in relation to a ship for certain purposes of the Admiralty Act</w:t>
      </w:r>
    </w:p>
    <w:p w14:paraId="645F0662" w14:textId="77777777" w:rsidR="002C016D" w:rsidRPr="003A696F" w:rsidRDefault="00A6708C" w:rsidP="003A696F">
      <w:pPr>
        <w:shd w:val="clear" w:color="auto" w:fill="FFFFFF"/>
        <w:tabs>
          <w:tab w:val="left" w:pos="758"/>
        </w:tabs>
        <w:spacing w:before="120"/>
        <w:ind w:firstLine="355"/>
        <w:jc w:val="both"/>
        <w:rPr>
          <w:sz w:val="22"/>
          <w:szCs w:val="22"/>
        </w:rPr>
      </w:pPr>
      <w:r w:rsidRPr="003A696F">
        <w:rPr>
          <w:b/>
          <w:bCs/>
          <w:sz w:val="22"/>
          <w:szCs w:val="22"/>
        </w:rPr>
        <w:t>10.</w:t>
      </w:r>
      <w:r w:rsidRPr="003A696F">
        <w:rPr>
          <w:b/>
          <w:bCs/>
          <w:sz w:val="22"/>
          <w:szCs w:val="22"/>
        </w:rPr>
        <w:tab/>
      </w:r>
      <w:r w:rsidRPr="003A696F">
        <w:rPr>
          <w:sz w:val="22"/>
          <w:szCs w:val="22"/>
        </w:rPr>
        <w:t>Levy is taken to be a levy in relation to a ship for the purposes</w:t>
      </w:r>
      <w:r w:rsidR="009D1A85" w:rsidRPr="003A696F">
        <w:rPr>
          <w:sz w:val="22"/>
          <w:szCs w:val="22"/>
        </w:rPr>
        <w:t xml:space="preserve"> </w:t>
      </w:r>
      <w:r w:rsidRPr="003A696F">
        <w:rPr>
          <w:sz w:val="22"/>
          <w:szCs w:val="22"/>
        </w:rPr>
        <w:t xml:space="preserve">of paragraph 4(3)(q) of the </w:t>
      </w:r>
      <w:r w:rsidRPr="003A696F">
        <w:rPr>
          <w:i/>
          <w:iCs/>
          <w:sz w:val="22"/>
          <w:szCs w:val="22"/>
        </w:rPr>
        <w:t>Admiralty Act 1988.</w:t>
      </w:r>
    </w:p>
    <w:p w14:paraId="2C84DA82" w14:textId="77777777" w:rsidR="002C016D" w:rsidRPr="003A696F" w:rsidRDefault="00A6708C" w:rsidP="003A696F">
      <w:pPr>
        <w:shd w:val="clear" w:color="auto" w:fill="FFFFFF"/>
        <w:spacing w:before="120"/>
        <w:ind w:left="518" w:hanging="485"/>
        <w:rPr>
          <w:szCs w:val="22"/>
        </w:rPr>
      </w:pPr>
      <w:r w:rsidRPr="003A696F">
        <w:rPr>
          <w:szCs w:val="22"/>
        </w:rPr>
        <w:t xml:space="preserve">Note: paragraph 4(3)(q) of the </w:t>
      </w:r>
      <w:r w:rsidRPr="003A696F">
        <w:rPr>
          <w:i/>
          <w:iCs/>
          <w:szCs w:val="22"/>
        </w:rPr>
        <w:t xml:space="preserve">Admiralty Act 1988 </w:t>
      </w:r>
      <w:r w:rsidRPr="003A696F">
        <w:rPr>
          <w:szCs w:val="22"/>
        </w:rPr>
        <w:t xml:space="preserve">provides that certain claims in relation to a ship may be dealt with as claims </w:t>
      </w:r>
      <w:r w:rsidRPr="003A696F">
        <w:rPr>
          <w:i/>
          <w:iCs/>
          <w:szCs w:val="22"/>
        </w:rPr>
        <w:t>in rem.</w:t>
      </w:r>
    </w:p>
    <w:p w14:paraId="7FBF7F32" w14:textId="77777777" w:rsidR="002C016D" w:rsidRPr="003A696F" w:rsidRDefault="00A6708C" w:rsidP="003A696F">
      <w:pPr>
        <w:shd w:val="clear" w:color="auto" w:fill="FFFFFF"/>
        <w:spacing w:before="120" w:after="60"/>
        <w:rPr>
          <w:sz w:val="22"/>
          <w:szCs w:val="22"/>
        </w:rPr>
      </w:pPr>
      <w:r w:rsidRPr="003A696F">
        <w:rPr>
          <w:b/>
          <w:bCs/>
          <w:sz w:val="22"/>
          <w:szCs w:val="22"/>
        </w:rPr>
        <w:t>Appointment of authorised persons</w:t>
      </w:r>
    </w:p>
    <w:p w14:paraId="707F966D" w14:textId="77777777" w:rsidR="002C016D" w:rsidRPr="003A696F" w:rsidRDefault="00A6708C" w:rsidP="003A696F">
      <w:pPr>
        <w:shd w:val="clear" w:color="auto" w:fill="FFFFFF"/>
        <w:tabs>
          <w:tab w:val="left" w:pos="758"/>
        </w:tabs>
        <w:spacing w:before="120"/>
        <w:ind w:firstLine="355"/>
        <w:jc w:val="both"/>
        <w:rPr>
          <w:sz w:val="22"/>
          <w:szCs w:val="22"/>
        </w:rPr>
      </w:pPr>
      <w:r w:rsidRPr="003A696F">
        <w:rPr>
          <w:b/>
          <w:bCs/>
          <w:sz w:val="22"/>
          <w:szCs w:val="22"/>
        </w:rPr>
        <w:t>11.</w:t>
      </w:r>
      <w:r w:rsidRPr="003A696F">
        <w:rPr>
          <w:b/>
          <w:bCs/>
          <w:sz w:val="22"/>
          <w:szCs w:val="22"/>
        </w:rPr>
        <w:tab/>
      </w:r>
      <w:r w:rsidRPr="003A696F">
        <w:rPr>
          <w:sz w:val="22"/>
          <w:szCs w:val="22"/>
        </w:rPr>
        <w:t>The Secretary may, in writing, appoint a person who holds, or</w:t>
      </w:r>
      <w:r w:rsidR="009D1A85" w:rsidRPr="003A696F">
        <w:rPr>
          <w:sz w:val="22"/>
          <w:szCs w:val="22"/>
        </w:rPr>
        <w:t xml:space="preserve"> </w:t>
      </w:r>
      <w:r w:rsidRPr="003A696F">
        <w:rPr>
          <w:sz w:val="22"/>
          <w:szCs w:val="22"/>
        </w:rPr>
        <w:t>performs the duties of:</w:t>
      </w:r>
    </w:p>
    <w:p w14:paraId="69BAB7C6" w14:textId="77777777" w:rsidR="002C016D" w:rsidRPr="003A696F" w:rsidRDefault="00A6708C" w:rsidP="003A696F">
      <w:pPr>
        <w:numPr>
          <w:ilvl w:val="0"/>
          <w:numId w:val="6"/>
        </w:numPr>
        <w:shd w:val="clear" w:color="auto" w:fill="FFFFFF"/>
        <w:tabs>
          <w:tab w:val="left" w:pos="778"/>
        </w:tabs>
        <w:spacing w:before="120"/>
        <w:ind w:left="384"/>
        <w:rPr>
          <w:sz w:val="22"/>
          <w:szCs w:val="22"/>
        </w:rPr>
      </w:pPr>
      <w:r w:rsidRPr="003A696F">
        <w:rPr>
          <w:sz w:val="22"/>
          <w:szCs w:val="22"/>
        </w:rPr>
        <w:t>a Senior Executive Service office; or</w:t>
      </w:r>
    </w:p>
    <w:p w14:paraId="3B292197" w14:textId="77777777" w:rsidR="002C016D" w:rsidRPr="003A696F" w:rsidRDefault="00A6708C" w:rsidP="003A696F">
      <w:pPr>
        <w:numPr>
          <w:ilvl w:val="0"/>
          <w:numId w:val="6"/>
        </w:numPr>
        <w:shd w:val="clear" w:color="auto" w:fill="FFFFFF"/>
        <w:tabs>
          <w:tab w:val="left" w:pos="778"/>
        </w:tabs>
        <w:spacing w:before="120"/>
        <w:ind w:left="384"/>
        <w:rPr>
          <w:sz w:val="22"/>
          <w:szCs w:val="22"/>
        </w:rPr>
      </w:pPr>
      <w:r w:rsidRPr="003A696F">
        <w:rPr>
          <w:sz w:val="22"/>
          <w:szCs w:val="22"/>
        </w:rPr>
        <w:t>a Senior Officer Grade A, B or C;</w:t>
      </w:r>
    </w:p>
    <w:p w14:paraId="33FA5E98" w14:textId="77777777" w:rsidR="002C016D" w:rsidRPr="003A696F" w:rsidRDefault="00A6708C" w:rsidP="003A696F">
      <w:pPr>
        <w:shd w:val="clear" w:color="auto" w:fill="FFFFFF"/>
        <w:spacing w:before="120"/>
        <w:ind w:left="5"/>
        <w:rPr>
          <w:sz w:val="22"/>
          <w:szCs w:val="22"/>
        </w:rPr>
      </w:pPr>
      <w:r w:rsidRPr="003A696F">
        <w:rPr>
          <w:sz w:val="22"/>
          <w:szCs w:val="22"/>
        </w:rPr>
        <w:t>in the Department to be an authorised person for the purposes of a specified provision of this Act.</w:t>
      </w:r>
    </w:p>
    <w:p w14:paraId="270BC4A9" w14:textId="77777777" w:rsidR="002C016D" w:rsidRPr="003A696F" w:rsidRDefault="002C016D" w:rsidP="003A696F">
      <w:pPr>
        <w:shd w:val="clear" w:color="auto" w:fill="FFFFFF"/>
        <w:spacing w:before="120"/>
        <w:ind w:left="5"/>
        <w:rPr>
          <w:sz w:val="22"/>
          <w:szCs w:val="22"/>
        </w:rPr>
        <w:sectPr w:rsidR="002C016D" w:rsidRPr="003A696F" w:rsidSect="009D1A85">
          <w:pgSz w:w="12240" w:h="15840" w:code="1"/>
          <w:pgMar w:top="1440" w:right="1440" w:bottom="1440" w:left="1440" w:header="720" w:footer="720" w:gutter="0"/>
          <w:cols w:space="60"/>
          <w:noEndnote/>
        </w:sectPr>
      </w:pPr>
    </w:p>
    <w:p w14:paraId="09846043" w14:textId="77777777" w:rsidR="002C016D" w:rsidRPr="003A696F" w:rsidRDefault="00A6708C" w:rsidP="003A696F">
      <w:pPr>
        <w:shd w:val="clear" w:color="auto" w:fill="FFFFFF"/>
        <w:spacing w:before="120" w:after="60"/>
        <w:rPr>
          <w:sz w:val="22"/>
          <w:szCs w:val="22"/>
        </w:rPr>
      </w:pPr>
      <w:r w:rsidRPr="003A696F">
        <w:rPr>
          <w:b/>
          <w:bCs/>
          <w:sz w:val="22"/>
          <w:szCs w:val="22"/>
        </w:rPr>
        <w:lastRenderedPageBreak/>
        <w:t>Access to premises and books</w:t>
      </w:r>
    </w:p>
    <w:p w14:paraId="366DAE27" w14:textId="77777777" w:rsidR="002C016D" w:rsidRPr="003A696F" w:rsidRDefault="00A6708C" w:rsidP="003A696F">
      <w:pPr>
        <w:shd w:val="clear" w:color="auto" w:fill="FFFFFF"/>
        <w:spacing w:before="120"/>
        <w:ind w:left="14" w:firstLine="355"/>
        <w:jc w:val="both"/>
        <w:rPr>
          <w:sz w:val="22"/>
          <w:szCs w:val="22"/>
        </w:rPr>
      </w:pPr>
      <w:r w:rsidRPr="003A696F">
        <w:rPr>
          <w:b/>
          <w:bCs/>
          <w:sz w:val="22"/>
          <w:szCs w:val="22"/>
        </w:rPr>
        <w:t xml:space="preserve">12.(1) </w:t>
      </w:r>
      <w:r w:rsidRPr="003A696F">
        <w:rPr>
          <w:sz w:val="22"/>
          <w:szCs w:val="22"/>
        </w:rPr>
        <w:t>An authorised person may, with the consent of the occupier of premises, or in accordance with a warrant issued under subsection 13(2), enter the premises for the purpose of exercising the powers of an authorised person under this section.</w:t>
      </w:r>
    </w:p>
    <w:p w14:paraId="28BED068" w14:textId="77777777" w:rsidR="002C016D" w:rsidRPr="003A696F" w:rsidRDefault="00A6708C" w:rsidP="003A696F">
      <w:pPr>
        <w:shd w:val="clear" w:color="auto" w:fill="FFFFFF"/>
        <w:spacing w:before="120"/>
        <w:ind w:left="355"/>
        <w:rPr>
          <w:sz w:val="22"/>
          <w:szCs w:val="22"/>
        </w:rPr>
      </w:pPr>
      <w:r w:rsidRPr="003A696F">
        <w:rPr>
          <w:b/>
          <w:bCs/>
          <w:sz w:val="22"/>
          <w:szCs w:val="22"/>
        </w:rPr>
        <w:t>(2)</w:t>
      </w:r>
      <w:r w:rsidRPr="003A696F">
        <w:rPr>
          <w:sz w:val="22"/>
          <w:szCs w:val="22"/>
        </w:rPr>
        <w:t xml:space="preserve"> The powers of an authorised person under this section are to:</w:t>
      </w:r>
    </w:p>
    <w:p w14:paraId="3B4DEF23" w14:textId="77777777" w:rsidR="002C016D" w:rsidRPr="003A696F" w:rsidRDefault="00A6708C" w:rsidP="003A696F">
      <w:pPr>
        <w:numPr>
          <w:ilvl w:val="0"/>
          <w:numId w:val="7"/>
        </w:numPr>
        <w:shd w:val="clear" w:color="auto" w:fill="FFFFFF"/>
        <w:tabs>
          <w:tab w:val="left" w:pos="797"/>
        </w:tabs>
        <w:spacing w:before="120"/>
        <w:ind w:left="797" w:hanging="394"/>
        <w:jc w:val="both"/>
        <w:rPr>
          <w:sz w:val="22"/>
          <w:szCs w:val="22"/>
        </w:rPr>
      </w:pPr>
      <w:r w:rsidRPr="003A696F">
        <w:rPr>
          <w:sz w:val="22"/>
          <w:szCs w:val="22"/>
        </w:rPr>
        <w:t>search for, examine, take extracts from and make copies of any document; and</w:t>
      </w:r>
    </w:p>
    <w:p w14:paraId="37DBE4E3" w14:textId="77777777" w:rsidR="002C016D" w:rsidRPr="003A696F" w:rsidRDefault="00A6708C" w:rsidP="003A696F">
      <w:pPr>
        <w:numPr>
          <w:ilvl w:val="0"/>
          <w:numId w:val="7"/>
        </w:numPr>
        <w:shd w:val="clear" w:color="auto" w:fill="FFFFFF"/>
        <w:tabs>
          <w:tab w:val="left" w:pos="797"/>
        </w:tabs>
        <w:spacing w:before="120"/>
        <w:ind w:left="403"/>
        <w:rPr>
          <w:sz w:val="22"/>
          <w:szCs w:val="22"/>
        </w:rPr>
      </w:pPr>
      <w:r w:rsidRPr="003A696F">
        <w:rPr>
          <w:sz w:val="22"/>
          <w:szCs w:val="22"/>
        </w:rPr>
        <w:t>search for and examine a thing;</w:t>
      </w:r>
    </w:p>
    <w:p w14:paraId="09E8A3C5" w14:textId="77777777" w:rsidR="002C016D" w:rsidRPr="003A696F" w:rsidRDefault="00A6708C" w:rsidP="003A696F">
      <w:pPr>
        <w:shd w:val="clear" w:color="auto" w:fill="FFFFFF"/>
        <w:spacing w:before="120"/>
        <w:ind w:left="14"/>
        <w:jc w:val="both"/>
        <w:rPr>
          <w:sz w:val="22"/>
          <w:szCs w:val="22"/>
        </w:rPr>
      </w:pPr>
      <w:r w:rsidRPr="003A696F">
        <w:rPr>
          <w:sz w:val="22"/>
          <w:szCs w:val="22"/>
        </w:rPr>
        <w:t>relating to a berth on a prescribed ship, on which levy is, or may be, payable.</w:t>
      </w:r>
    </w:p>
    <w:p w14:paraId="3CDF8519" w14:textId="77777777" w:rsidR="002C016D" w:rsidRPr="003A696F" w:rsidRDefault="00A6708C" w:rsidP="003A696F">
      <w:pPr>
        <w:shd w:val="clear" w:color="auto" w:fill="FFFFFF"/>
        <w:spacing w:before="120" w:after="60"/>
        <w:rPr>
          <w:sz w:val="22"/>
          <w:szCs w:val="22"/>
        </w:rPr>
      </w:pPr>
      <w:r w:rsidRPr="003A696F">
        <w:rPr>
          <w:b/>
          <w:bCs/>
          <w:sz w:val="22"/>
          <w:szCs w:val="22"/>
        </w:rPr>
        <w:t>Warrants to enter premises</w:t>
      </w:r>
    </w:p>
    <w:p w14:paraId="6601E353" w14:textId="77777777" w:rsidR="002C016D" w:rsidRPr="003A696F" w:rsidRDefault="00A6708C" w:rsidP="003A696F">
      <w:pPr>
        <w:shd w:val="clear" w:color="auto" w:fill="FFFFFF"/>
        <w:spacing w:before="120"/>
        <w:ind w:left="5" w:firstLine="350"/>
        <w:jc w:val="both"/>
        <w:rPr>
          <w:sz w:val="22"/>
          <w:szCs w:val="22"/>
        </w:rPr>
      </w:pPr>
      <w:r w:rsidRPr="003A696F">
        <w:rPr>
          <w:b/>
          <w:bCs/>
          <w:sz w:val="22"/>
          <w:szCs w:val="22"/>
        </w:rPr>
        <w:t xml:space="preserve">13.(1) </w:t>
      </w:r>
      <w:r w:rsidRPr="003A696F">
        <w:rPr>
          <w:sz w:val="22"/>
          <w:szCs w:val="22"/>
        </w:rPr>
        <w:t>If an authorised person suspects on reasonable grounds that there is on particular premises a book, document or thing relating to a seafarer berth, the person may apply to a Magistrate for a warrant under this section.</w:t>
      </w:r>
    </w:p>
    <w:p w14:paraId="717ADFC9" w14:textId="77777777" w:rsidR="002C016D" w:rsidRPr="003A696F" w:rsidRDefault="00A6708C" w:rsidP="003A696F">
      <w:pPr>
        <w:shd w:val="clear" w:color="auto" w:fill="FFFFFF"/>
        <w:tabs>
          <w:tab w:val="left" w:pos="730"/>
        </w:tabs>
        <w:spacing w:before="120"/>
        <w:ind w:left="5" w:firstLine="331"/>
        <w:jc w:val="both"/>
        <w:rPr>
          <w:sz w:val="22"/>
          <w:szCs w:val="22"/>
        </w:rPr>
      </w:pPr>
      <w:r w:rsidRPr="003A696F">
        <w:rPr>
          <w:b/>
          <w:bCs/>
          <w:sz w:val="22"/>
          <w:szCs w:val="22"/>
        </w:rPr>
        <w:t>(2)</w:t>
      </w:r>
      <w:r w:rsidRPr="003A696F">
        <w:rPr>
          <w:sz w:val="22"/>
          <w:szCs w:val="22"/>
        </w:rPr>
        <w:tab/>
        <w:t>If the Magistrate is satisfied, by information on oath or</w:t>
      </w:r>
      <w:r w:rsidR="009D1A85" w:rsidRPr="003A696F">
        <w:rPr>
          <w:sz w:val="22"/>
          <w:szCs w:val="22"/>
        </w:rPr>
        <w:t xml:space="preserve"> </w:t>
      </w:r>
      <w:r w:rsidRPr="003A696F">
        <w:rPr>
          <w:sz w:val="22"/>
          <w:szCs w:val="22"/>
        </w:rPr>
        <w:t>affirmation, that:</w:t>
      </w:r>
    </w:p>
    <w:p w14:paraId="11E80CCC" w14:textId="77777777" w:rsidR="002C016D" w:rsidRPr="003A696F" w:rsidRDefault="00A6708C" w:rsidP="003A696F">
      <w:pPr>
        <w:numPr>
          <w:ilvl w:val="0"/>
          <w:numId w:val="8"/>
        </w:numPr>
        <w:shd w:val="clear" w:color="auto" w:fill="FFFFFF"/>
        <w:tabs>
          <w:tab w:val="left" w:pos="787"/>
        </w:tabs>
        <w:spacing w:before="120"/>
        <w:ind w:left="787" w:hanging="394"/>
        <w:jc w:val="both"/>
        <w:rPr>
          <w:sz w:val="22"/>
          <w:szCs w:val="22"/>
        </w:rPr>
      </w:pPr>
      <w:r w:rsidRPr="003A696F">
        <w:rPr>
          <w:sz w:val="22"/>
          <w:szCs w:val="22"/>
        </w:rPr>
        <w:t>there are reasonable grounds for believing that there is on the premises a book, document or thing relating to a berth on a prescribed ship, on which levy is, or may be, payable; and</w:t>
      </w:r>
    </w:p>
    <w:p w14:paraId="0E3F9B72" w14:textId="77777777" w:rsidR="002C016D" w:rsidRPr="003A696F" w:rsidRDefault="00A6708C" w:rsidP="003A696F">
      <w:pPr>
        <w:numPr>
          <w:ilvl w:val="0"/>
          <w:numId w:val="8"/>
        </w:numPr>
        <w:shd w:val="clear" w:color="auto" w:fill="FFFFFF"/>
        <w:tabs>
          <w:tab w:val="left" w:pos="787"/>
        </w:tabs>
        <w:spacing w:before="120"/>
        <w:ind w:left="787" w:hanging="394"/>
        <w:jc w:val="both"/>
        <w:rPr>
          <w:sz w:val="22"/>
          <w:szCs w:val="22"/>
        </w:rPr>
      </w:pPr>
      <w:r w:rsidRPr="003A696F">
        <w:rPr>
          <w:sz w:val="22"/>
          <w:szCs w:val="22"/>
        </w:rPr>
        <w:t>the issue of a warrant is reasonably required for the purposes of this Act;</w:t>
      </w:r>
    </w:p>
    <w:p w14:paraId="393B13C5" w14:textId="77777777" w:rsidR="002C016D" w:rsidRPr="003A696F" w:rsidRDefault="00A6708C" w:rsidP="003A696F">
      <w:pPr>
        <w:shd w:val="clear" w:color="auto" w:fill="FFFFFF"/>
        <w:spacing w:before="120"/>
        <w:jc w:val="both"/>
        <w:rPr>
          <w:sz w:val="22"/>
          <w:szCs w:val="22"/>
        </w:rPr>
      </w:pPr>
      <w:r w:rsidRPr="003A696F">
        <w:rPr>
          <w:sz w:val="22"/>
          <w:szCs w:val="22"/>
        </w:rPr>
        <w:t xml:space="preserve">the Magistrate may issue a warrant </w:t>
      </w:r>
      <w:proofErr w:type="spellStart"/>
      <w:r w:rsidRPr="003A696F">
        <w:rPr>
          <w:sz w:val="22"/>
          <w:szCs w:val="22"/>
        </w:rPr>
        <w:t>authorising</w:t>
      </w:r>
      <w:proofErr w:type="spellEnd"/>
      <w:r w:rsidRPr="003A696F">
        <w:rPr>
          <w:sz w:val="22"/>
          <w:szCs w:val="22"/>
        </w:rPr>
        <w:t xml:space="preserve"> the applicant to enter the premises with such assistance, and using such force, as is necessary and reasonable for the purpose of exercising some or all of the powers of an authorised person under subsection 12(2).</w:t>
      </w:r>
    </w:p>
    <w:p w14:paraId="2A723E9D" w14:textId="77777777" w:rsidR="002C016D" w:rsidRPr="003A696F" w:rsidRDefault="00A6708C" w:rsidP="003A696F">
      <w:pPr>
        <w:shd w:val="clear" w:color="auto" w:fill="FFFFFF"/>
        <w:tabs>
          <w:tab w:val="left" w:pos="730"/>
        </w:tabs>
        <w:spacing w:before="120"/>
        <w:ind w:left="336"/>
        <w:rPr>
          <w:sz w:val="22"/>
          <w:szCs w:val="22"/>
        </w:rPr>
      </w:pPr>
      <w:r w:rsidRPr="003A696F">
        <w:rPr>
          <w:b/>
          <w:bCs/>
          <w:sz w:val="22"/>
          <w:szCs w:val="22"/>
        </w:rPr>
        <w:t>(3)</w:t>
      </w:r>
      <w:r w:rsidRPr="003A696F">
        <w:rPr>
          <w:sz w:val="22"/>
          <w:szCs w:val="22"/>
        </w:rPr>
        <w:tab/>
        <w:t>The Magistrate must not issue a warrant unless:</w:t>
      </w:r>
    </w:p>
    <w:p w14:paraId="7BD8E2E6" w14:textId="77777777" w:rsidR="002C016D" w:rsidRPr="003A696F" w:rsidRDefault="00A6708C" w:rsidP="003A696F">
      <w:pPr>
        <w:numPr>
          <w:ilvl w:val="0"/>
          <w:numId w:val="9"/>
        </w:numPr>
        <w:shd w:val="clear" w:color="auto" w:fill="FFFFFF"/>
        <w:tabs>
          <w:tab w:val="left" w:pos="778"/>
        </w:tabs>
        <w:spacing w:before="120"/>
        <w:ind w:left="778" w:hanging="394"/>
        <w:jc w:val="both"/>
        <w:rPr>
          <w:sz w:val="22"/>
          <w:szCs w:val="22"/>
        </w:rPr>
      </w:pPr>
      <w:r w:rsidRPr="003A696F">
        <w:rPr>
          <w:sz w:val="22"/>
          <w:szCs w:val="22"/>
        </w:rPr>
        <w:t>the informant or some other person has given to the Magistrate, either orally or by affidavit, such further information (if any) as the Magistrate requires concerning the grounds on which the issue of the warrant is being sought; and</w:t>
      </w:r>
    </w:p>
    <w:p w14:paraId="4A8597E7" w14:textId="77777777" w:rsidR="002C016D" w:rsidRPr="003A696F" w:rsidRDefault="00A6708C" w:rsidP="003A696F">
      <w:pPr>
        <w:numPr>
          <w:ilvl w:val="0"/>
          <w:numId w:val="9"/>
        </w:numPr>
        <w:shd w:val="clear" w:color="auto" w:fill="FFFFFF"/>
        <w:tabs>
          <w:tab w:val="left" w:pos="778"/>
        </w:tabs>
        <w:spacing w:before="120"/>
        <w:ind w:left="778" w:hanging="394"/>
        <w:jc w:val="both"/>
        <w:rPr>
          <w:sz w:val="22"/>
          <w:szCs w:val="22"/>
        </w:rPr>
      </w:pPr>
      <w:r w:rsidRPr="003A696F">
        <w:rPr>
          <w:sz w:val="22"/>
          <w:szCs w:val="22"/>
        </w:rPr>
        <w:t>the Magistrate is satisfied that there are reasonable grounds for issuing the warrant.</w:t>
      </w:r>
    </w:p>
    <w:p w14:paraId="0221469F" w14:textId="77777777" w:rsidR="002C016D" w:rsidRPr="003A696F" w:rsidRDefault="00A6708C" w:rsidP="003A696F">
      <w:pPr>
        <w:shd w:val="clear" w:color="auto" w:fill="FFFFFF"/>
        <w:tabs>
          <w:tab w:val="left" w:pos="730"/>
        </w:tabs>
        <w:spacing w:before="120"/>
        <w:ind w:left="336"/>
        <w:rPr>
          <w:sz w:val="22"/>
          <w:szCs w:val="22"/>
        </w:rPr>
      </w:pPr>
      <w:r w:rsidRPr="003A696F">
        <w:rPr>
          <w:b/>
          <w:bCs/>
          <w:sz w:val="22"/>
          <w:szCs w:val="22"/>
        </w:rPr>
        <w:t>(4)</w:t>
      </w:r>
      <w:r w:rsidRPr="003A696F">
        <w:rPr>
          <w:sz w:val="22"/>
          <w:szCs w:val="22"/>
        </w:rPr>
        <w:tab/>
        <w:t>There must be stated in the warrant:</w:t>
      </w:r>
    </w:p>
    <w:p w14:paraId="519F0319" w14:textId="77777777" w:rsidR="002C016D" w:rsidRPr="003A696F" w:rsidRDefault="00A6708C" w:rsidP="003A696F">
      <w:pPr>
        <w:numPr>
          <w:ilvl w:val="0"/>
          <w:numId w:val="10"/>
        </w:numPr>
        <w:shd w:val="clear" w:color="auto" w:fill="FFFFFF"/>
        <w:tabs>
          <w:tab w:val="left" w:pos="773"/>
        </w:tabs>
        <w:spacing w:before="120"/>
        <w:ind w:left="384"/>
        <w:rPr>
          <w:sz w:val="22"/>
          <w:szCs w:val="22"/>
        </w:rPr>
      </w:pPr>
      <w:r w:rsidRPr="003A696F">
        <w:rPr>
          <w:sz w:val="22"/>
          <w:szCs w:val="22"/>
        </w:rPr>
        <w:t>the purpose for which the warrant is issued; and</w:t>
      </w:r>
    </w:p>
    <w:p w14:paraId="5C46BEE8" w14:textId="77777777" w:rsidR="002C016D" w:rsidRPr="003A696F" w:rsidRDefault="00A6708C" w:rsidP="003A696F">
      <w:pPr>
        <w:numPr>
          <w:ilvl w:val="0"/>
          <w:numId w:val="10"/>
        </w:numPr>
        <w:shd w:val="clear" w:color="auto" w:fill="FFFFFF"/>
        <w:tabs>
          <w:tab w:val="left" w:pos="773"/>
        </w:tabs>
        <w:spacing w:before="120"/>
        <w:ind w:left="773" w:hanging="389"/>
        <w:jc w:val="both"/>
        <w:rPr>
          <w:sz w:val="22"/>
          <w:szCs w:val="22"/>
        </w:rPr>
      </w:pPr>
      <w:r w:rsidRPr="003A696F">
        <w:rPr>
          <w:sz w:val="22"/>
          <w:szCs w:val="22"/>
        </w:rPr>
        <w:t>the powers exercisable under subsection 12(2) by the authorised person to whom the warrant is issued; and</w:t>
      </w:r>
    </w:p>
    <w:p w14:paraId="2116BF8C" w14:textId="77777777" w:rsidR="002C016D" w:rsidRPr="003A696F" w:rsidRDefault="00A6708C" w:rsidP="003A696F">
      <w:pPr>
        <w:numPr>
          <w:ilvl w:val="0"/>
          <w:numId w:val="10"/>
        </w:numPr>
        <w:shd w:val="clear" w:color="auto" w:fill="FFFFFF"/>
        <w:tabs>
          <w:tab w:val="left" w:pos="773"/>
        </w:tabs>
        <w:spacing w:before="120"/>
        <w:ind w:left="773" w:hanging="389"/>
        <w:jc w:val="both"/>
        <w:rPr>
          <w:sz w:val="22"/>
          <w:szCs w:val="22"/>
        </w:rPr>
      </w:pPr>
      <w:r w:rsidRPr="003A696F">
        <w:rPr>
          <w:sz w:val="22"/>
          <w:szCs w:val="22"/>
        </w:rPr>
        <w:t>a day (not more than 7 days after the day of issue of the warrant) on which the warrant ceases to have effect; and</w:t>
      </w:r>
    </w:p>
    <w:p w14:paraId="00BF1B9B" w14:textId="77777777" w:rsidR="002C016D" w:rsidRPr="003A696F" w:rsidRDefault="002C016D" w:rsidP="003A696F">
      <w:pPr>
        <w:numPr>
          <w:ilvl w:val="0"/>
          <w:numId w:val="10"/>
        </w:numPr>
        <w:shd w:val="clear" w:color="auto" w:fill="FFFFFF"/>
        <w:tabs>
          <w:tab w:val="left" w:pos="773"/>
        </w:tabs>
        <w:spacing w:before="120"/>
        <w:ind w:left="773" w:hanging="389"/>
        <w:jc w:val="both"/>
        <w:rPr>
          <w:sz w:val="22"/>
          <w:szCs w:val="22"/>
        </w:rPr>
        <w:sectPr w:rsidR="002C016D" w:rsidRPr="003A696F" w:rsidSect="009D1A85">
          <w:pgSz w:w="12240" w:h="15840" w:code="1"/>
          <w:pgMar w:top="1440" w:right="1440" w:bottom="1440" w:left="1440" w:header="720" w:footer="720" w:gutter="0"/>
          <w:cols w:space="60"/>
          <w:noEndnote/>
        </w:sectPr>
      </w:pPr>
    </w:p>
    <w:p w14:paraId="3E92B032" w14:textId="77777777" w:rsidR="002C016D" w:rsidRPr="003A696F" w:rsidRDefault="00A6708C" w:rsidP="003A696F">
      <w:pPr>
        <w:numPr>
          <w:ilvl w:val="0"/>
          <w:numId w:val="11"/>
        </w:numPr>
        <w:shd w:val="clear" w:color="auto" w:fill="FFFFFF"/>
        <w:tabs>
          <w:tab w:val="left" w:pos="782"/>
        </w:tabs>
        <w:spacing w:before="120"/>
        <w:ind w:left="782" w:hanging="394"/>
        <w:rPr>
          <w:sz w:val="22"/>
          <w:szCs w:val="22"/>
        </w:rPr>
      </w:pPr>
      <w:r w:rsidRPr="003A696F">
        <w:rPr>
          <w:sz w:val="22"/>
          <w:szCs w:val="22"/>
        </w:rPr>
        <w:lastRenderedPageBreak/>
        <w:t>whether entry is authorised to be made at any time of the day or night, or during specified hours of the day or night; and</w:t>
      </w:r>
    </w:p>
    <w:p w14:paraId="1C7E526C" w14:textId="77777777" w:rsidR="002C016D" w:rsidRPr="003A696F" w:rsidRDefault="00A6708C" w:rsidP="003A696F">
      <w:pPr>
        <w:numPr>
          <w:ilvl w:val="0"/>
          <w:numId w:val="11"/>
        </w:numPr>
        <w:shd w:val="clear" w:color="auto" w:fill="FFFFFF"/>
        <w:tabs>
          <w:tab w:val="left" w:pos="782"/>
        </w:tabs>
        <w:spacing w:before="120"/>
        <w:ind w:left="782" w:hanging="394"/>
        <w:rPr>
          <w:sz w:val="22"/>
          <w:szCs w:val="22"/>
          <w:lang w:val="it-IT"/>
        </w:rPr>
      </w:pPr>
      <w:r w:rsidRPr="003A696F">
        <w:rPr>
          <w:sz w:val="22"/>
          <w:szCs w:val="22"/>
          <w:lang w:val="it-IT"/>
        </w:rPr>
        <w:t xml:space="preserve">a </w:t>
      </w:r>
      <w:r w:rsidRPr="003A696F">
        <w:rPr>
          <w:sz w:val="22"/>
          <w:szCs w:val="22"/>
        </w:rPr>
        <w:t>description of the book, document or thing that the applicant suspects are on the premises.</w:t>
      </w:r>
    </w:p>
    <w:p w14:paraId="352CB986" w14:textId="77777777" w:rsidR="002C016D" w:rsidRPr="003A696F" w:rsidRDefault="00A6708C" w:rsidP="003A696F">
      <w:pPr>
        <w:shd w:val="clear" w:color="auto" w:fill="FFFFFF"/>
        <w:spacing w:before="120" w:after="60"/>
        <w:rPr>
          <w:sz w:val="22"/>
          <w:szCs w:val="22"/>
        </w:rPr>
      </w:pPr>
      <w:r w:rsidRPr="003A696F">
        <w:rPr>
          <w:b/>
          <w:bCs/>
          <w:sz w:val="22"/>
          <w:szCs w:val="22"/>
        </w:rPr>
        <w:t>Identity cards</w:t>
      </w:r>
    </w:p>
    <w:p w14:paraId="0FD61DAD" w14:textId="77777777" w:rsidR="002C016D" w:rsidRPr="003A696F" w:rsidRDefault="00A6708C" w:rsidP="003A696F">
      <w:pPr>
        <w:shd w:val="clear" w:color="auto" w:fill="FFFFFF"/>
        <w:spacing w:before="120"/>
        <w:ind w:left="10" w:firstLine="346"/>
        <w:jc w:val="both"/>
        <w:rPr>
          <w:sz w:val="22"/>
          <w:szCs w:val="22"/>
        </w:rPr>
      </w:pPr>
      <w:r w:rsidRPr="003A696F">
        <w:rPr>
          <w:b/>
          <w:bCs/>
          <w:sz w:val="22"/>
          <w:szCs w:val="22"/>
        </w:rPr>
        <w:t xml:space="preserve">14.(1) </w:t>
      </w:r>
      <w:r w:rsidRPr="003A696F">
        <w:rPr>
          <w:sz w:val="22"/>
          <w:szCs w:val="22"/>
        </w:rPr>
        <w:t>The Secretary may cause an identity card to be issued to an authorised person.</w:t>
      </w:r>
    </w:p>
    <w:p w14:paraId="243D4114" w14:textId="77777777" w:rsidR="002C016D" w:rsidRPr="003A696F" w:rsidRDefault="00A6708C" w:rsidP="003A696F">
      <w:pPr>
        <w:shd w:val="clear" w:color="auto" w:fill="FFFFFF"/>
        <w:tabs>
          <w:tab w:val="left" w:pos="720"/>
        </w:tabs>
        <w:spacing w:before="120"/>
        <w:ind w:left="336"/>
        <w:rPr>
          <w:sz w:val="22"/>
          <w:szCs w:val="22"/>
        </w:rPr>
      </w:pPr>
      <w:r w:rsidRPr="003A696F">
        <w:rPr>
          <w:b/>
          <w:bCs/>
          <w:sz w:val="22"/>
          <w:szCs w:val="22"/>
        </w:rPr>
        <w:t>(2)</w:t>
      </w:r>
      <w:r w:rsidRPr="003A696F">
        <w:rPr>
          <w:sz w:val="22"/>
          <w:szCs w:val="22"/>
        </w:rPr>
        <w:tab/>
        <w:t>An identity card must:</w:t>
      </w:r>
    </w:p>
    <w:p w14:paraId="5CF65DD4" w14:textId="77777777" w:rsidR="002C016D" w:rsidRPr="003A696F" w:rsidRDefault="00A6708C" w:rsidP="003A696F">
      <w:pPr>
        <w:numPr>
          <w:ilvl w:val="0"/>
          <w:numId w:val="12"/>
        </w:numPr>
        <w:shd w:val="clear" w:color="auto" w:fill="FFFFFF"/>
        <w:tabs>
          <w:tab w:val="left" w:pos="782"/>
        </w:tabs>
        <w:spacing w:before="120"/>
        <w:ind w:left="782" w:hanging="389"/>
        <w:rPr>
          <w:sz w:val="22"/>
          <w:szCs w:val="22"/>
        </w:rPr>
      </w:pPr>
      <w:r w:rsidRPr="003A696F">
        <w:rPr>
          <w:sz w:val="22"/>
          <w:szCs w:val="22"/>
        </w:rPr>
        <w:t>contain a recent photograph of the authorised person to whom it is issued; and</w:t>
      </w:r>
    </w:p>
    <w:p w14:paraId="727A6561" w14:textId="77777777" w:rsidR="002C016D" w:rsidRPr="003A696F" w:rsidRDefault="00A6708C" w:rsidP="003A696F">
      <w:pPr>
        <w:numPr>
          <w:ilvl w:val="0"/>
          <w:numId w:val="13"/>
        </w:numPr>
        <w:shd w:val="clear" w:color="auto" w:fill="FFFFFF"/>
        <w:tabs>
          <w:tab w:val="left" w:pos="782"/>
        </w:tabs>
        <w:spacing w:before="120"/>
        <w:ind w:left="394"/>
        <w:rPr>
          <w:sz w:val="22"/>
          <w:szCs w:val="22"/>
        </w:rPr>
      </w:pPr>
      <w:r w:rsidRPr="003A696F">
        <w:rPr>
          <w:sz w:val="22"/>
          <w:szCs w:val="22"/>
        </w:rPr>
        <w:t>be in a form approved by the Secretary.</w:t>
      </w:r>
    </w:p>
    <w:p w14:paraId="5C90327F" w14:textId="77777777" w:rsidR="002C016D" w:rsidRPr="003A696F" w:rsidRDefault="00A6708C" w:rsidP="003A696F">
      <w:pPr>
        <w:numPr>
          <w:ilvl w:val="0"/>
          <w:numId w:val="14"/>
        </w:numPr>
        <w:shd w:val="clear" w:color="auto" w:fill="FFFFFF"/>
        <w:tabs>
          <w:tab w:val="left" w:pos="720"/>
        </w:tabs>
        <w:spacing w:before="120"/>
        <w:ind w:firstLine="336"/>
        <w:jc w:val="both"/>
        <w:rPr>
          <w:b/>
          <w:bCs/>
          <w:sz w:val="22"/>
          <w:szCs w:val="22"/>
        </w:rPr>
      </w:pPr>
      <w:r w:rsidRPr="003A696F">
        <w:rPr>
          <w:sz w:val="22"/>
          <w:szCs w:val="22"/>
        </w:rPr>
        <w:t>If an authorised person proposes to enter premises otherwise than in accordance with a warrant issued under subsection 13(2), the authorised person must produce his or her identity card to the occupier of the premises for the occupier</w:t>
      </w:r>
      <w:r w:rsidR="00534E56" w:rsidRPr="003A696F">
        <w:rPr>
          <w:sz w:val="22"/>
          <w:szCs w:val="22"/>
        </w:rPr>
        <w:t>’</w:t>
      </w:r>
      <w:r w:rsidRPr="003A696F">
        <w:rPr>
          <w:sz w:val="22"/>
          <w:szCs w:val="22"/>
        </w:rPr>
        <w:t>s inspection and, if the authorised person fails to do so, the authorised person is not entitled to enter the premises under subsection 12(1).</w:t>
      </w:r>
    </w:p>
    <w:p w14:paraId="22EE2082" w14:textId="77777777" w:rsidR="002C016D" w:rsidRPr="003A696F" w:rsidRDefault="00A6708C" w:rsidP="003A696F">
      <w:pPr>
        <w:numPr>
          <w:ilvl w:val="0"/>
          <w:numId w:val="14"/>
        </w:numPr>
        <w:shd w:val="clear" w:color="auto" w:fill="FFFFFF"/>
        <w:tabs>
          <w:tab w:val="left" w:pos="720"/>
        </w:tabs>
        <w:spacing w:before="120"/>
        <w:ind w:firstLine="336"/>
        <w:jc w:val="both"/>
        <w:rPr>
          <w:b/>
          <w:bCs/>
          <w:sz w:val="22"/>
          <w:szCs w:val="22"/>
        </w:rPr>
      </w:pPr>
      <w:r w:rsidRPr="003A696F">
        <w:rPr>
          <w:sz w:val="22"/>
          <w:szCs w:val="22"/>
        </w:rPr>
        <w:t>If a person to whom an identity card has been issued ceases to be an authorised person, the person must immediately return the identity card to a person designated, in writing, by the Secretary.</w:t>
      </w:r>
    </w:p>
    <w:p w14:paraId="2461E40F" w14:textId="77777777" w:rsidR="002C016D" w:rsidRPr="003A696F" w:rsidRDefault="00A6708C" w:rsidP="003A696F">
      <w:pPr>
        <w:numPr>
          <w:ilvl w:val="0"/>
          <w:numId w:val="14"/>
        </w:numPr>
        <w:shd w:val="clear" w:color="auto" w:fill="FFFFFF"/>
        <w:tabs>
          <w:tab w:val="left" w:pos="720"/>
        </w:tabs>
        <w:spacing w:before="120"/>
        <w:ind w:firstLine="336"/>
        <w:jc w:val="both"/>
        <w:rPr>
          <w:b/>
          <w:bCs/>
          <w:sz w:val="22"/>
          <w:szCs w:val="22"/>
        </w:rPr>
      </w:pPr>
      <w:r w:rsidRPr="003A696F">
        <w:rPr>
          <w:sz w:val="22"/>
          <w:szCs w:val="22"/>
        </w:rPr>
        <w:t>A person who, without reasonable excuse, contravenes subsection (4) is guilty of an offence punishable upon conviction by a fine not exceeding one penalty unit.</w:t>
      </w:r>
    </w:p>
    <w:p w14:paraId="5A76DC34" w14:textId="77777777" w:rsidR="002C016D" w:rsidRPr="003A696F" w:rsidRDefault="00A6708C" w:rsidP="003A696F">
      <w:pPr>
        <w:shd w:val="clear" w:color="auto" w:fill="FFFFFF"/>
        <w:spacing w:before="120" w:after="60"/>
        <w:rPr>
          <w:sz w:val="22"/>
          <w:szCs w:val="22"/>
        </w:rPr>
      </w:pPr>
      <w:r w:rsidRPr="003A696F">
        <w:rPr>
          <w:b/>
          <w:bCs/>
          <w:sz w:val="22"/>
          <w:szCs w:val="22"/>
        </w:rPr>
        <w:t>Delegation by Secretary</w:t>
      </w:r>
    </w:p>
    <w:p w14:paraId="1CEA9F0B" w14:textId="77777777" w:rsidR="002C016D" w:rsidRPr="003A696F" w:rsidRDefault="00A6708C" w:rsidP="003A696F">
      <w:pPr>
        <w:shd w:val="clear" w:color="auto" w:fill="FFFFFF"/>
        <w:spacing w:before="120"/>
        <w:ind w:left="5" w:firstLine="346"/>
        <w:jc w:val="both"/>
        <w:rPr>
          <w:sz w:val="22"/>
          <w:szCs w:val="22"/>
        </w:rPr>
      </w:pPr>
      <w:r w:rsidRPr="003A696F">
        <w:rPr>
          <w:b/>
          <w:bCs/>
          <w:sz w:val="22"/>
          <w:szCs w:val="22"/>
        </w:rPr>
        <w:t xml:space="preserve">15.(1) </w:t>
      </w:r>
      <w:r w:rsidRPr="003A696F">
        <w:rPr>
          <w:sz w:val="22"/>
          <w:szCs w:val="22"/>
        </w:rPr>
        <w:t>The Secretary may delegate, in writing, to a person who holds, or performs the duties of:</w:t>
      </w:r>
    </w:p>
    <w:p w14:paraId="6FE42EE7" w14:textId="77777777" w:rsidR="002C016D" w:rsidRPr="003A696F" w:rsidRDefault="00A6708C" w:rsidP="003A696F">
      <w:pPr>
        <w:numPr>
          <w:ilvl w:val="0"/>
          <w:numId w:val="15"/>
        </w:numPr>
        <w:shd w:val="clear" w:color="auto" w:fill="FFFFFF"/>
        <w:tabs>
          <w:tab w:val="left" w:pos="725"/>
        </w:tabs>
        <w:spacing w:before="120"/>
        <w:ind w:left="341"/>
        <w:rPr>
          <w:sz w:val="22"/>
          <w:szCs w:val="22"/>
        </w:rPr>
      </w:pPr>
      <w:r w:rsidRPr="003A696F">
        <w:rPr>
          <w:sz w:val="22"/>
          <w:szCs w:val="22"/>
        </w:rPr>
        <w:t>a Senior Executive office; or</w:t>
      </w:r>
    </w:p>
    <w:p w14:paraId="1FE83FD1" w14:textId="77777777" w:rsidR="002C016D" w:rsidRPr="003A696F" w:rsidRDefault="00A6708C" w:rsidP="003A696F">
      <w:pPr>
        <w:numPr>
          <w:ilvl w:val="0"/>
          <w:numId w:val="15"/>
        </w:numPr>
        <w:shd w:val="clear" w:color="auto" w:fill="FFFFFF"/>
        <w:tabs>
          <w:tab w:val="left" w:pos="725"/>
        </w:tabs>
        <w:spacing w:before="120"/>
        <w:ind w:left="341"/>
        <w:rPr>
          <w:sz w:val="22"/>
          <w:szCs w:val="22"/>
        </w:rPr>
      </w:pPr>
      <w:r w:rsidRPr="003A696F">
        <w:rPr>
          <w:sz w:val="22"/>
          <w:szCs w:val="22"/>
        </w:rPr>
        <w:t>a Senior Officer Grade A, B or C;</w:t>
      </w:r>
    </w:p>
    <w:p w14:paraId="2BE4FDFB" w14:textId="77777777" w:rsidR="002C016D" w:rsidRPr="003A696F" w:rsidRDefault="00A6708C" w:rsidP="003A696F">
      <w:pPr>
        <w:shd w:val="clear" w:color="auto" w:fill="FFFFFF"/>
        <w:spacing w:before="120"/>
        <w:ind w:left="5"/>
        <w:rPr>
          <w:sz w:val="22"/>
          <w:szCs w:val="22"/>
        </w:rPr>
      </w:pPr>
      <w:r w:rsidRPr="003A696F">
        <w:rPr>
          <w:sz w:val="22"/>
          <w:szCs w:val="22"/>
        </w:rPr>
        <w:t>in the Department, all or any of his or her powers under this Act other than his or her powers under section 11.</w:t>
      </w:r>
    </w:p>
    <w:p w14:paraId="0AF063D9" w14:textId="77777777" w:rsidR="002C016D" w:rsidRPr="003A696F" w:rsidRDefault="00A6708C" w:rsidP="003A696F">
      <w:pPr>
        <w:shd w:val="clear" w:color="auto" w:fill="FFFFFF"/>
        <w:spacing w:before="120"/>
        <w:ind w:firstLine="346"/>
        <w:jc w:val="both"/>
        <w:rPr>
          <w:sz w:val="22"/>
          <w:szCs w:val="22"/>
        </w:rPr>
      </w:pPr>
      <w:r w:rsidRPr="003A696F">
        <w:rPr>
          <w:b/>
          <w:bCs/>
          <w:sz w:val="22"/>
          <w:szCs w:val="22"/>
        </w:rPr>
        <w:t>(2)</w:t>
      </w:r>
      <w:r w:rsidRPr="003A696F">
        <w:rPr>
          <w:sz w:val="22"/>
          <w:szCs w:val="22"/>
        </w:rPr>
        <w:t xml:space="preserve"> A delegate is, in the exercise of a delegated power, subject to the directions of the Secretary.</w:t>
      </w:r>
    </w:p>
    <w:p w14:paraId="43333142" w14:textId="77777777" w:rsidR="002C016D" w:rsidRPr="003A696F" w:rsidRDefault="00A6708C" w:rsidP="003A696F">
      <w:pPr>
        <w:shd w:val="clear" w:color="auto" w:fill="FFFFFF"/>
        <w:spacing w:before="120" w:after="60"/>
        <w:rPr>
          <w:sz w:val="22"/>
          <w:szCs w:val="22"/>
        </w:rPr>
      </w:pPr>
      <w:r w:rsidRPr="003A696F">
        <w:rPr>
          <w:b/>
          <w:bCs/>
          <w:sz w:val="22"/>
          <w:szCs w:val="22"/>
        </w:rPr>
        <w:t>Regulations</w:t>
      </w:r>
    </w:p>
    <w:p w14:paraId="1DF57803" w14:textId="77777777" w:rsidR="002C016D" w:rsidRPr="003A696F" w:rsidRDefault="00A6708C" w:rsidP="003A696F">
      <w:pPr>
        <w:shd w:val="clear" w:color="auto" w:fill="FFFFFF"/>
        <w:spacing w:before="120"/>
        <w:ind w:left="5" w:firstLine="346"/>
        <w:jc w:val="both"/>
        <w:rPr>
          <w:sz w:val="22"/>
          <w:szCs w:val="22"/>
        </w:rPr>
      </w:pPr>
      <w:r w:rsidRPr="003A696F">
        <w:rPr>
          <w:b/>
          <w:bCs/>
          <w:sz w:val="22"/>
          <w:szCs w:val="22"/>
        </w:rPr>
        <w:t xml:space="preserve">16.(1) </w:t>
      </w:r>
      <w:r w:rsidRPr="003A696F">
        <w:rPr>
          <w:sz w:val="22"/>
          <w:szCs w:val="22"/>
        </w:rPr>
        <w:t>The Governor-General may make regulations prescribing matters:</w:t>
      </w:r>
    </w:p>
    <w:p w14:paraId="6D09C60E" w14:textId="77777777" w:rsidR="002C016D" w:rsidRPr="003A696F" w:rsidRDefault="00A6708C" w:rsidP="003A696F">
      <w:pPr>
        <w:numPr>
          <w:ilvl w:val="0"/>
          <w:numId w:val="16"/>
        </w:numPr>
        <w:shd w:val="clear" w:color="auto" w:fill="FFFFFF"/>
        <w:tabs>
          <w:tab w:val="left" w:pos="778"/>
        </w:tabs>
        <w:spacing w:before="120"/>
        <w:ind w:left="389"/>
        <w:rPr>
          <w:sz w:val="22"/>
          <w:szCs w:val="22"/>
        </w:rPr>
      </w:pPr>
      <w:r w:rsidRPr="003A696F">
        <w:rPr>
          <w:sz w:val="22"/>
          <w:szCs w:val="22"/>
        </w:rPr>
        <w:t>required or permitted by this Act to be prescribed; or</w:t>
      </w:r>
    </w:p>
    <w:p w14:paraId="2B00056B" w14:textId="77777777" w:rsidR="002C016D" w:rsidRPr="003A696F" w:rsidRDefault="00A6708C" w:rsidP="003A696F">
      <w:pPr>
        <w:numPr>
          <w:ilvl w:val="0"/>
          <w:numId w:val="16"/>
        </w:numPr>
        <w:shd w:val="clear" w:color="auto" w:fill="FFFFFF"/>
        <w:tabs>
          <w:tab w:val="left" w:pos="778"/>
        </w:tabs>
        <w:spacing w:before="120"/>
        <w:ind w:left="778" w:hanging="389"/>
        <w:rPr>
          <w:sz w:val="22"/>
          <w:szCs w:val="22"/>
        </w:rPr>
      </w:pPr>
      <w:r w:rsidRPr="003A696F">
        <w:rPr>
          <w:sz w:val="22"/>
          <w:szCs w:val="22"/>
        </w:rPr>
        <w:t>necessary or convenient to be prescribed for carrying out or giving effect to this Act or for facilitating the collection or</w:t>
      </w:r>
    </w:p>
    <w:p w14:paraId="3ADC96F0" w14:textId="77777777" w:rsidR="002C016D" w:rsidRPr="003A696F" w:rsidRDefault="002C016D" w:rsidP="003A696F">
      <w:pPr>
        <w:numPr>
          <w:ilvl w:val="0"/>
          <w:numId w:val="16"/>
        </w:numPr>
        <w:shd w:val="clear" w:color="auto" w:fill="FFFFFF"/>
        <w:tabs>
          <w:tab w:val="left" w:pos="778"/>
        </w:tabs>
        <w:spacing w:before="120"/>
        <w:ind w:left="778" w:hanging="389"/>
        <w:rPr>
          <w:sz w:val="22"/>
          <w:szCs w:val="22"/>
        </w:rPr>
        <w:sectPr w:rsidR="002C016D" w:rsidRPr="003A696F" w:rsidSect="009D1A85">
          <w:pgSz w:w="12240" w:h="15840" w:code="1"/>
          <w:pgMar w:top="1440" w:right="1440" w:bottom="1440" w:left="1440" w:header="720" w:footer="720" w:gutter="0"/>
          <w:cols w:space="60"/>
          <w:noEndnote/>
        </w:sectPr>
      </w:pPr>
    </w:p>
    <w:p w14:paraId="3B975073" w14:textId="77777777" w:rsidR="002C016D" w:rsidRPr="003A696F" w:rsidRDefault="00A6708C" w:rsidP="003A696F">
      <w:pPr>
        <w:shd w:val="clear" w:color="auto" w:fill="FFFFFF"/>
        <w:spacing w:before="120"/>
        <w:ind w:left="787"/>
        <w:jc w:val="both"/>
        <w:rPr>
          <w:sz w:val="22"/>
          <w:szCs w:val="22"/>
        </w:rPr>
      </w:pPr>
      <w:r w:rsidRPr="003A696F">
        <w:rPr>
          <w:sz w:val="22"/>
          <w:szCs w:val="22"/>
        </w:rPr>
        <w:lastRenderedPageBreak/>
        <w:t>recovery of amounts of levy payable to the Commonwealth under section 8.</w:t>
      </w:r>
    </w:p>
    <w:p w14:paraId="36F62EC2" w14:textId="77777777" w:rsidR="002C016D" w:rsidRPr="003A696F" w:rsidRDefault="00A6708C" w:rsidP="003A696F">
      <w:pPr>
        <w:shd w:val="clear" w:color="auto" w:fill="FFFFFF"/>
        <w:spacing w:before="120"/>
        <w:ind w:firstLine="346"/>
        <w:rPr>
          <w:sz w:val="22"/>
          <w:szCs w:val="22"/>
        </w:rPr>
      </w:pPr>
      <w:r w:rsidRPr="003A696F">
        <w:rPr>
          <w:b/>
          <w:bCs/>
          <w:sz w:val="22"/>
          <w:szCs w:val="22"/>
        </w:rPr>
        <w:t>(2)</w:t>
      </w:r>
      <w:r w:rsidRPr="003A696F">
        <w:rPr>
          <w:sz w:val="22"/>
          <w:szCs w:val="22"/>
        </w:rPr>
        <w:t xml:space="preserve"> The matters that may be prescribed under subsection (1) include but are not limited to:</w:t>
      </w:r>
    </w:p>
    <w:p w14:paraId="1D6CA04C" w14:textId="77777777" w:rsidR="002C016D" w:rsidRPr="003A696F" w:rsidRDefault="00A6708C" w:rsidP="003A696F">
      <w:pPr>
        <w:numPr>
          <w:ilvl w:val="0"/>
          <w:numId w:val="17"/>
        </w:numPr>
        <w:shd w:val="clear" w:color="auto" w:fill="FFFFFF"/>
        <w:tabs>
          <w:tab w:val="left" w:pos="787"/>
        </w:tabs>
        <w:spacing w:before="120"/>
        <w:ind w:left="787" w:hanging="403"/>
        <w:jc w:val="both"/>
        <w:rPr>
          <w:sz w:val="22"/>
          <w:szCs w:val="22"/>
        </w:rPr>
      </w:pPr>
      <w:r w:rsidRPr="003A696F">
        <w:rPr>
          <w:sz w:val="22"/>
          <w:szCs w:val="22"/>
        </w:rPr>
        <w:t>providing for the manner of payment of levy to the Commonwealth under section 8; and</w:t>
      </w:r>
    </w:p>
    <w:p w14:paraId="6B4E3296" w14:textId="77777777" w:rsidR="002C016D" w:rsidRPr="003A696F" w:rsidRDefault="00A6708C" w:rsidP="003A696F">
      <w:pPr>
        <w:numPr>
          <w:ilvl w:val="0"/>
          <w:numId w:val="17"/>
        </w:numPr>
        <w:shd w:val="clear" w:color="auto" w:fill="FFFFFF"/>
        <w:tabs>
          <w:tab w:val="left" w:pos="787"/>
        </w:tabs>
        <w:spacing w:before="120"/>
        <w:ind w:left="384"/>
        <w:rPr>
          <w:sz w:val="22"/>
          <w:szCs w:val="22"/>
        </w:rPr>
      </w:pPr>
      <w:r w:rsidRPr="003A696F">
        <w:rPr>
          <w:sz w:val="22"/>
          <w:szCs w:val="22"/>
        </w:rPr>
        <w:t>providing for the repayment of overpayments; and</w:t>
      </w:r>
    </w:p>
    <w:p w14:paraId="31F7A06D" w14:textId="77777777" w:rsidR="002C016D" w:rsidRPr="003A696F" w:rsidRDefault="00A6708C" w:rsidP="003A696F">
      <w:pPr>
        <w:numPr>
          <w:ilvl w:val="0"/>
          <w:numId w:val="17"/>
        </w:numPr>
        <w:shd w:val="clear" w:color="auto" w:fill="FFFFFF"/>
        <w:tabs>
          <w:tab w:val="left" w:pos="787"/>
        </w:tabs>
        <w:spacing w:before="120"/>
        <w:ind w:left="787" w:hanging="403"/>
        <w:jc w:val="both"/>
        <w:rPr>
          <w:sz w:val="22"/>
          <w:szCs w:val="22"/>
        </w:rPr>
      </w:pPr>
      <w:r w:rsidRPr="003A696F">
        <w:rPr>
          <w:sz w:val="22"/>
          <w:szCs w:val="22"/>
        </w:rPr>
        <w:t>requiring employers to keep records relating to seafarer berths on prescribed ships; and</w:t>
      </w:r>
    </w:p>
    <w:p w14:paraId="03D239DD" w14:textId="77777777" w:rsidR="002C016D" w:rsidRPr="003A696F" w:rsidRDefault="00A6708C" w:rsidP="003A696F">
      <w:pPr>
        <w:numPr>
          <w:ilvl w:val="0"/>
          <w:numId w:val="17"/>
        </w:numPr>
        <w:shd w:val="clear" w:color="auto" w:fill="FFFFFF"/>
        <w:tabs>
          <w:tab w:val="left" w:pos="787"/>
        </w:tabs>
        <w:spacing w:before="120"/>
        <w:ind w:left="787" w:hanging="403"/>
        <w:jc w:val="both"/>
        <w:rPr>
          <w:sz w:val="22"/>
          <w:szCs w:val="22"/>
        </w:rPr>
      </w:pPr>
      <w:r w:rsidRPr="003A696F">
        <w:rPr>
          <w:sz w:val="22"/>
          <w:szCs w:val="22"/>
        </w:rPr>
        <w:t>requiring employers to give information relating to seafarer berths on prescribed ships to such persons as are prescribed; and</w:t>
      </w:r>
    </w:p>
    <w:p w14:paraId="3302729B" w14:textId="77777777" w:rsidR="002C016D" w:rsidRPr="003A696F" w:rsidRDefault="00A6708C" w:rsidP="003A696F">
      <w:pPr>
        <w:numPr>
          <w:ilvl w:val="0"/>
          <w:numId w:val="17"/>
        </w:numPr>
        <w:shd w:val="clear" w:color="auto" w:fill="FFFFFF"/>
        <w:tabs>
          <w:tab w:val="left" w:pos="787"/>
        </w:tabs>
        <w:spacing w:before="120"/>
        <w:ind w:left="384"/>
        <w:rPr>
          <w:sz w:val="22"/>
          <w:szCs w:val="22"/>
        </w:rPr>
      </w:pPr>
      <w:r w:rsidRPr="003A696F">
        <w:rPr>
          <w:sz w:val="22"/>
          <w:szCs w:val="22"/>
        </w:rPr>
        <w:t>the form of warrant for the purposes of section 13; and</w:t>
      </w:r>
    </w:p>
    <w:p w14:paraId="7FF37B4C" w14:textId="77777777" w:rsidR="002C016D" w:rsidRPr="003A696F" w:rsidRDefault="00157CCD" w:rsidP="003A696F">
      <w:pPr>
        <w:shd w:val="clear" w:color="auto" w:fill="FFFFFF"/>
        <w:spacing w:before="120" w:after="600"/>
        <w:ind w:left="807" w:hanging="346"/>
        <w:jc w:val="both"/>
        <w:rPr>
          <w:sz w:val="22"/>
          <w:szCs w:val="22"/>
        </w:rPr>
      </w:pPr>
      <w:r w:rsidRPr="003A696F">
        <w:rPr>
          <w:noProof/>
          <w:sz w:val="22"/>
          <w:szCs w:val="22"/>
          <w:lang w:val="en-AU" w:eastAsia="en-AU"/>
        </w:rPr>
        <mc:AlternateContent>
          <mc:Choice Requires="wps">
            <w:drawing>
              <wp:anchor distT="0" distB="0" distL="114300" distR="114300" simplePos="0" relativeHeight="251661312" behindDoc="0" locked="0" layoutInCell="1" allowOverlap="1" wp14:anchorId="3730EFB1" wp14:editId="6B682AF8">
                <wp:simplePos x="0" y="0"/>
                <wp:positionH relativeFrom="column">
                  <wp:posOffset>-103368</wp:posOffset>
                </wp:positionH>
                <wp:positionV relativeFrom="paragraph">
                  <wp:posOffset>479287</wp:posOffset>
                </wp:positionV>
                <wp:extent cx="6074797"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0747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2937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5pt,37.75pt" to="470.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" strokecolor="black [3040]"/>
            </w:pict>
          </mc:Fallback>
        </mc:AlternateContent>
      </w:r>
      <w:r w:rsidR="00A6708C" w:rsidRPr="003A696F">
        <w:rPr>
          <w:sz w:val="22"/>
          <w:szCs w:val="22"/>
        </w:rPr>
        <w:t>(</w:t>
      </w:r>
      <w:r w:rsidR="009D1A85" w:rsidRPr="003A696F">
        <w:rPr>
          <w:sz w:val="22"/>
          <w:szCs w:val="22"/>
        </w:rPr>
        <w:t>f)</w:t>
      </w:r>
      <w:r w:rsidR="009D1A85" w:rsidRPr="003A696F">
        <w:rPr>
          <w:sz w:val="22"/>
          <w:szCs w:val="22"/>
        </w:rPr>
        <w:tab/>
      </w:r>
      <w:r w:rsidR="00A6708C" w:rsidRPr="003A696F">
        <w:rPr>
          <w:sz w:val="22"/>
          <w:szCs w:val="22"/>
        </w:rPr>
        <w:t>penalties, not exceeding 10 penalty units, for offences against the regulations.</w:t>
      </w:r>
    </w:p>
    <w:p w14:paraId="3ACE0E64" w14:textId="298212CD" w:rsidR="002C016D" w:rsidRPr="003A696F" w:rsidRDefault="00A6708C" w:rsidP="003A696F">
      <w:pPr>
        <w:shd w:val="clear" w:color="auto" w:fill="FFFFFF"/>
        <w:spacing w:before="120"/>
        <w:ind w:left="10"/>
        <w:rPr>
          <w:szCs w:val="22"/>
        </w:rPr>
      </w:pPr>
      <w:r w:rsidRPr="00AD3DBA">
        <w:rPr>
          <w:iCs/>
          <w:szCs w:val="22"/>
        </w:rPr>
        <w:t>[</w:t>
      </w:r>
      <w:r w:rsidRPr="003A696F">
        <w:rPr>
          <w:i/>
          <w:iCs/>
          <w:szCs w:val="22"/>
        </w:rPr>
        <w:t>Minister</w:t>
      </w:r>
      <w:r w:rsidR="00534E56" w:rsidRPr="003A696F">
        <w:rPr>
          <w:i/>
          <w:iCs/>
          <w:szCs w:val="22"/>
        </w:rPr>
        <w:t>’</w:t>
      </w:r>
      <w:r w:rsidRPr="003A696F">
        <w:rPr>
          <w:i/>
          <w:iCs/>
          <w:szCs w:val="22"/>
        </w:rPr>
        <w:t>s second reading speech made in</w:t>
      </w:r>
      <w:r w:rsidRPr="003A696F">
        <w:rPr>
          <w:rFonts w:eastAsia="Times New Roman"/>
          <w:szCs w:val="22"/>
        </w:rPr>
        <w:t>—</w:t>
      </w:r>
    </w:p>
    <w:p w14:paraId="0E0AEEDE" w14:textId="77777777" w:rsidR="002C016D" w:rsidRPr="003A696F" w:rsidRDefault="00A6708C" w:rsidP="003A696F">
      <w:pPr>
        <w:shd w:val="clear" w:color="auto" w:fill="FFFFFF"/>
        <w:ind w:left="763"/>
        <w:rPr>
          <w:szCs w:val="22"/>
        </w:rPr>
      </w:pPr>
      <w:r w:rsidRPr="003A696F">
        <w:rPr>
          <w:i/>
          <w:iCs/>
          <w:szCs w:val="22"/>
        </w:rPr>
        <w:t>House of Representatives on 14 October 1992</w:t>
      </w:r>
    </w:p>
    <w:p w14:paraId="547A7AA3" w14:textId="70A52EFC" w:rsidR="00A6708C" w:rsidRPr="003A696F" w:rsidRDefault="00A6708C" w:rsidP="003A696F">
      <w:pPr>
        <w:shd w:val="clear" w:color="auto" w:fill="FFFFFF"/>
        <w:ind w:left="763"/>
        <w:rPr>
          <w:szCs w:val="22"/>
        </w:rPr>
      </w:pPr>
      <w:r w:rsidRPr="003A696F">
        <w:rPr>
          <w:i/>
          <w:iCs/>
          <w:szCs w:val="22"/>
        </w:rPr>
        <w:t>Senate on 5 November 1992</w:t>
      </w:r>
      <w:r w:rsidRPr="00AD3DBA">
        <w:rPr>
          <w:iCs/>
          <w:szCs w:val="22"/>
        </w:rPr>
        <w:t>]</w:t>
      </w:r>
    </w:p>
    <w:sectPr w:rsidR="00A6708C" w:rsidRPr="003A696F" w:rsidSect="009D1A85">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5AFE9" w15:done="0"/>
  <w15:commentEx w15:paraId="05BE357B" w15:done="0"/>
  <w15:commentEx w15:paraId="05694AD5" w15:done="0"/>
  <w15:commentEx w15:paraId="3B0E882B" w15:done="0"/>
  <w15:commentEx w15:paraId="543968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5AFE9" w16cid:durableId="20ED6A77"/>
  <w16cid:commentId w16cid:paraId="05BE357B" w16cid:durableId="20ED6A84"/>
  <w16cid:commentId w16cid:paraId="05694AD5" w16cid:durableId="20ED6A8E"/>
  <w16cid:commentId w16cid:paraId="3B0E882B" w16cid:durableId="20ED6AE7"/>
  <w16cid:commentId w16cid:paraId="5439683D" w16cid:durableId="20ED6A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8407D" w14:textId="77777777" w:rsidR="00364B57" w:rsidRDefault="00364B57" w:rsidP="00BE04AC">
      <w:r>
        <w:separator/>
      </w:r>
    </w:p>
  </w:endnote>
  <w:endnote w:type="continuationSeparator" w:id="0">
    <w:p w14:paraId="5147FFD5" w14:textId="77777777" w:rsidR="00364B57" w:rsidRDefault="00364B57" w:rsidP="00BE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CE792" w14:textId="77777777" w:rsidR="006A4AEC" w:rsidRDefault="006A4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FCE62" w14:textId="77777777" w:rsidR="006A4AEC" w:rsidRDefault="006A4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109B" w14:textId="77777777" w:rsidR="006A4AEC" w:rsidRDefault="006A4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10257" w14:textId="77777777" w:rsidR="00364B57" w:rsidRDefault="00364B57" w:rsidP="00BE04AC">
      <w:r>
        <w:separator/>
      </w:r>
    </w:p>
  </w:footnote>
  <w:footnote w:type="continuationSeparator" w:id="0">
    <w:p w14:paraId="3C2ED45C" w14:textId="77777777" w:rsidR="00364B57" w:rsidRDefault="00364B57" w:rsidP="00BE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3D135" w14:textId="77777777" w:rsidR="006A4AEC" w:rsidRDefault="006A4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AE1B" w14:textId="77777777" w:rsidR="00BE04AC" w:rsidRPr="00BE04AC" w:rsidRDefault="00BE04AC" w:rsidP="00BE04AC">
    <w:pPr>
      <w:widowControl/>
      <w:jc w:val="center"/>
      <w:rPr>
        <w:i/>
        <w:iCs/>
        <w:sz w:val="22"/>
        <w:szCs w:val="24"/>
      </w:rPr>
    </w:pPr>
    <w:r w:rsidRPr="00BE04AC">
      <w:rPr>
        <w:i/>
        <w:iCs/>
        <w:sz w:val="22"/>
        <w:szCs w:val="24"/>
      </w:rPr>
      <w:t>Seafarers Rehabilitation and Compensation</w:t>
    </w:r>
  </w:p>
  <w:p w14:paraId="626400AC" w14:textId="77777777" w:rsidR="00BE04AC" w:rsidRPr="00BE04AC" w:rsidRDefault="00BE04AC" w:rsidP="006A4AEC">
    <w:pPr>
      <w:pStyle w:val="Header"/>
      <w:tabs>
        <w:tab w:val="left" w:pos="1620"/>
      </w:tabs>
      <w:jc w:val="center"/>
      <w:rPr>
        <w:sz w:val="22"/>
      </w:rPr>
    </w:pPr>
    <w:r w:rsidRPr="00BE04AC">
      <w:rPr>
        <w:i/>
        <w:iCs/>
        <w:sz w:val="22"/>
        <w:szCs w:val="24"/>
      </w:rPr>
      <w:t>Levy Collection</w:t>
    </w:r>
    <w:r w:rsidR="006A4AEC">
      <w:rPr>
        <w:i/>
        <w:iCs/>
        <w:sz w:val="22"/>
        <w:szCs w:val="24"/>
      </w:rPr>
      <w:tab/>
    </w:r>
    <w:r w:rsidRPr="00BE04AC">
      <w:rPr>
        <w:i/>
        <w:iCs/>
        <w:sz w:val="22"/>
        <w:szCs w:val="24"/>
      </w:rPr>
      <w:t>No. 232,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63DA" w14:textId="77777777" w:rsidR="006A4AEC" w:rsidRDefault="006A4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49D7"/>
    <w:multiLevelType w:val="singleLevel"/>
    <w:tmpl w:val="CD9EA578"/>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26960D3C"/>
    <w:multiLevelType w:val="singleLevel"/>
    <w:tmpl w:val="CD9EA578"/>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289F1023"/>
    <w:multiLevelType w:val="singleLevel"/>
    <w:tmpl w:val="67F0F6F8"/>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32007376"/>
    <w:multiLevelType w:val="singleLevel"/>
    <w:tmpl w:val="79E23F6C"/>
    <w:lvl w:ilvl="0">
      <w:start w:val="3"/>
      <w:numFmt w:val="decimal"/>
      <w:lvlText w:val="(%1)"/>
      <w:legacy w:legacy="1" w:legacySpace="0" w:legacyIndent="384"/>
      <w:lvlJc w:val="left"/>
      <w:rPr>
        <w:rFonts w:ascii="Times New Roman" w:hAnsi="Times New Roman" w:cs="Times New Roman" w:hint="default"/>
      </w:rPr>
    </w:lvl>
  </w:abstractNum>
  <w:abstractNum w:abstractNumId="4">
    <w:nsid w:val="3390542C"/>
    <w:multiLevelType w:val="singleLevel"/>
    <w:tmpl w:val="67F0F6F8"/>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34990802"/>
    <w:multiLevelType w:val="singleLevel"/>
    <w:tmpl w:val="DF66EDAA"/>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45366939"/>
    <w:multiLevelType w:val="singleLevel"/>
    <w:tmpl w:val="67F0F6F8"/>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4EA31A4E"/>
    <w:multiLevelType w:val="singleLevel"/>
    <w:tmpl w:val="CD9EA578"/>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514808E4"/>
    <w:multiLevelType w:val="singleLevel"/>
    <w:tmpl w:val="82B49204"/>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5DBB1322"/>
    <w:multiLevelType w:val="singleLevel"/>
    <w:tmpl w:val="67F0F6F8"/>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5FB56A48"/>
    <w:multiLevelType w:val="singleLevel"/>
    <w:tmpl w:val="67F0F6F8"/>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67D23A2E"/>
    <w:multiLevelType w:val="singleLevel"/>
    <w:tmpl w:val="67F0F6F8"/>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6FCA7104"/>
    <w:multiLevelType w:val="singleLevel"/>
    <w:tmpl w:val="CD9EA578"/>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7F9E22D4"/>
    <w:multiLevelType w:val="singleLevel"/>
    <w:tmpl w:val="CD9EA578"/>
    <w:lvl w:ilvl="0">
      <w:start w:val="1"/>
      <w:numFmt w:val="lowerLetter"/>
      <w:lvlText w:val="(%1)"/>
      <w:legacy w:legacy="1" w:legacySpace="0" w:legacyIndent="389"/>
      <w:lvlJc w:val="left"/>
      <w:rPr>
        <w:rFonts w:ascii="Times New Roman" w:hAnsi="Times New Roman" w:cs="Times New Roman" w:hint="default"/>
      </w:rPr>
    </w:lvl>
  </w:abstractNum>
  <w:num w:numId="1">
    <w:abstractNumId w:val="9"/>
  </w:num>
  <w:num w:numId="2">
    <w:abstractNumId w:val="9"/>
    <w:lvlOverride w:ilvl="0">
      <w:lvl w:ilvl="0">
        <w:start w:val="1"/>
        <w:numFmt w:val="lowerLetter"/>
        <w:lvlText w:val="(%1)"/>
        <w:legacy w:legacy="1" w:legacySpace="0" w:legacyIndent="394"/>
        <w:lvlJc w:val="left"/>
        <w:rPr>
          <w:rFonts w:ascii="Times New Roman" w:hAnsi="Times New Roman" w:cs="Times New Roman" w:hint="default"/>
        </w:rPr>
      </w:lvl>
    </w:lvlOverride>
  </w:num>
  <w:num w:numId="3">
    <w:abstractNumId w:val="7"/>
  </w:num>
  <w:num w:numId="4">
    <w:abstractNumId w:val="4"/>
  </w:num>
  <w:num w:numId="5">
    <w:abstractNumId w:val="1"/>
  </w:num>
  <w:num w:numId="6">
    <w:abstractNumId w:val="6"/>
  </w:num>
  <w:num w:numId="7">
    <w:abstractNumId w:val="2"/>
  </w:num>
  <w:num w:numId="8">
    <w:abstractNumId w:val="10"/>
  </w:num>
  <w:num w:numId="9">
    <w:abstractNumId w:val="11"/>
  </w:num>
  <w:num w:numId="10">
    <w:abstractNumId w:val="12"/>
  </w:num>
  <w:num w:numId="11">
    <w:abstractNumId w:val="12"/>
    <w:lvlOverride w:ilvl="0">
      <w:lvl w:ilvl="0">
        <w:start w:val="4"/>
        <w:numFmt w:val="lowerLetter"/>
        <w:lvlText w:val="(%1)"/>
        <w:legacy w:legacy="1" w:legacySpace="0" w:legacyIndent="394"/>
        <w:lvlJc w:val="left"/>
        <w:rPr>
          <w:rFonts w:ascii="Times New Roman" w:hAnsi="Times New Roman" w:cs="Times New Roman" w:hint="default"/>
        </w:rPr>
      </w:lvl>
    </w:lvlOverride>
  </w:num>
  <w:num w:numId="12">
    <w:abstractNumId w:val="13"/>
  </w:num>
  <w:num w:numId="13">
    <w:abstractNumId w:val="13"/>
    <w:lvlOverride w:ilvl="0">
      <w:lvl w:ilvl="0">
        <w:start w:val="1"/>
        <w:numFmt w:val="lowerLetter"/>
        <w:lvlText w:val="(%1)"/>
        <w:legacy w:legacy="1" w:legacySpace="0" w:legacyIndent="388"/>
        <w:lvlJc w:val="left"/>
        <w:rPr>
          <w:rFonts w:ascii="Times New Roman" w:hAnsi="Times New Roman" w:cs="Times New Roman" w:hint="default"/>
        </w:rPr>
      </w:lvl>
    </w:lvlOverride>
  </w:num>
  <w:num w:numId="14">
    <w:abstractNumId w:val="3"/>
  </w:num>
  <w:num w:numId="15">
    <w:abstractNumId w:val="8"/>
  </w:num>
  <w:num w:numId="16">
    <w:abstractNumId w:val="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0F"/>
    <w:rsid w:val="00066DBC"/>
    <w:rsid w:val="00157CCD"/>
    <w:rsid w:val="001766DC"/>
    <w:rsid w:val="002C016D"/>
    <w:rsid w:val="00364B57"/>
    <w:rsid w:val="003A696F"/>
    <w:rsid w:val="003D1443"/>
    <w:rsid w:val="003D6A6F"/>
    <w:rsid w:val="0040470F"/>
    <w:rsid w:val="00534E56"/>
    <w:rsid w:val="006A4AEC"/>
    <w:rsid w:val="008A2B9C"/>
    <w:rsid w:val="008C7D3F"/>
    <w:rsid w:val="009D1A85"/>
    <w:rsid w:val="00A6708C"/>
    <w:rsid w:val="00AB3A08"/>
    <w:rsid w:val="00AD3DBA"/>
    <w:rsid w:val="00BE04AC"/>
    <w:rsid w:val="00C21508"/>
    <w:rsid w:val="00DF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D33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A85"/>
    <w:rPr>
      <w:rFonts w:ascii="Tahoma" w:hAnsi="Tahoma" w:cs="Tahoma"/>
      <w:sz w:val="16"/>
      <w:szCs w:val="16"/>
    </w:rPr>
  </w:style>
  <w:style w:type="character" w:customStyle="1" w:styleId="BalloonTextChar">
    <w:name w:val="Balloon Text Char"/>
    <w:basedOn w:val="DefaultParagraphFont"/>
    <w:link w:val="BalloonText"/>
    <w:uiPriority w:val="99"/>
    <w:semiHidden/>
    <w:rsid w:val="009D1A85"/>
    <w:rPr>
      <w:rFonts w:ascii="Tahoma" w:hAnsi="Tahoma" w:cs="Tahoma"/>
      <w:sz w:val="16"/>
      <w:szCs w:val="16"/>
    </w:rPr>
  </w:style>
  <w:style w:type="paragraph" w:styleId="ListParagraph">
    <w:name w:val="List Paragraph"/>
    <w:basedOn w:val="Normal"/>
    <w:uiPriority w:val="34"/>
    <w:qFormat/>
    <w:rsid w:val="009D1A85"/>
    <w:pPr>
      <w:ind w:left="720"/>
      <w:contextualSpacing/>
    </w:pPr>
  </w:style>
  <w:style w:type="paragraph" w:styleId="Header">
    <w:name w:val="header"/>
    <w:basedOn w:val="Normal"/>
    <w:link w:val="HeaderChar"/>
    <w:uiPriority w:val="99"/>
    <w:unhideWhenUsed/>
    <w:rsid w:val="00BE04AC"/>
    <w:pPr>
      <w:tabs>
        <w:tab w:val="center" w:pos="4680"/>
        <w:tab w:val="right" w:pos="9360"/>
      </w:tabs>
    </w:pPr>
  </w:style>
  <w:style w:type="character" w:customStyle="1" w:styleId="HeaderChar">
    <w:name w:val="Header Char"/>
    <w:basedOn w:val="DefaultParagraphFont"/>
    <w:link w:val="Header"/>
    <w:uiPriority w:val="99"/>
    <w:rsid w:val="00BE04AC"/>
    <w:rPr>
      <w:rFonts w:ascii="Times New Roman" w:hAnsi="Times New Roman" w:cs="Times New Roman"/>
      <w:sz w:val="20"/>
      <w:szCs w:val="20"/>
    </w:rPr>
  </w:style>
  <w:style w:type="paragraph" w:styleId="Footer">
    <w:name w:val="footer"/>
    <w:basedOn w:val="Normal"/>
    <w:link w:val="FooterChar"/>
    <w:uiPriority w:val="99"/>
    <w:unhideWhenUsed/>
    <w:rsid w:val="00BE04AC"/>
    <w:pPr>
      <w:tabs>
        <w:tab w:val="center" w:pos="4680"/>
        <w:tab w:val="right" w:pos="9360"/>
      </w:tabs>
    </w:pPr>
  </w:style>
  <w:style w:type="character" w:customStyle="1" w:styleId="FooterChar">
    <w:name w:val="Footer Char"/>
    <w:basedOn w:val="DefaultParagraphFont"/>
    <w:link w:val="Footer"/>
    <w:uiPriority w:val="99"/>
    <w:rsid w:val="00BE04AC"/>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F0C32"/>
    <w:rPr>
      <w:sz w:val="16"/>
      <w:szCs w:val="16"/>
    </w:rPr>
  </w:style>
  <w:style w:type="paragraph" w:styleId="CommentText">
    <w:name w:val="annotation text"/>
    <w:basedOn w:val="Normal"/>
    <w:link w:val="CommentTextChar"/>
    <w:uiPriority w:val="99"/>
    <w:semiHidden/>
    <w:unhideWhenUsed/>
    <w:rsid w:val="00DF0C32"/>
  </w:style>
  <w:style w:type="character" w:customStyle="1" w:styleId="CommentTextChar">
    <w:name w:val="Comment Text Char"/>
    <w:basedOn w:val="DefaultParagraphFont"/>
    <w:link w:val="CommentText"/>
    <w:uiPriority w:val="99"/>
    <w:semiHidden/>
    <w:rsid w:val="00DF0C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C32"/>
    <w:rPr>
      <w:b/>
      <w:bCs/>
    </w:rPr>
  </w:style>
  <w:style w:type="character" w:customStyle="1" w:styleId="CommentSubjectChar">
    <w:name w:val="Comment Subject Char"/>
    <w:basedOn w:val="CommentTextChar"/>
    <w:link w:val="CommentSubject"/>
    <w:uiPriority w:val="99"/>
    <w:semiHidden/>
    <w:rsid w:val="00DF0C32"/>
    <w:rPr>
      <w:rFonts w:ascii="Times New Roman" w:hAnsi="Times New Roman" w:cs="Times New Roman"/>
      <w:b/>
      <w:bCs/>
      <w:sz w:val="20"/>
      <w:szCs w:val="20"/>
    </w:rPr>
  </w:style>
  <w:style w:type="paragraph" w:styleId="Revision">
    <w:name w:val="Revision"/>
    <w:hidden/>
    <w:uiPriority w:val="99"/>
    <w:semiHidden/>
    <w:rsid w:val="00AD3DBA"/>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A85"/>
    <w:rPr>
      <w:rFonts w:ascii="Tahoma" w:hAnsi="Tahoma" w:cs="Tahoma"/>
      <w:sz w:val="16"/>
      <w:szCs w:val="16"/>
    </w:rPr>
  </w:style>
  <w:style w:type="character" w:customStyle="1" w:styleId="BalloonTextChar">
    <w:name w:val="Balloon Text Char"/>
    <w:basedOn w:val="DefaultParagraphFont"/>
    <w:link w:val="BalloonText"/>
    <w:uiPriority w:val="99"/>
    <w:semiHidden/>
    <w:rsid w:val="009D1A85"/>
    <w:rPr>
      <w:rFonts w:ascii="Tahoma" w:hAnsi="Tahoma" w:cs="Tahoma"/>
      <w:sz w:val="16"/>
      <w:szCs w:val="16"/>
    </w:rPr>
  </w:style>
  <w:style w:type="paragraph" w:styleId="ListParagraph">
    <w:name w:val="List Paragraph"/>
    <w:basedOn w:val="Normal"/>
    <w:uiPriority w:val="34"/>
    <w:qFormat/>
    <w:rsid w:val="009D1A85"/>
    <w:pPr>
      <w:ind w:left="720"/>
      <w:contextualSpacing/>
    </w:pPr>
  </w:style>
  <w:style w:type="paragraph" w:styleId="Header">
    <w:name w:val="header"/>
    <w:basedOn w:val="Normal"/>
    <w:link w:val="HeaderChar"/>
    <w:uiPriority w:val="99"/>
    <w:unhideWhenUsed/>
    <w:rsid w:val="00BE04AC"/>
    <w:pPr>
      <w:tabs>
        <w:tab w:val="center" w:pos="4680"/>
        <w:tab w:val="right" w:pos="9360"/>
      </w:tabs>
    </w:pPr>
  </w:style>
  <w:style w:type="character" w:customStyle="1" w:styleId="HeaderChar">
    <w:name w:val="Header Char"/>
    <w:basedOn w:val="DefaultParagraphFont"/>
    <w:link w:val="Header"/>
    <w:uiPriority w:val="99"/>
    <w:rsid w:val="00BE04AC"/>
    <w:rPr>
      <w:rFonts w:ascii="Times New Roman" w:hAnsi="Times New Roman" w:cs="Times New Roman"/>
      <w:sz w:val="20"/>
      <w:szCs w:val="20"/>
    </w:rPr>
  </w:style>
  <w:style w:type="paragraph" w:styleId="Footer">
    <w:name w:val="footer"/>
    <w:basedOn w:val="Normal"/>
    <w:link w:val="FooterChar"/>
    <w:uiPriority w:val="99"/>
    <w:unhideWhenUsed/>
    <w:rsid w:val="00BE04AC"/>
    <w:pPr>
      <w:tabs>
        <w:tab w:val="center" w:pos="4680"/>
        <w:tab w:val="right" w:pos="9360"/>
      </w:tabs>
    </w:pPr>
  </w:style>
  <w:style w:type="character" w:customStyle="1" w:styleId="FooterChar">
    <w:name w:val="Footer Char"/>
    <w:basedOn w:val="DefaultParagraphFont"/>
    <w:link w:val="Footer"/>
    <w:uiPriority w:val="99"/>
    <w:rsid w:val="00BE04AC"/>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F0C32"/>
    <w:rPr>
      <w:sz w:val="16"/>
      <w:szCs w:val="16"/>
    </w:rPr>
  </w:style>
  <w:style w:type="paragraph" w:styleId="CommentText">
    <w:name w:val="annotation text"/>
    <w:basedOn w:val="Normal"/>
    <w:link w:val="CommentTextChar"/>
    <w:uiPriority w:val="99"/>
    <w:semiHidden/>
    <w:unhideWhenUsed/>
    <w:rsid w:val="00DF0C32"/>
  </w:style>
  <w:style w:type="character" w:customStyle="1" w:styleId="CommentTextChar">
    <w:name w:val="Comment Text Char"/>
    <w:basedOn w:val="DefaultParagraphFont"/>
    <w:link w:val="CommentText"/>
    <w:uiPriority w:val="99"/>
    <w:semiHidden/>
    <w:rsid w:val="00DF0C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C32"/>
    <w:rPr>
      <w:b/>
      <w:bCs/>
    </w:rPr>
  </w:style>
  <w:style w:type="character" w:customStyle="1" w:styleId="CommentSubjectChar">
    <w:name w:val="Comment Subject Char"/>
    <w:basedOn w:val="CommentTextChar"/>
    <w:link w:val="CommentSubject"/>
    <w:uiPriority w:val="99"/>
    <w:semiHidden/>
    <w:rsid w:val="00DF0C32"/>
    <w:rPr>
      <w:rFonts w:ascii="Times New Roman" w:hAnsi="Times New Roman" w:cs="Times New Roman"/>
      <w:b/>
      <w:bCs/>
      <w:sz w:val="20"/>
      <w:szCs w:val="20"/>
    </w:rPr>
  </w:style>
  <w:style w:type="paragraph" w:styleId="Revision">
    <w:name w:val="Revision"/>
    <w:hidden/>
    <w:uiPriority w:val="99"/>
    <w:semiHidden/>
    <w:rsid w:val="00AD3DB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9041-E627-4C47-AF75-BFA4FF2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7514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USER_108</dc:creator>
  <cp:lastModifiedBy>Pettingill, Tia</cp:lastModifiedBy>
  <cp:revision>3</cp:revision>
  <dcterms:created xsi:type="dcterms:W3CDTF">2019-08-01T03:43:00Z</dcterms:created>
  <dcterms:modified xsi:type="dcterms:W3CDTF">2019-10-25T01:18:00Z</dcterms:modified>
</cp:coreProperties>
</file>