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28CE0" w14:textId="77777777" w:rsidR="00A633C8" w:rsidRPr="001A100E" w:rsidRDefault="0071763F" w:rsidP="001A100E">
      <w:pPr>
        <w:jc w:val="center"/>
        <w:rPr>
          <w:sz w:val="22"/>
          <w:szCs w:val="22"/>
        </w:rPr>
      </w:pPr>
      <w:r w:rsidRPr="001A100E">
        <w:rPr>
          <w:noProof/>
          <w:sz w:val="22"/>
          <w:szCs w:val="22"/>
          <w:lang w:val="en-AU" w:eastAsia="en-AU"/>
        </w:rPr>
        <w:drawing>
          <wp:inline distT="0" distB="0" distL="0" distR="0" wp14:anchorId="6FC23E36" wp14:editId="09D97FC7">
            <wp:extent cx="1463040" cy="1038860"/>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1038860"/>
                    </a:xfrm>
                    <a:prstGeom prst="rect">
                      <a:avLst/>
                    </a:prstGeom>
                    <a:noFill/>
                    <a:ln>
                      <a:noFill/>
                    </a:ln>
                  </pic:spPr>
                </pic:pic>
              </a:graphicData>
            </a:graphic>
          </wp:inline>
        </w:drawing>
      </w:r>
    </w:p>
    <w:p w14:paraId="4813475D" w14:textId="77777777" w:rsidR="00A633C8" w:rsidRPr="00AE4B35" w:rsidRDefault="003061BC" w:rsidP="001A100E">
      <w:pPr>
        <w:shd w:val="clear" w:color="auto" w:fill="FFFFFF"/>
        <w:spacing w:before="1258"/>
        <w:jc w:val="center"/>
        <w:rPr>
          <w:sz w:val="36"/>
          <w:szCs w:val="36"/>
        </w:rPr>
      </w:pPr>
      <w:r w:rsidRPr="00AE4B35">
        <w:rPr>
          <w:b/>
          <w:bCs/>
          <w:sz w:val="36"/>
          <w:szCs w:val="36"/>
          <w:lang w:val="de-DE"/>
        </w:rPr>
        <w:t xml:space="preserve">International </w:t>
      </w:r>
      <w:r w:rsidRPr="00AE4B35">
        <w:rPr>
          <w:b/>
          <w:bCs/>
          <w:sz w:val="36"/>
          <w:szCs w:val="36"/>
          <w:lang w:val="en-US"/>
        </w:rPr>
        <w:t xml:space="preserve">Labour </w:t>
      </w:r>
      <w:r w:rsidRPr="00AE4B35">
        <w:rPr>
          <w:b/>
          <w:bCs/>
          <w:sz w:val="36"/>
          <w:szCs w:val="36"/>
          <w:lang w:val="de-DE"/>
        </w:rPr>
        <w:t xml:space="preserve">Organisation (Compliance </w:t>
      </w:r>
      <w:r w:rsidRPr="00AE4B35">
        <w:rPr>
          <w:b/>
          <w:bCs/>
          <w:sz w:val="36"/>
          <w:szCs w:val="36"/>
          <w:lang w:val="en-US"/>
        </w:rPr>
        <w:t xml:space="preserve">with </w:t>
      </w:r>
      <w:r w:rsidRPr="00AE4B35">
        <w:rPr>
          <w:b/>
          <w:bCs/>
          <w:sz w:val="36"/>
          <w:szCs w:val="36"/>
          <w:lang w:val="de-DE"/>
        </w:rPr>
        <w:t xml:space="preserve">Conventions) Act </w:t>
      </w:r>
      <w:r w:rsidRPr="00AE4B35">
        <w:rPr>
          <w:b/>
          <w:bCs/>
          <w:sz w:val="36"/>
          <w:szCs w:val="36"/>
          <w:lang w:val="en-US"/>
        </w:rPr>
        <w:t>1992</w:t>
      </w:r>
    </w:p>
    <w:p w14:paraId="26A59A65" w14:textId="77777777" w:rsidR="00A633C8" w:rsidRPr="00AE4B35" w:rsidRDefault="003061BC" w:rsidP="001A100E">
      <w:pPr>
        <w:shd w:val="clear" w:color="auto" w:fill="FFFFFF"/>
        <w:spacing w:before="1003"/>
        <w:jc w:val="center"/>
        <w:rPr>
          <w:sz w:val="24"/>
          <w:szCs w:val="24"/>
        </w:rPr>
      </w:pPr>
      <w:r w:rsidRPr="00AE4B35">
        <w:rPr>
          <w:b/>
          <w:bCs/>
          <w:sz w:val="24"/>
          <w:szCs w:val="24"/>
          <w:lang w:val="en-US"/>
        </w:rPr>
        <w:t>No. 220 of 1992</w:t>
      </w:r>
    </w:p>
    <w:p w14:paraId="3A20E5D7" w14:textId="77777777" w:rsidR="00A633C8" w:rsidRPr="000047B3" w:rsidRDefault="00CB0D3F" w:rsidP="001A100E">
      <w:pPr>
        <w:shd w:val="clear" w:color="auto" w:fill="FFFFFF"/>
        <w:spacing w:before="2338"/>
        <w:jc w:val="center"/>
        <w:rPr>
          <w:sz w:val="26"/>
          <w:szCs w:val="24"/>
        </w:rPr>
      </w:pPr>
      <w:r w:rsidRPr="000047B3">
        <w:rPr>
          <w:b/>
          <w:bCs/>
          <w:noProof/>
          <w:sz w:val="26"/>
          <w:szCs w:val="24"/>
          <w:lang w:val="en-AU" w:eastAsia="en-AU"/>
        </w:rPr>
        <mc:AlternateContent>
          <mc:Choice Requires="wps">
            <w:drawing>
              <wp:anchor distT="0" distB="0" distL="114300" distR="114300" simplePos="0" relativeHeight="251659264" behindDoc="0" locked="0" layoutInCell="1" allowOverlap="1" wp14:anchorId="7807A6F8" wp14:editId="589D6257">
                <wp:simplePos x="0" y="0"/>
                <wp:positionH relativeFrom="column">
                  <wp:posOffset>101600</wp:posOffset>
                </wp:positionH>
                <wp:positionV relativeFrom="paragraph">
                  <wp:posOffset>610870</wp:posOffset>
                </wp:positionV>
                <wp:extent cx="5559425"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5559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BEAA0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pt,48.1pt" to="445.7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L94tQEAALcDAAAOAAAAZHJzL2Uyb0RvYy54bWysU8GO0zAQvSPxD5bvNG1EEURN99AVXBBU&#10;LHyA1xk3FrbHGps2/XvGbptFgBBCXByP/d6beePJ5m7yThyBksXQy9ViKQUEjYMNh15++fz2xWsp&#10;UlZhUA4D9PIMSd5tnz/bnGIHLY7oBiDBIiF1p9jLMefYNU3SI3iVFhgh8KVB8ipzSIdmIHVide+a&#10;drl81ZyQhkioISU+vb9cym3VNwZ0/mhMgixcL7m2XFeq62NZm+1GdQdScbT6Wob6hyq8soGTzlL3&#10;KivxjewvUt5qwoQmLzT6Bo2xGqoHdrNa/uTmYVQRqhduTopzm9L/k9UfjnsSduhlK0VQnp/oIZOy&#10;hzGLHYbADUQSbenTKaaO4buwp2uU4p6K6cmQL1+2I6ba2/PcW5iy0Hy4Xq/fvGzXUujbXfNEjJTy&#10;O0AvyqaXzoZiW3Xq+D5lTsbQG4SDUsgldd3ls4MCduETGLbCyVaVXYcIdo7EUfHzD19XxQZrVWSh&#10;GOvcTFr+mXTFFhrUwfpb4oyuGTHkmehtQPpd1jzdSjUX/M31xWux/YjDuT5EbQdPR3V2neQyfj/G&#10;lf70v22/AwAA//8DAFBLAwQUAAYACAAAACEA48420d0AAAAIAQAADwAAAGRycy9kb3ducmV2Lnht&#10;bEyPQU+DQBCF7yb+h82YeLNLm5RSZGmM1pMeKHrwuGVHIGVnCbsF9Nc7xoM9vnkvb76X7WbbiREH&#10;3zpSsFxEIJAqZ1qqFby/Pd8lIHzQZHTnCBV8oYddfn2V6dS4iQ44lqEWXEI+1QqaEPpUSl81aLVf&#10;uB6JvU83WB1YDrU0g5643HZyFUWxtLol/tDoHh8brE7l2SrY7F/Kop+eXr8LuZFFMbqQnD6Uur2Z&#10;H+5BBJzDfxh+8RkdcmY6ujMZLzrWMU8JCrbxCgT7yXa5BnH8O8g8k5cD8h8AAAD//wMAUEsBAi0A&#10;FAAGAAgAAAAhALaDOJL+AAAA4QEAABMAAAAAAAAAAAAAAAAAAAAAAFtDb250ZW50X1R5cGVzXS54&#10;bWxQSwECLQAUAAYACAAAACEAOP0h/9YAAACUAQAACwAAAAAAAAAAAAAAAAAvAQAAX3JlbHMvLnJl&#10;bHNQSwECLQAUAAYACAAAACEActS/eLUBAAC3AwAADgAAAAAAAAAAAAAAAAAuAgAAZHJzL2Uyb0Rv&#10;Yy54bWxQSwECLQAUAAYACAAAACEA48420d0AAAAIAQAADwAAAAAAAAAAAAAAAAAPBAAAZHJzL2Rv&#10;d25yZXYueG1sUEsFBgAAAAAEAAQA8wAAABkFAAAAAA==&#10;" strokecolor="black [3040]"/>
            </w:pict>
          </mc:Fallback>
        </mc:AlternateContent>
      </w:r>
      <w:r w:rsidRPr="000047B3">
        <w:rPr>
          <w:b/>
          <w:bCs/>
          <w:noProof/>
          <w:sz w:val="26"/>
          <w:szCs w:val="24"/>
          <w:lang w:val="en-AU" w:eastAsia="en-AU"/>
        </w:rPr>
        <mc:AlternateContent>
          <mc:Choice Requires="wps">
            <w:drawing>
              <wp:anchor distT="0" distB="0" distL="114300" distR="114300" simplePos="0" relativeHeight="251660288" behindDoc="0" locked="0" layoutInCell="1" allowOverlap="1" wp14:anchorId="28D29353" wp14:editId="316AAA53">
                <wp:simplePos x="0" y="0"/>
                <wp:positionH relativeFrom="column">
                  <wp:posOffset>94945</wp:posOffset>
                </wp:positionH>
                <wp:positionV relativeFrom="paragraph">
                  <wp:posOffset>639445</wp:posOffset>
                </wp:positionV>
                <wp:extent cx="5570818" cy="0"/>
                <wp:effectExtent l="0" t="0" r="11430" b="19050"/>
                <wp:wrapNone/>
                <wp:docPr id="3" name="Straight Connector 3"/>
                <wp:cNvGraphicFramePr/>
                <a:graphic xmlns:a="http://schemas.openxmlformats.org/drawingml/2006/main">
                  <a:graphicData uri="http://schemas.microsoft.com/office/word/2010/wordprocessingShape">
                    <wps:wsp>
                      <wps:cNvCnPr/>
                      <wps:spPr>
                        <a:xfrm>
                          <a:off x="0" y="0"/>
                          <a:ext cx="557081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33AA18"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50.35pt" to="446.15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YwQEAAMgDAAAOAAAAZHJzL2Uyb0RvYy54bWysU8tu2zAQvBfoPxC815Ic5AHBcg4O2kuQ&#10;GE37AQxFWkRJLrFkLfnvu6RtJWiLIgh6oUjuzOzOcrW6nZxle4XRgO94s6g5U15Cb/yu49+/ff50&#10;w1lMwvfCglcdP6jIb9cfP6zG0KolDGB7hYxEfGzH0PEhpdBWVZSDciIuIChPQQ3oRKIj7qoexUjq&#10;zlbLur6qRsA+IEgVI93eHYN8XfS1VjI9ah1VYrbjVFsqK5b1Oa/VeiXaHYowGHkqQ7yjCieMp6Sz&#10;1J1Igv1E84eUMxIhgk4LCa4CrY1UxQO5aerf3DwNIqjihZoTw9ym+P9k5cN+i8z0Hb/gzAtHT/SU&#10;UJjdkNgGvKcGArKL3KcxxJbgG7/F0ymGLWbTk0aXv2SHTaW3h7m3akpM0uXl5XV909A0yHOseiEG&#10;jOmLAsfypuPW+GxbtGJ/HxMlI+gZkq+tZyMN2/K6Lg9Y5cqOtZRdOlh1hH1VmrxR9qbIlalSG4ts&#10;L2ge+h9N9kXi1hMyU7SxdibV/yadsJmmyqS9lTijS0bwaSY64wH/ljVN51L1EU9lv/Kat8/QH8rL&#10;lACNS3F2Gu08j6/Phf7yA65/AQAA//8DAFBLAwQUAAYACAAAACEAMH5+498AAAAKAQAADwAAAGRy&#10;cy9kb3ducmV2LnhtbEyPQU/DMAyF70j8h8hI3FhC2WCUptPEmDSkXVg5cMwary1rnKrJuvLvMRIS&#10;nKxnPz1/L1uMrhUD9qHxpOF2okAgld42VGl4L9Y3cxAhGrKm9YQavjDAIr+8yExq/ZnecNjFSnAI&#10;hdRoqGPsUilDWaMzYeI7JL4dfO9MZNlX0vbmzOGulYlS99KZhvhDbTp8rrE87k5Ow/A5XTm/Pbyu&#10;i+1HsVxtjpRMX7S+vhqXTyAijvHPDD/4jA45M+39iWwQLesZV4k8lXoAwYb5Y3IHYv+7kXkm/1fI&#10;vwEAAP//AwBQSwECLQAUAAYACAAAACEAtoM4kv4AAADhAQAAEwAAAAAAAAAAAAAAAAAAAAAAW0Nv&#10;bnRlbnRfVHlwZXNdLnhtbFBLAQItABQABgAIAAAAIQA4/SH/1gAAAJQBAAALAAAAAAAAAAAAAAAA&#10;AC8BAABfcmVscy8ucmVsc1BLAQItABQABgAIAAAAIQDXbE+YwQEAAMgDAAAOAAAAAAAAAAAAAAAA&#10;AC4CAABkcnMvZTJvRG9jLnhtbFBLAQItABQABgAIAAAAIQAwfn7j3wAAAAoBAAAPAAAAAAAAAAAA&#10;AAAAABsEAABkcnMvZG93bnJldi54bWxQSwUGAAAAAAQABADzAAAAJwUAAAAA&#10;" strokecolor="black [3040]" strokeweight="1pt"/>
            </w:pict>
          </mc:Fallback>
        </mc:AlternateContent>
      </w:r>
      <w:r w:rsidR="003061BC" w:rsidRPr="000047B3">
        <w:rPr>
          <w:b/>
          <w:bCs/>
          <w:sz w:val="26"/>
          <w:szCs w:val="24"/>
          <w:lang w:val="de-DE"/>
        </w:rPr>
        <w:t xml:space="preserve">An Act </w:t>
      </w:r>
      <w:r w:rsidR="003061BC" w:rsidRPr="000047B3">
        <w:rPr>
          <w:b/>
          <w:bCs/>
          <w:sz w:val="26"/>
          <w:szCs w:val="24"/>
          <w:lang w:val="en-US"/>
        </w:rPr>
        <w:t xml:space="preserve">to make provision for giving effect to an international convention and to amend the </w:t>
      </w:r>
      <w:r w:rsidR="003061BC" w:rsidRPr="000047B3">
        <w:rPr>
          <w:b/>
          <w:bCs/>
          <w:i/>
          <w:iCs/>
          <w:sz w:val="26"/>
          <w:szCs w:val="24"/>
          <w:lang w:val="en-US"/>
        </w:rPr>
        <w:t xml:space="preserve">Migration Act 1958 </w:t>
      </w:r>
      <w:r w:rsidR="003061BC" w:rsidRPr="000047B3">
        <w:rPr>
          <w:b/>
          <w:bCs/>
          <w:sz w:val="26"/>
          <w:szCs w:val="24"/>
          <w:lang w:val="en-US"/>
        </w:rPr>
        <w:t xml:space="preserve">and the </w:t>
      </w:r>
      <w:r w:rsidR="003061BC" w:rsidRPr="000047B3">
        <w:rPr>
          <w:b/>
          <w:bCs/>
          <w:i/>
          <w:iCs/>
          <w:sz w:val="26"/>
          <w:szCs w:val="24"/>
          <w:lang w:val="en-US"/>
        </w:rPr>
        <w:t xml:space="preserve">Navigation Act 1912 </w:t>
      </w:r>
      <w:r w:rsidR="003061BC" w:rsidRPr="000047B3">
        <w:rPr>
          <w:b/>
          <w:bCs/>
          <w:sz w:val="26"/>
          <w:szCs w:val="24"/>
          <w:lang w:val="en-US"/>
        </w:rPr>
        <w:t>so as to enable Australia to ratify certain international conventions</w:t>
      </w:r>
    </w:p>
    <w:p w14:paraId="1B1E3815" w14:textId="77777777" w:rsidR="00A633C8" w:rsidRPr="001A100E" w:rsidRDefault="003061BC" w:rsidP="001A100E">
      <w:pPr>
        <w:shd w:val="clear" w:color="auto" w:fill="FFFFFF"/>
        <w:spacing w:before="240" w:after="240"/>
        <w:jc w:val="right"/>
        <w:rPr>
          <w:sz w:val="22"/>
          <w:szCs w:val="22"/>
        </w:rPr>
      </w:pPr>
      <w:r w:rsidRPr="001A100E">
        <w:rPr>
          <w:sz w:val="22"/>
          <w:szCs w:val="22"/>
          <w:lang w:val="en-US"/>
        </w:rPr>
        <w:t>[</w:t>
      </w:r>
      <w:r w:rsidRPr="001A100E">
        <w:rPr>
          <w:i/>
          <w:iCs/>
          <w:sz w:val="22"/>
          <w:szCs w:val="22"/>
          <w:lang w:val="en-US"/>
        </w:rPr>
        <w:t>Assented to 24 December 1992</w:t>
      </w:r>
      <w:r w:rsidRPr="001A100E">
        <w:rPr>
          <w:sz w:val="22"/>
          <w:szCs w:val="22"/>
          <w:lang w:val="en-US"/>
        </w:rPr>
        <w:t>]</w:t>
      </w:r>
    </w:p>
    <w:p w14:paraId="715A4256" w14:textId="77777777" w:rsidR="00A633C8" w:rsidRPr="001A100E" w:rsidRDefault="003061BC" w:rsidP="003D66BB">
      <w:pPr>
        <w:shd w:val="clear" w:color="auto" w:fill="FFFFFF"/>
        <w:spacing w:before="120"/>
        <w:ind w:left="350"/>
        <w:jc w:val="both"/>
        <w:rPr>
          <w:sz w:val="22"/>
          <w:szCs w:val="22"/>
        </w:rPr>
      </w:pPr>
      <w:r w:rsidRPr="001A100E">
        <w:rPr>
          <w:sz w:val="22"/>
          <w:szCs w:val="22"/>
          <w:lang w:val="en-US"/>
        </w:rPr>
        <w:t>The Parliament of Australia enacts:</w:t>
      </w:r>
    </w:p>
    <w:p w14:paraId="2EAFCCBD" w14:textId="446B211D" w:rsidR="00A633C8" w:rsidRPr="001A100E" w:rsidRDefault="003061BC" w:rsidP="00CB7895">
      <w:pPr>
        <w:widowControl/>
        <w:shd w:val="clear" w:color="auto" w:fill="FFFFFF"/>
        <w:spacing w:before="240" w:after="120"/>
        <w:jc w:val="center"/>
        <w:rPr>
          <w:sz w:val="22"/>
          <w:szCs w:val="22"/>
        </w:rPr>
      </w:pPr>
      <w:r w:rsidRPr="001A100E">
        <w:rPr>
          <w:b/>
          <w:bCs/>
          <w:sz w:val="22"/>
          <w:szCs w:val="22"/>
          <w:lang w:val="en-US"/>
        </w:rPr>
        <w:t>PART 1</w:t>
      </w:r>
      <w:r w:rsidRPr="001A100E">
        <w:rPr>
          <w:rFonts w:eastAsia="Times New Roman"/>
          <w:b/>
          <w:bCs/>
          <w:sz w:val="22"/>
          <w:szCs w:val="22"/>
          <w:lang w:val="en-US"/>
        </w:rPr>
        <w:t>—PRELIMINARY</w:t>
      </w:r>
    </w:p>
    <w:p w14:paraId="294E2CED" w14:textId="77777777" w:rsidR="00A633C8" w:rsidRPr="001A100E" w:rsidRDefault="003061BC" w:rsidP="003D66BB">
      <w:pPr>
        <w:shd w:val="clear" w:color="auto" w:fill="FFFFFF"/>
        <w:spacing w:before="120"/>
        <w:jc w:val="both"/>
        <w:rPr>
          <w:sz w:val="22"/>
          <w:szCs w:val="22"/>
        </w:rPr>
      </w:pPr>
      <w:r w:rsidRPr="001A100E">
        <w:rPr>
          <w:b/>
          <w:bCs/>
          <w:sz w:val="22"/>
          <w:szCs w:val="22"/>
          <w:lang w:val="en-US"/>
        </w:rPr>
        <w:t>Short title</w:t>
      </w:r>
    </w:p>
    <w:p w14:paraId="371E57C4" w14:textId="77777777" w:rsidR="00A633C8" w:rsidRPr="001A100E" w:rsidRDefault="003061BC" w:rsidP="003D66BB">
      <w:pPr>
        <w:shd w:val="clear" w:color="auto" w:fill="FFFFFF"/>
        <w:tabs>
          <w:tab w:val="left" w:pos="629"/>
        </w:tabs>
        <w:spacing w:before="120"/>
        <w:ind w:firstLine="341"/>
        <w:jc w:val="both"/>
        <w:rPr>
          <w:sz w:val="22"/>
          <w:szCs w:val="22"/>
        </w:rPr>
      </w:pPr>
      <w:r w:rsidRPr="001A100E">
        <w:rPr>
          <w:b/>
          <w:bCs/>
          <w:sz w:val="22"/>
          <w:szCs w:val="22"/>
          <w:lang w:val="en-US"/>
        </w:rPr>
        <w:t>1.</w:t>
      </w:r>
      <w:r w:rsidRPr="001A100E">
        <w:rPr>
          <w:sz w:val="22"/>
          <w:szCs w:val="22"/>
          <w:lang w:val="en-US"/>
        </w:rPr>
        <w:tab/>
        <w:t xml:space="preserve">This Act may be cited as the </w:t>
      </w:r>
      <w:r w:rsidRPr="001A100E">
        <w:rPr>
          <w:i/>
          <w:iCs/>
          <w:sz w:val="22"/>
          <w:szCs w:val="22"/>
          <w:lang w:val="en-US"/>
        </w:rPr>
        <w:t xml:space="preserve">International </w:t>
      </w:r>
      <w:proofErr w:type="spellStart"/>
      <w:r w:rsidRPr="001A100E">
        <w:rPr>
          <w:i/>
          <w:iCs/>
          <w:sz w:val="22"/>
          <w:szCs w:val="22"/>
          <w:lang w:val="en-US"/>
        </w:rPr>
        <w:t>Labour</w:t>
      </w:r>
      <w:proofErr w:type="spellEnd"/>
      <w:r w:rsidRPr="001A100E">
        <w:rPr>
          <w:i/>
          <w:iCs/>
          <w:sz w:val="22"/>
          <w:szCs w:val="22"/>
          <w:lang w:val="en-US"/>
        </w:rPr>
        <w:t xml:space="preserve"> </w:t>
      </w:r>
      <w:proofErr w:type="spellStart"/>
      <w:r w:rsidRPr="001A100E">
        <w:rPr>
          <w:i/>
          <w:iCs/>
          <w:sz w:val="22"/>
          <w:szCs w:val="22"/>
          <w:lang w:val="en-US"/>
        </w:rPr>
        <w:t>Organisation</w:t>
      </w:r>
      <w:proofErr w:type="spellEnd"/>
      <w:r w:rsidR="001A100E" w:rsidRPr="001A100E">
        <w:rPr>
          <w:i/>
          <w:iCs/>
          <w:sz w:val="22"/>
          <w:szCs w:val="22"/>
          <w:lang w:val="en-US"/>
        </w:rPr>
        <w:t xml:space="preserve"> </w:t>
      </w:r>
      <w:r w:rsidRPr="001A100E">
        <w:rPr>
          <w:i/>
          <w:iCs/>
          <w:sz w:val="22"/>
          <w:szCs w:val="22"/>
          <w:lang w:val="en-US"/>
        </w:rPr>
        <w:t>(Compliance with Conventions) Act 1992.</w:t>
      </w:r>
    </w:p>
    <w:p w14:paraId="2219C19D" w14:textId="77777777" w:rsidR="00A633C8" w:rsidRPr="001A100E" w:rsidRDefault="003061BC" w:rsidP="003D66BB">
      <w:pPr>
        <w:shd w:val="clear" w:color="auto" w:fill="FFFFFF"/>
        <w:spacing w:before="120"/>
        <w:jc w:val="both"/>
        <w:rPr>
          <w:sz w:val="22"/>
          <w:szCs w:val="22"/>
        </w:rPr>
      </w:pPr>
      <w:r w:rsidRPr="001A100E">
        <w:rPr>
          <w:b/>
          <w:bCs/>
          <w:sz w:val="22"/>
          <w:szCs w:val="22"/>
          <w:lang w:val="en-US"/>
        </w:rPr>
        <w:t>Commencement</w:t>
      </w:r>
    </w:p>
    <w:p w14:paraId="51255B7B" w14:textId="77777777" w:rsidR="00A633C8" w:rsidRPr="001A100E" w:rsidRDefault="003061BC" w:rsidP="003D66BB">
      <w:pPr>
        <w:shd w:val="clear" w:color="auto" w:fill="FFFFFF"/>
        <w:tabs>
          <w:tab w:val="left" w:pos="629"/>
        </w:tabs>
        <w:spacing w:before="120"/>
        <w:ind w:firstLine="341"/>
        <w:jc w:val="both"/>
        <w:rPr>
          <w:sz w:val="22"/>
          <w:szCs w:val="22"/>
        </w:rPr>
      </w:pPr>
      <w:r w:rsidRPr="001A100E">
        <w:rPr>
          <w:b/>
          <w:bCs/>
          <w:sz w:val="22"/>
          <w:szCs w:val="22"/>
          <w:lang w:val="en-US"/>
        </w:rPr>
        <w:t>2.</w:t>
      </w:r>
      <w:r w:rsidRPr="001A100E">
        <w:rPr>
          <w:b/>
          <w:bCs/>
          <w:sz w:val="22"/>
          <w:szCs w:val="22"/>
          <w:lang w:val="en-US"/>
        </w:rPr>
        <w:tab/>
      </w:r>
      <w:r w:rsidRPr="001A100E">
        <w:rPr>
          <w:sz w:val="22"/>
          <w:szCs w:val="22"/>
          <w:lang w:val="en-US"/>
        </w:rPr>
        <w:t>This Act commences on the day on which it receives the Royal</w:t>
      </w:r>
      <w:r w:rsidR="001A100E" w:rsidRPr="001A100E">
        <w:rPr>
          <w:sz w:val="22"/>
          <w:szCs w:val="22"/>
          <w:lang w:val="en-US"/>
        </w:rPr>
        <w:t xml:space="preserve"> </w:t>
      </w:r>
      <w:r w:rsidRPr="001A100E">
        <w:rPr>
          <w:sz w:val="22"/>
          <w:szCs w:val="22"/>
          <w:lang w:val="en-US"/>
        </w:rPr>
        <w:t>Assent.</w:t>
      </w:r>
    </w:p>
    <w:p w14:paraId="21336769" w14:textId="77777777" w:rsidR="00A633C8" w:rsidRPr="001A100E" w:rsidRDefault="00A633C8" w:rsidP="003D66BB">
      <w:pPr>
        <w:shd w:val="clear" w:color="auto" w:fill="FFFFFF"/>
        <w:tabs>
          <w:tab w:val="left" w:pos="629"/>
        </w:tabs>
        <w:spacing w:before="120"/>
        <w:ind w:firstLine="341"/>
        <w:jc w:val="both"/>
        <w:rPr>
          <w:sz w:val="22"/>
          <w:szCs w:val="22"/>
        </w:rPr>
        <w:sectPr w:rsidR="00A633C8" w:rsidRPr="001A100E" w:rsidSect="00DD0B38">
          <w:headerReference w:type="default" r:id="rId9"/>
          <w:type w:val="continuous"/>
          <w:pgSz w:w="12240" w:h="15840"/>
          <w:pgMar w:top="1440" w:right="1440" w:bottom="1440" w:left="1440" w:header="720" w:footer="720" w:gutter="0"/>
          <w:cols w:space="60"/>
          <w:noEndnote/>
          <w:titlePg/>
          <w:docGrid w:linePitch="272"/>
        </w:sectPr>
      </w:pPr>
    </w:p>
    <w:p w14:paraId="4C12E5EF" w14:textId="77777777" w:rsidR="00A633C8" w:rsidRPr="001A100E" w:rsidRDefault="003061BC" w:rsidP="00CB0D3F">
      <w:pPr>
        <w:widowControl/>
        <w:shd w:val="clear" w:color="auto" w:fill="FFFFFF"/>
        <w:spacing w:before="120" w:after="120"/>
        <w:jc w:val="center"/>
        <w:rPr>
          <w:sz w:val="22"/>
          <w:szCs w:val="22"/>
        </w:rPr>
      </w:pPr>
      <w:r w:rsidRPr="001A100E">
        <w:rPr>
          <w:b/>
          <w:bCs/>
          <w:sz w:val="22"/>
          <w:szCs w:val="22"/>
          <w:lang w:val="en-US"/>
        </w:rPr>
        <w:lastRenderedPageBreak/>
        <w:t>PART 2</w:t>
      </w:r>
      <w:r w:rsidRPr="001A100E">
        <w:rPr>
          <w:rFonts w:eastAsia="Times New Roman"/>
          <w:b/>
          <w:bCs/>
          <w:sz w:val="22"/>
          <w:szCs w:val="22"/>
          <w:lang w:val="en-US"/>
        </w:rPr>
        <w:t>—PROVISION FOR GIVING EFFECT TO THE TRIPARTITE CONSULTATION (INTERNATIONAL LABOUR STANDARDS) CONVENTION, 1976</w:t>
      </w:r>
    </w:p>
    <w:p w14:paraId="0C0BE3E9" w14:textId="77777777" w:rsidR="00A633C8" w:rsidRPr="001A100E" w:rsidRDefault="003061BC" w:rsidP="003D66BB">
      <w:pPr>
        <w:shd w:val="clear" w:color="auto" w:fill="FFFFFF"/>
        <w:spacing w:before="120"/>
        <w:ind w:left="14"/>
        <w:jc w:val="both"/>
        <w:rPr>
          <w:sz w:val="22"/>
          <w:szCs w:val="22"/>
        </w:rPr>
      </w:pPr>
      <w:r w:rsidRPr="001A100E">
        <w:rPr>
          <w:b/>
          <w:bCs/>
          <w:sz w:val="22"/>
          <w:szCs w:val="22"/>
          <w:lang w:val="en-US"/>
        </w:rPr>
        <w:t>Regulations</w:t>
      </w:r>
    </w:p>
    <w:p w14:paraId="3F330C34" w14:textId="77777777" w:rsidR="00A633C8" w:rsidRPr="001A100E" w:rsidRDefault="003061BC" w:rsidP="003D66BB">
      <w:pPr>
        <w:shd w:val="clear" w:color="auto" w:fill="FFFFFF"/>
        <w:tabs>
          <w:tab w:val="left" w:pos="648"/>
        </w:tabs>
        <w:spacing w:before="120"/>
        <w:ind w:left="10" w:firstLine="336"/>
        <w:jc w:val="both"/>
        <w:rPr>
          <w:sz w:val="22"/>
          <w:szCs w:val="22"/>
        </w:rPr>
      </w:pPr>
      <w:r w:rsidRPr="001A100E">
        <w:rPr>
          <w:b/>
          <w:bCs/>
          <w:sz w:val="22"/>
          <w:szCs w:val="22"/>
          <w:lang w:val="en-US"/>
        </w:rPr>
        <w:t>3.</w:t>
      </w:r>
      <w:r w:rsidRPr="001A100E">
        <w:rPr>
          <w:b/>
          <w:bCs/>
          <w:sz w:val="22"/>
          <w:szCs w:val="22"/>
          <w:lang w:val="en-US"/>
        </w:rPr>
        <w:tab/>
      </w:r>
      <w:r w:rsidRPr="001A100E">
        <w:rPr>
          <w:sz w:val="22"/>
          <w:szCs w:val="22"/>
          <w:lang w:val="en-US"/>
        </w:rPr>
        <w:t>The Governor-General may make regulations prescribing</w:t>
      </w:r>
      <w:r w:rsidR="001A100E" w:rsidRPr="001A100E">
        <w:rPr>
          <w:sz w:val="22"/>
          <w:szCs w:val="22"/>
          <w:lang w:val="en-US"/>
        </w:rPr>
        <w:t xml:space="preserve"> </w:t>
      </w:r>
      <w:r w:rsidRPr="001A100E">
        <w:rPr>
          <w:sz w:val="22"/>
          <w:szCs w:val="22"/>
          <w:lang w:val="en-US"/>
        </w:rPr>
        <w:t>procedures to be observed for the purposes of the Tripartite Consultation</w:t>
      </w:r>
      <w:r w:rsidR="001A100E" w:rsidRPr="001A100E">
        <w:rPr>
          <w:sz w:val="22"/>
          <w:szCs w:val="22"/>
          <w:lang w:val="en-US"/>
        </w:rPr>
        <w:t xml:space="preserve"> </w:t>
      </w:r>
      <w:r w:rsidRPr="001A100E">
        <w:rPr>
          <w:sz w:val="22"/>
          <w:szCs w:val="22"/>
          <w:lang w:val="en-US"/>
        </w:rPr>
        <w:t>(International Labour Standards) Convention, 1976 adopted by the</w:t>
      </w:r>
      <w:r w:rsidR="001A100E" w:rsidRPr="001A100E">
        <w:rPr>
          <w:sz w:val="22"/>
          <w:szCs w:val="22"/>
          <w:lang w:val="en-US"/>
        </w:rPr>
        <w:t xml:space="preserve"> </w:t>
      </w:r>
      <w:r w:rsidRPr="001A100E">
        <w:rPr>
          <w:sz w:val="22"/>
          <w:szCs w:val="22"/>
          <w:lang w:val="en-US"/>
        </w:rPr>
        <w:t xml:space="preserve">General Conference of the International </w:t>
      </w:r>
      <w:proofErr w:type="spellStart"/>
      <w:r w:rsidRPr="001A100E">
        <w:rPr>
          <w:sz w:val="22"/>
          <w:szCs w:val="22"/>
          <w:lang w:val="en-US"/>
        </w:rPr>
        <w:t>Labour</w:t>
      </w:r>
      <w:proofErr w:type="spellEnd"/>
      <w:r w:rsidRPr="001A100E">
        <w:rPr>
          <w:sz w:val="22"/>
          <w:szCs w:val="22"/>
          <w:lang w:val="en-US"/>
        </w:rPr>
        <w:t xml:space="preserve"> </w:t>
      </w:r>
      <w:proofErr w:type="spellStart"/>
      <w:r w:rsidRPr="001A100E">
        <w:rPr>
          <w:sz w:val="22"/>
          <w:szCs w:val="22"/>
          <w:lang w:val="en-US"/>
        </w:rPr>
        <w:t>Organisation</w:t>
      </w:r>
      <w:proofErr w:type="spellEnd"/>
      <w:r w:rsidRPr="001A100E">
        <w:rPr>
          <w:sz w:val="22"/>
          <w:szCs w:val="22"/>
          <w:lang w:val="en-US"/>
        </w:rPr>
        <w:t xml:space="preserve"> on</w:t>
      </w:r>
      <w:r w:rsidR="001A100E" w:rsidRPr="001A100E">
        <w:rPr>
          <w:sz w:val="22"/>
          <w:szCs w:val="22"/>
          <w:lang w:val="en-US"/>
        </w:rPr>
        <w:t xml:space="preserve"> </w:t>
      </w:r>
      <w:r w:rsidRPr="001A100E">
        <w:rPr>
          <w:sz w:val="22"/>
          <w:szCs w:val="22"/>
          <w:lang w:val="en-US"/>
        </w:rPr>
        <w:t>21 June 1976.</w:t>
      </w:r>
    </w:p>
    <w:p w14:paraId="24680753" w14:textId="40E47E7F" w:rsidR="00A633C8" w:rsidRPr="001A100E" w:rsidRDefault="003061BC" w:rsidP="00CB7895">
      <w:pPr>
        <w:widowControl/>
        <w:shd w:val="clear" w:color="auto" w:fill="FFFFFF"/>
        <w:spacing w:before="240" w:after="120"/>
        <w:jc w:val="center"/>
        <w:rPr>
          <w:sz w:val="22"/>
          <w:szCs w:val="22"/>
        </w:rPr>
      </w:pPr>
      <w:r w:rsidRPr="001A100E">
        <w:rPr>
          <w:b/>
          <w:bCs/>
          <w:sz w:val="22"/>
          <w:szCs w:val="22"/>
          <w:lang w:val="en-US"/>
        </w:rPr>
        <w:t>PART 3</w:t>
      </w:r>
      <w:r w:rsidRPr="001A100E">
        <w:rPr>
          <w:rFonts w:eastAsia="Times New Roman"/>
          <w:b/>
          <w:bCs/>
          <w:sz w:val="22"/>
          <w:szCs w:val="22"/>
          <w:lang w:val="en-US"/>
        </w:rPr>
        <w:t>—AMENDMENTS OF THE MIGRATION ACT 1958</w:t>
      </w:r>
    </w:p>
    <w:p w14:paraId="45EDCC3A" w14:textId="77777777" w:rsidR="00A633C8" w:rsidRPr="001A100E" w:rsidRDefault="003061BC" w:rsidP="003D66BB">
      <w:pPr>
        <w:shd w:val="clear" w:color="auto" w:fill="FFFFFF"/>
        <w:spacing w:before="120"/>
        <w:ind w:left="10"/>
        <w:jc w:val="both"/>
        <w:rPr>
          <w:sz w:val="22"/>
          <w:szCs w:val="22"/>
        </w:rPr>
      </w:pPr>
      <w:r w:rsidRPr="001A100E">
        <w:rPr>
          <w:b/>
          <w:bCs/>
          <w:sz w:val="22"/>
          <w:szCs w:val="22"/>
          <w:lang w:val="en-US"/>
        </w:rPr>
        <w:t>Principal Act</w:t>
      </w:r>
    </w:p>
    <w:p w14:paraId="4EC09513" w14:textId="77777777" w:rsidR="00A633C8" w:rsidRPr="001A100E" w:rsidRDefault="003061BC" w:rsidP="003D66BB">
      <w:pPr>
        <w:numPr>
          <w:ilvl w:val="0"/>
          <w:numId w:val="1"/>
        </w:numPr>
        <w:shd w:val="clear" w:color="auto" w:fill="FFFFFF"/>
        <w:tabs>
          <w:tab w:val="left" w:pos="648"/>
        </w:tabs>
        <w:spacing w:before="120"/>
        <w:ind w:left="346"/>
        <w:jc w:val="both"/>
        <w:rPr>
          <w:b/>
          <w:bCs/>
          <w:sz w:val="22"/>
          <w:szCs w:val="22"/>
          <w:lang w:val="en-US"/>
        </w:rPr>
      </w:pPr>
      <w:r w:rsidRPr="001A100E">
        <w:rPr>
          <w:sz w:val="22"/>
          <w:szCs w:val="22"/>
          <w:lang w:val="en-US"/>
        </w:rPr>
        <w:t xml:space="preserve">In this Part, </w:t>
      </w:r>
      <w:r w:rsidR="004049D6" w:rsidRPr="001A100E">
        <w:rPr>
          <w:b/>
          <w:bCs/>
          <w:sz w:val="22"/>
          <w:szCs w:val="22"/>
          <w:lang w:val="en-US"/>
        </w:rPr>
        <w:t>“</w:t>
      </w:r>
      <w:r w:rsidRPr="001A100E">
        <w:rPr>
          <w:b/>
          <w:bCs/>
          <w:sz w:val="22"/>
          <w:szCs w:val="22"/>
          <w:lang w:val="en-US"/>
        </w:rPr>
        <w:t>Principal Act</w:t>
      </w:r>
      <w:r w:rsidR="004049D6" w:rsidRPr="001A100E">
        <w:rPr>
          <w:b/>
          <w:bCs/>
          <w:sz w:val="22"/>
          <w:szCs w:val="22"/>
          <w:lang w:val="en-US"/>
        </w:rPr>
        <w:t>”</w:t>
      </w:r>
      <w:r w:rsidRPr="001A100E">
        <w:rPr>
          <w:b/>
          <w:bCs/>
          <w:sz w:val="22"/>
          <w:szCs w:val="22"/>
          <w:lang w:val="en-US"/>
        </w:rPr>
        <w:t xml:space="preserve"> </w:t>
      </w:r>
      <w:r w:rsidRPr="001A100E">
        <w:rPr>
          <w:sz w:val="22"/>
          <w:szCs w:val="22"/>
          <w:lang w:val="en-US"/>
        </w:rPr>
        <w:t xml:space="preserve">means the </w:t>
      </w:r>
      <w:r w:rsidRPr="001A100E">
        <w:rPr>
          <w:i/>
          <w:iCs/>
          <w:sz w:val="22"/>
          <w:szCs w:val="22"/>
          <w:lang w:val="en-US"/>
        </w:rPr>
        <w:t>Migration Act 1958</w:t>
      </w:r>
      <w:r w:rsidRPr="001A100E">
        <w:rPr>
          <w:sz w:val="22"/>
          <w:szCs w:val="22"/>
          <w:vertAlign w:val="superscript"/>
          <w:lang w:val="en-US"/>
        </w:rPr>
        <w:t>1</w:t>
      </w:r>
      <w:r w:rsidRPr="001A100E">
        <w:rPr>
          <w:i/>
          <w:iCs/>
          <w:sz w:val="22"/>
          <w:szCs w:val="22"/>
          <w:lang w:val="en-US"/>
        </w:rPr>
        <w:t>.</w:t>
      </w:r>
    </w:p>
    <w:p w14:paraId="4D23E918" w14:textId="77777777" w:rsidR="00A633C8" w:rsidRPr="001A100E" w:rsidRDefault="003061BC" w:rsidP="003D66BB">
      <w:pPr>
        <w:numPr>
          <w:ilvl w:val="0"/>
          <w:numId w:val="1"/>
        </w:numPr>
        <w:shd w:val="clear" w:color="auto" w:fill="FFFFFF"/>
        <w:tabs>
          <w:tab w:val="left" w:pos="648"/>
        </w:tabs>
        <w:spacing w:before="120"/>
        <w:ind w:left="10" w:firstLine="336"/>
        <w:jc w:val="both"/>
        <w:rPr>
          <w:b/>
          <w:bCs/>
          <w:sz w:val="22"/>
          <w:szCs w:val="22"/>
          <w:lang w:val="en-US"/>
        </w:rPr>
      </w:pPr>
      <w:r w:rsidRPr="001A100E">
        <w:rPr>
          <w:sz w:val="22"/>
          <w:szCs w:val="22"/>
          <w:lang w:val="en-US"/>
        </w:rPr>
        <w:t>Sections 71, 72 and 73 of the Principal Act are repealed and the following sections are substituted:</w:t>
      </w:r>
    </w:p>
    <w:p w14:paraId="75B22CD6" w14:textId="77777777" w:rsidR="00A633C8" w:rsidRPr="001A100E" w:rsidRDefault="003061BC" w:rsidP="003D66BB">
      <w:pPr>
        <w:shd w:val="clear" w:color="auto" w:fill="FFFFFF"/>
        <w:spacing w:before="120"/>
        <w:ind w:left="14"/>
        <w:jc w:val="both"/>
        <w:rPr>
          <w:sz w:val="22"/>
          <w:szCs w:val="22"/>
        </w:rPr>
      </w:pPr>
      <w:r w:rsidRPr="001A100E">
        <w:rPr>
          <w:b/>
          <w:bCs/>
          <w:sz w:val="22"/>
          <w:szCs w:val="22"/>
          <w:lang w:val="en-US"/>
        </w:rPr>
        <w:t>Production of identity documents and mustering of crew</w:t>
      </w:r>
    </w:p>
    <w:p w14:paraId="4F6EF5E4" w14:textId="77777777" w:rsidR="00A633C8" w:rsidRPr="001A100E" w:rsidRDefault="004049D6" w:rsidP="003D66BB">
      <w:pPr>
        <w:shd w:val="clear" w:color="auto" w:fill="FFFFFF"/>
        <w:spacing w:before="120"/>
        <w:ind w:left="5" w:firstLine="341"/>
        <w:jc w:val="both"/>
        <w:rPr>
          <w:sz w:val="22"/>
          <w:szCs w:val="22"/>
        </w:rPr>
      </w:pPr>
      <w:r w:rsidRPr="001A100E">
        <w:rPr>
          <w:sz w:val="22"/>
          <w:szCs w:val="22"/>
          <w:lang w:val="en-US"/>
        </w:rPr>
        <w:t>“</w:t>
      </w:r>
      <w:r w:rsidR="003061BC" w:rsidRPr="001A100E">
        <w:rPr>
          <w:sz w:val="22"/>
          <w:szCs w:val="22"/>
          <w:lang w:val="en-US"/>
        </w:rPr>
        <w:t xml:space="preserve">71.(1) This section applies to a vessel, other than a vessel of the regular armed forces of a government </w:t>
      </w:r>
      <w:proofErr w:type="spellStart"/>
      <w:r w:rsidR="003061BC" w:rsidRPr="001A100E">
        <w:rPr>
          <w:sz w:val="22"/>
          <w:szCs w:val="22"/>
          <w:lang w:val="en-US"/>
        </w:rPr>
        <w:t>recognised</w:t>
      </w:r>
      <w:proofErr w:type="spellEnd"/>
      <w:r w:rsidR="003061BC" w:rsidRPr="001A100E">
        <w:rPr>
          <w:sz w:val="22"/>
          <w:szCs w:val="22"/>
          <w:lang w:val="en-US"/>
        </w:rPr>
        <w:t xml:space="preserve"> by the Commonwealth, which has entered Australia from overseas.</w:t>
      </w:r>
    </w:p>
    <w:p w14:paraId="6EDC183F" w14:textId="77777777" w:rsidR="00A633C8" w:rsidRPr="001A100E" w:rsidRDefault="004049D6" w:rsidP="003D66BB">
      <w:pPr>
        <w:shd w:val="clear" w:color="auto" w:fill="FFFFFF"/>
        <w:spacing w:before="120"/>
        <w:ind w:left="5" w:firstLine="341"/>
        <w:jc w:val="both"/>
        <w:rPr>
          <w:sz w:val="22"/>
          <w:szCs w:val="22"/>
        </w:rPr>
      </w:pPr>
      <w:r w:rsidRPr="001A100E">
        <w:rPr>
          <w:sz w:val="22"/>
          <w:szCs w:val="22"/>
          <w:lang w:val="en-US"/>
        </w:rPr>
        <w:t>“</w:t>
      </w:r>
      <w:r w:rsidR="003061BC" w:rsidRPr="001A100E">
        <w:rPr>
          <w:sz w:val="22"/>
          <w:szCs w:val="22"/>
          <w:lang w:val="en-US"/>
        </w:rPr>
        <w:t>(2) On the arrival of a vessel at a port, an officer may require the master of the vessel to muster the vessel</w:t>
      </w:r>
      <w:r w:rsidRPr="001A100E">
        <w:rPr>
          <w:sz w:val="22"/>
          <w:szCs w:val="22"/>
          <w:lang w:val="en-US"/>
        </w:rPr>
        <w:t>’</w:t>
      </w:r>
      <w:r w:rsidR="003061BC" w:rsidRPr="001A100E">
        <w:rPr>
          <w:sz w:val="22"/>
          <w:szCs w:val="22"/>
          <w:lang w:val="en-US"/>
        </w:rPr>
        <w:t>s crew in the presence of the officer.</w:t>
      </w:r>
    </w:p>
    <w:p w14:paraId="0C9B22B9" w14:textId="77777777" w:rsidR="00A633C8" w:rsidRPr="001A100E" w:rsidRDefault="004049D6" w:rsidP="003D66BB">
      <w:pPr>
        <w:shd w:val="clear" w:color="auto" w:fill="FFFFFF"/>
        <w:spacing w:before="120"/>
        <w:ind w:left="10" w:firstLine="346"/>
        <w:jc w:val="both"/>
        <w:rPr>
          <w:sz w:val="22"/>
          <w:szCs w:val="22"/>
        </w:rPr>
      </w:pPr>
      <w:r w:rsidRPr="001A100E">
        <w:rPr>
          <w:sz w:val="22"/>
          <w:szCs w:val="22"/>
          <w:lang w:val="en-US"/>
        </w:rPr>
        <w:t>“</w:t>
      </w:r>
      <w:r w:rsidR="003061BC" w:rsidRPr="001A100E">
        <w:rPr>
          <w:sz w:val="22"/>
          <w:szCs w:val="22"/>
          <w:lang w:val="en-US"/>
        </w:rPr>
        <w:t>(3) An officer may require the master of a vessel to muster the vessel</w:t>
      </w:r>
      <w:r w:rsidRPr="001A100E">
        <w:rPr>
          <w:sz w:val="22"/>
          <w:szCs w:val="22"/>
          <w:lang w:val="en-US"/>
        </w:rPr>
        <w:t>’</w:t>
      </w:r>
      <w:r w:rsidR="003061BC" w:rsidRPr="001A100E">
        <w:rPr>
          <w:sz w:val="22"/>
          <w:szCs w:val="22"/>
          <w:lang w:val="en-US"/>
        </w:rPr>
        <w:t>s crew in the presence of the officer before the vessel departs from a port.</w:t>
      </w:r>
    </w:p>
    <w:p w14:paraId="368FD42C" w14:textId="77777777" w:rsidR="00A633C8" w:rsidRPr="001A100E" w:rsidRDefault="004049D6" w:rsidP="003D66BB">
      <w:pPr>
        <w:shd w:val="clear" w:color="auto" w:fill="FFFFFF"/>
        <w:spacing w:before="120"/>
        <w:ind w:left="10" w:firstLine="346"/>
        <w:jc w:val="both"/>
        <w:rPr>
          <w:sz w:val="22"/>
          <w:szCs w:val="22"/>
        </w:rPr>
      </w:pPr>
      <w:r w:rsidRPr="001A100E">
        <w:rPr>
          <w:sz w:val="22"/>
          <w:szCs w:val="22"/>
          <w:lang w:val="en-US"/>
        </w:rPr>
        <w:t>“</w:t>
      </w:r>
      <w:r w:rsidR="003061BC" w:rsidRPr="001A100E">
        <w:rPr>
          <w:sz w:val="22"/>
          <w:szCs w:val="22"/>
          <w:lang w:val="en-US"/>
        </w:rPr>
        <w:t>(4) An officer may require a member of the crew of a vessel to produce his or her identity documents to the officer for inspection.</w:t>
      </w:r>
    </w:p>
    <w:p w14:paraId="46CB61F8" w14:textId="77777777" w:rsidR="00A633C8" w:rsidRPr="001A100E" w:rsidRDefault="004049D6" w:rsidP="003D66BB">
      <w:pPr>
        <w:shd w:val="clear" w:color="auto" w:fill="FFFFFF"/>
        <w:spacing w:before="120"/>
        <w:ind w:left="5" w:firstLine="346"/>
        <w:jc w:val="both"/>
        <w:rPr>
          <w:sz w:val="22"/>
          <w:szCs w:val="22"/>
        </w:rPr>
      </w:pPr>
      <w:r w:rsidRPr="001A100E">
        <w:rPr>
          <w:sz w:val="22"/>
          <w:szCs w:val="22"/>
          <w:lang w:val="en-US"/>
        </w:rPr>
        <w:t>“</w:t>
      </w:r>
      <w:r w:rsidR="003061BC" w:rsidRPr="001A100E">
        <w:rPr>
          <w:sz w:val="22"/>
          <w:szCs w:val="22"/>
          <w:lang w:val="en-US"/>
        </w:rPr>
        <w:t>(5) A person must not, without reasonable excuse, fail to comply with a requirement made under this section.</w:t>
      </w:r>
    </w:p>
    <w:p w14:paraId="037A3399" w14:textId="77777777" w:rsidR="00A633C8" w:rsidRPr="001A100E" w:rsidRDefault="003061BC" w:rsidP="003D66BB">
      <w:pPr>
        <w:shd w:val="clear" w:color="auto" w:fill="FFFFFF"/>
        <w:spacing w:before="120"/>
        <w:ind w:left="10"/>
        <w:jc w:val="both"/>
        <w:rPr>
          <w:sz w:val="22"/>
          <w:szCs w:val="22"/>
        </w:rPr>
      </w:pPr>
      <w:r w:rsidRPr="001A100E">
        <w:rPr>
          <w:sz w:val="22"/>
          <w:szCs w:val="22"/>
          <w:lang w:val="en-US"/>
        </w:rPr>
        <w:t>Penalty: $4,000.</w:t>
      </w:r>
    </w:p>
    <w:p w14:paraId="021A3985" w14:textId="77777777" w:rsidR="00A633C8" w:rsidRPr="001A100E" w:rsidRDefault="003061BC" w:rsidP="003D66BB">
      <w:pPr>
        <w:shd w:val="clear" w:color="auto" w:fill="FFFFFF"/>
        <w:spacing w:before="120"/>
        <w:ind w:left="5"/>
        <w:jc w:val="both"/>
        <w:rPr>
          <w:sz w:val="22"/>
          <w:szCs w:val="22"/>
        </w:rPr>
      </w:pPr>
      <w:r w:rsidRPr="001A100E">
        <w:rPr>
          <w:b/>
          <w:bCs/>
          <w:sz w:val="22"/>
          <w:szCs w:val="22"/>
          <w:lang w:val="en-US"/>
        </w:rPr>
        <w:t>Production of identity documents by persons on board resources installation</w:t>
      </w:r>
    </w:p>
    <w:p w14:paraId="431D5AFD" w14:textId="77777777" w:rsidR="00A633C8" w:rsidRPr="001A100E" w:rsidRDefault="004049D6" w:rsidP="003D66BB">
      <w:pPr>
        <w:shd w:val="clear" w:color="auto" w:fill="FFFFFF"/>
        <w:spacing w:before="120"/>
        <w:ind w:firstLine="346"/>
        <w:jc w:val="both"/>
        <w:rPr>
          <w:sz w:val="22"/>
          <w:szCs w:val="22"/>
        </w:rPr>
      </w:pPr>
      <w:r w:rsidRPr="001A100E">
        <w:rPr>
          <w:sz w:val="22"/>
          <w:szCs w:val="22"/>
          <w:lang w:val="en-US"/>
        </w:rPr>
        <w:t>“</w:t>
      </w:r>
      <w:r w:rsidR="003061BC" w:rsidRPr="001A100E">
        <w:rPr>
          <w:sz w:val="22"/>
          <w:szCs w:val="22"/>
          <w:lang w:val="en-US"/>
        </w:rPr>
        <w:t>72.(1) This section applies to a resources installation that has been brought into Australian waters from a place outside the outer limits of Australian waters for the purpose of being attached to the Australian seabed.</w:t>
      </w:r>
    </w:p>
    <w:p w14:paraId="5838742D" w14:textId="77777777" w:rsidR="00A633C8" w:rsidRPr="001A100E" w:rsidRDefault="004049D6" w:rsidP="003D66BB">
      <w:pPr>
        <w:shd w:val="clear" w:color="auto" w:fill="FFFFFF"/>
        <w:spacing w:before="120"/>
        <w:ind w:left="14" w:firstLine="341"/>
        <w:jc w:val="both"/>
        <w:rPr>
          <w:sz w:val="22"/>
          <w:szCs w:val="22"/>
        </w:rPr>
      </w:pPr>
      <w:r w:rsidRPr="001A100E">
        <w:rPr>
          <w:sz w:val="22"/>
          <w:szCs w:val="22"/>
          <w:lang w:val="en-US"/>
        </w:rPr>
        <w:t>“</w:t>
      </w:r>
      <w:r w:rsidR="003061BC" w:rsidRPr="001A100E">
        <w:rPr>
          <w:sz w:val="22"/>
          <w:szCs w:val="22"/>
          <w:lang w:val="en-US"/>
        </w:rPr>
        <w:t>(2) On the arrival of a resources installation at the place where it is to be attached to the Australian seabed, an officer may require the</w:t>
      </w:r>
    </w:p>
    <w:p w14:paraId="08CDD225" w14:textId="77777777" w:rsidR="00A633C8" w:rsidRPr="001A100E" w:rsidRDefault="00A633C8" w:rsidP="003D66BB">
      <w:pPr>
        <w:shd w:val="clear" w:color="auto" w:fill="FFFFFF"/>
        <w:spacing w:before="120"/>
        <w:ind w:left="14" w:firstLine="341"/>
        <w:jc w:val="both"/>
        <w:rPr>
          <w:sz w:val="22"/>
          <w:szCs w:val="22"/>
        </w:rPr>
        <w:sectPr w:rsidR="00A633C8" w:rsidRPr="001A100E" w:rsidSect="001A100E">
          <w:pgSz w:w="12240" w:h="15840"/>
          <w:pgMar w:top="1440" w:right="1440" w:bottom="1440" w:left="1440" w:header="720" w:footer="720" w:gutter="0"/>
          <w:cols w:space="60"/>
          <w:noEndnote/>
          <w:docGrid w:linePitch="272"/>
        </w:sectPr>
      </w:pPr>
    </w:p>
    <w:p w14:paraId="5B038937" w14:textId="77777777" w:rsidR="00A633C8" w:rsidRPr="001A100E" w:rsidRDefault="003061BC" w:rsidP="003D66BB">
      <w:pPr>
        <w:shd w:val="clear" w:color="auto" w:fill="FFFFFF"/>
        <w:spacing w:before="120"/>
        <w:ind w:left="5"/>
        <w:jc w:val="both"/>
        <w:rPr>
          <w:sz w:val="22"/>
          <w:szCs w:val="22"/>
        </w:rPr>
      </w:pPr>
      <w:r w:rsidRPr="001A100E">
        <w:rPr>
          <w:sz w:val="22"/>
          <w:szCs w:val="22"/>
          <w:lang w:val="en-US"/>
        </w:rPr>
        <w:lastRenderedPageBreak/>
        <w:t>person in charge of the installation to muster, in the presence of the officer, all of the people on board the installation.</w:t>
      </w:r>
    </w:p>
    <w:p w14:paraId="31B3F087" w14:textId="77777777" w:rsidR="00A633C8" w:rsidRPr="001A100E" w:rsidRDefault="004049D6" w:rsidP="003D66BB">
      <w:pPr>
        <w:shd w:val="clear" w:color="auto" w:fill="FFFFFF"/>
        <w:spacing w:before="120"/>
        <w:ind w:firstLine="341"/>
        <w:jc w:val="both"/>
        <w:rPr>
          <w:sz w:val="22"/>
          <w:szCs w:val="22"/>
        </w:rPr>
      </w:pPr>
      <w:r w:rsidRPr="001A100E">
        <w:rPr>
          <w:sz w:val="22"/>
          <w:szCs w:val="22"/>
          <w:lang w:val="en-US"/>
        </w:rPr>
        <w:t>“</w:t>
      </w:r>
      <w:r w:rsidR="003061BC" w:rsidRPr="001A100E">
        <w:rPr>
          <w:sz w:val="22"/>
          <w:szCs w:val="22"/>
          <w:lang w:val="en-US"/>
        </w:rPr>
        <w:t>(3) An officer may require the person in charge of a resources installation to muster, in the presence of the officer, all of the people on board the installation before the installation is detached from the Australian seabed for the purpose of being taken to a place outside the outer limits of Australian waters.</w:t>
      </w:r>
    </w:p>
    <w:p w14:paraId="5F1F33F2" w14:textId="77777777" w:rsidR="00A633C8" w:rsidRPr="001A100E" w:rsidRDefault="004049D6" w:rsidP="003D66BB">
      <w:pPr>
        <w:shd w:val="clear" w:color="auto" w:fill="FFFFFF"/>
        <w:spacing w:before="120"/>
        <w:ind w:left="5" w:firstLine="336"/>
        <w:jc w:val="both"/>
        <w:rPr>
          <w:sz w:val="22"/>
          <w:szCs w:val="22"/>
        </w:rPr>
      </w:pPr>
      <w:r w:rsidRPr="001A100E">
        <w:rPr>
          <w:sz w:val="22"/>
          <w:szCs w:val="22"/>
          <w:lang w:val="en-US"/>
        </w:rPr>
        <w:t>“</w:t>
      </w:r>
      <w:r w:rsidR="003061BC" w:rsidRPr="001A100E">
        <w:rPr>
          <w:sz w:val="22"/>
          <w:szCs w:val="22"/>
          <w:lang w:val="en-US"/>
        </w:rPr>
        <w:t>(4) An officer may require a person on board a resources installation that is attached to the Australian seabed or to another resources installation that is so attached to produce to the officer for inspection the person</w:t>
      </w:r>
      <w:r w:rsidRPr="001A100E">
        <w:rPr>
          <w:sz w:val="22"/>
          <w:szCs w:val="22"/>
          <w:lang w:val="en-US"/>
        </w:rPr>
        <w:t>’</w:t>
      </w:r>
      <w:r w:rsidR="003061BC" w:rsidRPr="001A100E">
        <w:rPr>
          <w:sz w:val="22"/>
          <w:szCs w:val="22"/>
          <w:lang w:val="en-US"/>
        </w:rPr>
        <w:t>s identity documents.</w:t>
      </w:r>
    </w:p>
    <w:p w14:paraId="4B18C100" w14:textId="77777777" w:rsidR="00A633C8" w:rsidRPr="001A100E" w:rsidRDefault="004049D6" w:rsidP="003D66BB">
      <w:pPr>
        <w:shd w:val="clear" w:color="auto" w:fill="FFFFFF"/>
        <w:spacing w:before="120"/>
        <w:ind w:left="5" w:firstLine="346"/>
        <w:jc w:val="both"/>
        <w:rPr>
          <w:sz w:val="22"/>
          <w:szCs w:val="22"/>
        </w:rPr>
      </w:pPr>
      <w:r w:rsidRPr="001A100E">
        <w:rPr>
          <w:sz w:val="22"/>
          <w:szCs w:val="22"/>
          <w:lang w:val="en-US"/>
        </w:rPr>
        <w:t>“</w:t>
      </w:r>
      <w:r w:rsidR="003061BC" w:rsidRPr="001A100E">
        <w:rPr>
          <w:sz w:val="22"/>
          <w:szCs w:val="22"/>
          <w:lang w:val="en-US"/>
        </w:rPr>
        <w:t>(5) A person must not, without reasonable excuse, fail to comply with a requirement made under this section.</w:t>
      </w:r>
    </w:p>
    <w:p w14:paraId="0FB10108" w14:textId="77777777" w:rsidR="00A633C8" w:rsidRPr="001A100E" w:rsidRDefault="003061BC" w:rsidP="003D66BB">
      <w:pPr>
        <w:shd w:val="clear" w:color="auto" w:fill="FFFFFF"/>
        <w:spacing w:before="120"/>
        <w:ind w:left="14"/>
        <w:jc w:val="both"/>
        <w:rPr>
          <w:sz w:val="22"/>
          <w:szCs w:val="22"/>
        </w:rPr>
      </w:pPr>
      <w:r w:rsidRPr="001A100E">
        <w:rPr>
          <w:sz w:val="22"/>
          <w:szCs w:val="22"/>
          <w:lang w:val="en-US"/>
        </w:rPr>
        <w:t>Penalty: $4,000.</w:t>
      </w:r>
    </w:p>
    <w:p w14:paraId="14815631" w14:textId="77777777" w:rsidR="00A633C8" w:rsidRPr="001A100E" w:rsidRDefault="003061BC" w:rsidP="003D66BB">
      <w:pPr>
        <w:shd w:val="clear" w:color="auto" w:fill="FFFFFF"/>
        <w:spacing w:before="120"/>
        <w:ind w:left="10"/>
        <w:jc w:val="both"/>
        <w:rPr>
          <w:sz w:val="22"/>
          <w:szCs w:val="22"/>
        </w:rPr>
      </w:pPr>
      <w:r w:rsidRPr="001A100E">
        <w:rPr>
          <w:b/>
          <w:bCs/>
          <w:sz w:val="22"/>
          <w:szCs w:val="22"/>
          <w:lang w:val="en-US"/>
        </w:rPr>
        <w:t>Production of identity documents by persons on board sea installation</w:t>
      </w:r>
    </w:p>
    <w:p w14:paraId="40D457D0" w14:textId="77777777" w:rsidR="00A633C8" w:rsidRPr="001A100E" w:rsidRDefault="004049D6" w:rsidP="003D66BB">
      <w:pPr>
        <w:shd w:val="clear" w:color="auto" w:fill="FFFFFF"/>
        <w:spacing w:before="120"/>
        <w:ind w:firstLine="341"/>
        <w:jc w:val="both"/>
        <w:rPr>
          <w:sz w:val="22"/>
          <w:szCs w:val="22"/>
        </w:rPr>
      </w:pPr>
      <w:r w:rsidRPr="001A100E">
        <w:rPr>
          <w:sz w:val="22"/>
          <w:szCs w:val="22"/>
          <w:lang w:val="en-US"/>
        </w:rPr>
        <w:t>“</w:t>
      </w:r>
      <w:r w:rsidR="003061BC" w:rsidRPr="001A100E">
        <w:rPr>
          <w:sz w:val="22"/>
          <w:szCs w:val="22"/>
          <w:lang w:val="en-US"/>
        </w:rPr>
        <w:t>73.(1) This section applies to a sea installation that has been brought into Australian waters from a place outside the outer limits of Australian waters for the purpose of being installed in an adjacent area or in a coastal area.</w:t>
      </w:r>
    </w:p>
    <w:p w14:paraId="2D39A161" w14:textId="77777777" w:rsidR="00A633C8" w:rsidRPr="001A100E" w:rsidRDefault="004049D6" w:rsidP="003D66BB">
      <w:pPr>
        <w:shd w:val="clear" w:color="auto" w:fill="FFFFFF"/>
        <w:spacing w:before="120"/>
        <w:ind w:firstLine="346"/>
        <w:jc w:val="both"/>
        <w:rPr>
          <w:sz w:val="22"/>
          <w:szCs w:val="22"/>
        </w:rPr>
      </w:pPr>
      <w:r w:rsidRPr="001A100E">
        <w:rPr>
          <w:sz w:val="22"/>
          <w:szCs w:val="22"/>
          <w:lang w:val="en-US"/>
        </w:rPr>
        <w:t>“</w:t>
      </w:r>
      <w:r w:rsidR="003061BC" w:rsidRPr="001A100E">
        <w:rPr>
          <w:sz w:val="22"/>
          <w:szCs w:val="22"/>
          <w:lang w:val="en-US"/>
        </w:rPr>
        <w:t>(2) On the arrival of a sea installation at its proposed location, an officer may require the person in charge of the installation to muster, in the presence of the officer, all of the people on board the installation.</w:t>
      </w:r>
    </w:p>
    <w:p w14:paraId="16F0BF69" w14:textId="77777777" w:rsidR="00A633C8" w:rsidRPr="001A100E" w:rsidRDefault="004049D6" w:rsidP="003D66BB">
      <w:pPr>
        <w:shd w:val="clear" w:color="auto" w:fill="FFFFFF"/>
        <w:spacing w:before="120"/>
        <w:ind w:firstLine="341"/>
        <w:jc w:val="both"/>
        <w:rPr>
          <w:sz w:val="22"/>
          <w:szCs w:val="22"/>
        </w:rPr>
      </w:pPr>
      <w:r w:rsidRPr="001A100E">
        <w:rPr>
          <w:sz w:val="22"/>
          <w:szCs w:val="22"/>
          <w:lang w:val="en-US"/>
        </w:rPr>
        <w:t>“</w:t>
      </w:r>
      <w:r w:rsidR="003061BC" w:rsidRPr="001A100E">
        <w:rPr>
          <w:sz w:val="22"/>
          <w:szCs w:val="22"/>
          <w:lang w:val="en-US"/>
        </w:rPr>
        <w:t>(3) An officer may require the person in charge of a sea installation to muster, in the presence of the officer, all of the people on board the installation before the installation is detached from its location for the purpose of being taken to a place outside the outer limits of Australian waters.</w:t>
      </w:r>
    </w:p>
    <w:p w14:paraId="2CEBE953" w14:textId="77777777" w:rsidR="00A633C8" w:rsidRPr="001A100E" w:rsidRDefault="004049D6" w:rsidP="003D66BB">
      <w:pPr>
        <w:shd w:val="clear" w:color="auto" w:fill="FFFFFF"/>
        <w:spacing w:before="120"/>
        <w:ind w:left="5" w:firstLine="341"/>
        <w:jc w:val="both"/>
        <w:rPr>
          <w:sz w:val="22"/>
          <w:szCs w:val="22"/>
        </w:rPr>
      </w:pPr>
      <w:r w:rsidRPr="001A100E">
        <w:rPr>
          <w:sz w:val="22"/>
          <w:szCs w:val="22"/>
          <w:lang w:val="en-US"/>
        </w:rPr>
        <w:t>“</w:t>
      </w:r>
      <w:r w:rsidR="003061BC" w:rsidRPr="001A100E">
        <w:rPr>
          <w:sz w:val="22"/>
          <w:szCs w:val="22"/>
          <w:lang w:val="en-US"/>
        </w:rPr>
        <w:t>(4) An officer may require a person on board a sea installation that is installed in an adjacent area or in a coastal area to produce to the officer for inspection the person</w:t>
      </w:r>
      <w:r w:rsidRPr="001A100E">
        <w:rPr>
          <w:sz w:val="22"/>
          <w:szCs w:val="22"/>
          <w:lang w:val="en-US"/>
        </w:rPr>
        <w:t>’</w:t>
      </w:r>
      <w:r w:rsidR="003061BC" w:rsidRPr="001A100E">
        <w:rPr>
          <w:sz w:val="22"/>
          <w:szCs w:val="22"/>
          <w:lang w:val="en-US"/>
        </w:rPr>
        <w:t>s identity documents.</w:t>
      </w:r>
    </w:p>
    <w:p w14:paraId="7162E83F" w14:textId="77777777" w:rsidR="00A633C8" w:rsidRPr="001A100E" w:rsidRDefault="004049D6" w:rsidP="003D66BB">
      <w:pPr>
        <w:shd w:val="clear" w:color="auto" w:fill="FFFFFF"/>
        <w:spacing w:before="120"/>
        <w:ind w:left="5" w:firstLine="341"/>
        <w:jc w:val="both"/>
        <w:rPr>
          <w:sz w:val="22"/>
          <w:szCs w:val="22"/>
        </w:rPr>
      </w:pPr>
      <w:r w:rsidRPr="001A100E">
        <w:rPr>
          <w:sz w:val="22"/>
          <w:szCs w:val="22"/>
          <w:lang w:val="en-US"/>
        </w:rPr>
        <w:t>“</w:t>
      </w:r>
      <w:r w:rsidR="003061BC" w:rsidRPr="001A100E">
        <w:rPr>
          <w:sz w:val="22"/>
          <w:szCs w:val="22"/>
          <w:lang w:val="en-US"/>
        </w:rPr>
        <w:t>(5) A person must not, without reasonable excuse, fail to comply with a requirement made under this section.</w:t>
      </w:r>
    </w:p>
    <w:p w14:paraId="7A74A395" w14:textId="77777777" w:rsidR="00A633C8" w:rsidRPr="001A100E" w:rsidRDefault="003061BC" w:rsidP="003D66BB">
      <w:pPr>
        <w:shd w:val="clear" w:color="auto" w:fill="FFFFFF"/>
        <w:spacing w:before="120"/>
        <w:ind w:left="10"/>
        <w:jc w:val="both"/>
        <w:rPr>
          <w:sz w:val="22"/>
          <w:szCs w:val="22"/>
        </w:rPr>
      </w:pPr>
      <w:r w:rsidRPr="001A100E">
        <w:rPr>
          <w:sz w:val="22"/>
          <w:szCs w:val="22"/>
          <w:lang w:val="en-US"/>
        </w:rPr>
        <w:t>Penalty: $4,000.</w:t>
      </w:r>
      <w:r w:rsidR="004049D6" w:rsidRPr="001A100E">
        <w:rPr>
          <w:sz w:val="22"/>
          <w:szCs w:val="22"/>
          <w:lang w:val="en-US"/>
        </w:rPr>
        <w:t>”</w:t>
      </w:r>
      <w:r w:rsidRPr="001A100E">
        <w:rPr>
          <w:sz w:val="22"/>
          <w:szCs w:val="22"/>
          <w:lang w:val="en-US"/>
        </w:rPr>
        <w:t>.</w:t>
      </w:r>
    </w:p>
    <w:p w14:paraId="67B47E24" w14:textId="77777777" w:rsidR="00A633C8" w:rsidRPr="001A100E" w:rsidRDefault="003061BC" w:rsidP="003D66BB">
      <w:pPr>
        <w:shd w:val="clear" w:color="auto" w:fill="FFFFFF"/>
        <w:spacing w:before="120"/>
        <w:ind w:left="10"/>
        <w:jc w:val="both"/>
        <w:rPr>
          <w:sz w:val="22"/>
          <w:szCs w:val="22"/>
        </w:rPr>
      </w:pPr>
      <w:r w:rsidRPr="001A100E">
        <w:rPr>
          <w:b/>
          <w:bCs/>
          <w:sz w:val="22"/>
          <w:szCs w:val="22"/>
          <w:lang w:val="en-US"/>
        </w:rPr>
        <w:t>Master to report absences</w:t>
      </w:r>
    </w:p>
    <w:p w14:paraId="12582464" w14:textId="77777777" w:rsidR="00A633C8" w:rsidRPr="001A100E" w:rsidRDefault="003061BC" w:rsidP="003D66BB">
      <w:pPr>
        <w:shd w:val="clear" w:color="auto" w:fill="FFFFFF"/>
        <w:spacing w:before="120"/>
        <w:ind w:left="5" w:firstLine="326"/>
        <w:jc w:val="both"/>
        <w:rPr>
          <w:sz w:val="22"/>
          <w:szCs w:val="22"/>
        </w:rPr>
      </w:pPr>
      <w:r w:rsidRPr="001A100E">
        <w:rPr>
          <w:b/>
          <w:bCs/>
          <w:sz w:val="22"/>
          <w:szCs w:val="22"/>
          <w:lang w:val="en-US"/>
        </w:rPr>
        <w:t xml:space="preserve">6. </w:t>
      </w:r>
      <w:r w:rsidRPr="001A100E">
        <w:rPr>
          <w:sz w:val="22"/>
          <w:szCs w:val="22"/>
          <w:lang w:val="en-US"/>
        </w:rPr>
        <w:t xml:space="preserve">Section 74 of the Principal Act is amended by omitting all words from and including </w:t>
      </w:r>
      <w:r w:rsidR="004049D6" w:rsidRPr="001A100E">
        <w:rPr>
          <w:sz w:val="22"/>
          <w:szCs w:val="22"/>
          <w:lang w:val="en-US"/>
        </w:rPr>
        <w:t>“</w:t>
      </w:r>
      <w:r w:rsidRPr="001A100E">
        <w:rPr>
          <w:sz w:val="22"/>
          <w:szCs w:val="22"/>
          <w:lang w:val="en-US"/>
        </w:rPr>
        <w:t>at that departure</w:t>
      </w:r>
      <w:r w:rsidR="004049D6" w:rsidRPr="001A100E">
        <w:rPr>
          <w:sz w:val="22"/>
          <w:szCs w:val="22"/>
          <w:lang w:val="en-US"/>
        </w:rPr>
        <w:t>”</w:t>
      </w:r>
      <w:r w:rsidRPr="001A100E">
        <w:rPr>
          <w:sz w:val="22"/>
          <w:szCs w:val="22"/>
          <w:lang w:val="en-US"/>
        </w:rPr>
        <w:t xml:space="preserve"> to the end of paragraph (b) and substituting:</w:t>
      </w:r>
    </w:p>
    <w:p w14:paraId="5A78C6BA" w14:textId="77777777" w:rsidR="00A633C8" w:rsidRPr="001A100E" w:rsidRDefault="004049D6" w:rsidP="003D66BB">
      <w:pPr>
        <w:shd w:val="clear" w:color="auto" w:fill="FFFFFF"/>
        <w:spacing w:before="120"/>
        <w:ind w:left="5"/>
        <w:jc w:val="both"/>
        <w:rPr>
          <w:sz w:val="22"/>
          <w:szCs w:val="22"/>
        </w:rPr>
      </w:pPr>
      <w:r w:rsidRPr="001A100E">
        <w:rPr>
          <w:sz w:val="22"/>
          <w:szCs w:val="22"/>
          <w:lang w:val="en-US"/>
        </w:rPr>
        <w:t>“</w:t>
      </w:r>
      <w:r w:rsidR="003061BC" w:rsidRPr="001A100E">
        <w:rPr>
          <w:sz w:val="22"/>
          <w:szCs w:val="22"/>
          <w:lang w:val="en-US"/>
        </w:rPr>
        <w:t>at that departure, deliver to an officer a written report:</w:t>
      </w:r>
    </w:p>
    <w:p w14:paraId="666CA276" w14:textId="77777777" w:rsidR="00A633C8" w:rsidRPr="001A100E" w:rsidRDefault="003061BC" w:rsidP="003D66BB">
      <w:pPr>
        <w:numPr>
          <w:ilvl w:val="0"/>
          <w:numId w:val="2"/>
        </w:numPr>
        <w:shd w:val="clear" w:color="auto" w:fill="FFFFFF"/>
        <w:tabs>
          <w:tab w:val="left" w:pos="773"/>
        </w:tabs>
        <w:spacing w:before="120"/>
        <w:ind w:left="384"/>
        <w:jc w:val="both"/>
        <w:rPr>
          <w:sz w:val="22"/>
          <w:szCs w:val="22"/>
          <w:lang w:val="en-US"/>
        </w:rPr>
      </w:pPr>
      <w:r w:rsidRPr="001A100E">
        <w:rPr>
          <w:sz w:val="22"/>
          <w:szCs w:val="22"/>
          <w:lang w:val="en-US"/>
        </w:rPr>
        <w:t>specifying the name of the member; and</w:t>
      </w:r>
    </w:p>
    <w:p w14:paraId="70A18159" w14:textId="77777777" w:rsidR="00A633C8" w:rsidRPr="001A100E" w:rsidRDefault="003061BC" w:rsidP="003D66BB">
      <w:pPr>
        <w:numPr>
          <w:ilvl w:val="0"/>
          <w:numId w:val="2"/>
        </w:numPr>
        <w:shd w:val="clear" w:color="auto" w:fill="FFFFFF"/>
        <w:tabs>
          <w:tab w:val="left" w:pos="773"/>
        </w:tabs>
        <w:spacing w:before="120"/>
        <w:ind w:left="384"/>
        <w:jc w:val="both"/>
        <w:rPr>
          <w:sz w:val="22"/>
          <w:szCs w:val="22"/>
          <w:lang w:val="en-US"/>
        </w:rPr>
      </w:pPr>
      <w:r w:rsidRPr="001A100E">
        <w:rPr>
          <w:sz w:val="22"/>
          <w:szCs w:val="22"/>
          <w:lang w:val="en-US"/>
        </w:rPr>
        <w:t>stating:</w:t>
      </w:r>
    </w:p>
    <w:p w14:paraId="7EEC3687" w14:textId="77777777" w:rsidR="00A633C8" w:rsidRPr="001A100E" w:rsidRDefault="00A633C8" w:rsidP="003D66BB">
      <w:pPr>
        <w:numPr>
          <w:ilvl w:val="0"/>
          <w:numId w:val="2"/>
        </w:numPr>
        <w:shd w:val="clear" w:color="auto" w:fill="FFFFFF"/>
        <w:tabs>
          <w:tab w:val="left" w:pos="773"/>
        </w:tabs>
        <w:spacing w:before="120"/>
        <w:ind w:left="384"/>
        <w:jc w:val="both"/>
        <w:rPr>
          <w:sz w:val="22"/>
          <w:szCs w:val="22"/>
          <w:lang w:val="en-US"/>
        </w:rPr>
        <w:sectPr w:rsidR="00A633C8" w:rsidRPr="001A100E" w:rsidSect="001A100E">
          <w:pgSz w:w="12240" w:h="15840"/>
          <w:pgMar w:top="1440" w:right="1440" w:bottom="1440" w:left="1440" w:header="720" w:footer="720" w:gutter="0"/>
          <w:cols w:space="60"/>
          <w:noEndnote/>
          <w:docGrid w:linePitch="272"/>
        </w:sectPr>
      </w:pPr>
    </w:p>
    <w:p w14:paraId="46F4DB58" w14:textId="77777777" w:rsidR="00A633C8" w:rsidRPr="001A100E" w:rsidRDefault="003061BC" w:rsidP="003D66BB">
      <w:pPr>
        <w:shd w:val="clear" w:color="auto" w:fill="FFFFFF"/>
        <w:spacing w:before="120"/>
        <w:ind w:left="1435" w:hanging="336"/>
        <w:jc w:val="both"/>
        <w:rPr>
          <w:sz w:val="22"/>
          <w:szCs w:val="22"/>
        </w:rPr>
      </w:pPr>
      <w:r w:rsidRPr="001A100E">
        <w:rPr>
          <w:sz w:val="22"/>
          <w:szCs w:val="22"/>
          <w:lang w:val="en-US"/>
        </w:rPr>
        <w:lastRenderedPageBreak/>
        <w:t>(i) that the member was a member of the crew of the vessel on board the vessel at the time of its arrival at that port; and</w:t>
      </w:r>
    </w:p>
    <w:p w14:paraId="3A8F9403" w14:textId="77777777" w:rsidR="00A633C8" w:rsidRPr="001A100E" w:rsidRDefault="003061BC" w:rsidP="003D66BB">
      <w:pPr>
        <w:shd w:val="clear" w:color="auto" w:fill="FFFFFF"/>
        <w:spacing w:before="120"/>
        <w:ind w:left="1445" w:hanging="418"/>
        <w:jc w:val="both"/>
        <w:rPr>
          <w:sz w:val="22"/>
          <w:szCs w:val="22"/>
        </w:rPr>
      </w:pPr>
      <w:r w:rsidRPr="001A100E">
        <w:rPr>
          <w:sz w:val="22"/>
          <w:szCs w:val="22"/>
          <w:lang w:val="en-US"/>
        </w:rPr>
        <w:t>(ii) that the member is absent from the vessel at the time of its departure from that port; and</w:t>
      </w:r>
    </w:p>
    <w:p w14:paraId="312E1726" w14:textId="77777777" w:rsidR="00A633C8" w:rsidRPr="001A100E" w:rsidRDefault="003061BC" w:rsidP="003D66BB">
      <w:pPr>
        <w:shd w:val="clear" w:color="auto" w:fill="FFFFFF"/>
        <w:spacing w:before="120"/>
        <w:ind w:left="792" w:hanging="379"/>
        <w:jc w:val="both"/>
        <w:rPr>
          <w:sz w:val="22"/>
          <w:szCs w:val="22"/>
        </w:rPr>
      </w:pPr>
      <w:r w:rsidRPr="001A100E">
        <w:rPr>
          <w:sz w:val="22"/>
          <w:szCs w:val="22"/>
          <w:lang w:val="en-US"/>
        </w:rPr>
        <w:t>(c) stating whether the member left the vessel at that port with leave or without leave.</w:t>
      </w:r>
      <w:r w:rsidR="004049D6" w:rsidRPr="001A100E">
        <w:rPr>
          <w:sz w:val="22"/>
          <w:szCs w:val="22"/>
          <w:lang w:val="en-US"/>
        </w:rPr>
        <w:t>”</w:t>
      </w:r>
      <w:r w:rsidRPr="001A100E">
        <w:rPr>
          <w:sz w:val="22"/>
          <w:szCs w:val="22"/>
          <w:lang w:val="en-US"/>
        </w:rPr>
        <w:t>.</w:t>
      </w:r>
    </w:p>
    <w:p w14:paraId="503AE166" w14:textId="77777777" w:rsidR="00A633C8" w:rsidRPr="001A100E" w:rsidRDefault="003061BC" w:rsidP="003D66BB">
      <w:pPr>
        <w:shd w:val="clear" w:color="auto" w:fill="FFFFFF"/>
        <w:spacing w:before="120"/>
        <w:jc w:val="both"/>
        <w:rPr>
          <w:sz w:val="22"/>
          <w:szCs w:val="22"/>
        </w:rPr>
      </w:pPr>
      <w:r w:rsidRPr="001A100E">
        <w:rPr>
          <w:b/>
          <w:bCs/>
          <w:sz w:val="22"/>
          <w:szCs w:val="22"/>
          <w:lang w:val="en-US"/>
        </w:rPr>
        <w:t>Repeal</w:t>
      </w:r>
    </w:p>
    <w:p w14:paraId="7DE5E2AA" w14:textId="77777777" w:rsidR="00A633C8" w:rsidRPr="001A100E" w:rsidRDefault="003061BC" w:rsidP="003D66BB">
      <w:pPr>
        <w:shd w:val="clear" w:color="auto" w:fill="FFFFFF"/>
        <w:tabs>
          <w:tab w:val="left" w:pos="648"/>
        </w:tabs>
        <w:spacing w:before="120"/>
        <w:ind w:left="336"/>
        <w:jc w:val="both"/>
        <w:rPr>
          <w:sz w:val="22"/>
          <w:szCs w:val="22"/>
        </w:rPr>
      </w:pPr>
      <w:r w:rsidRPr="001A100E">
        <w:rPr>
          <w:b/>
          <w:bCs/>
          <w:sz w:val="22"/>
          <w:szCs w:val="22"/>
          <w:lang w:val="en-US"/>
        </w:rPr>
        <w:t>7.</w:t>
      </w:r>
      <w:r w:rsidRPr="001A100E">
        <w:rPr>
          <w:sz w:val="22"/>
          <w:szCs w:val="22"/>
          <w:lang w:val="en-US"/>
        </w:rPr>
        <w:tab/>
        <w:t>Section 75 of the Principal Act is repealed.</w:t>
      </w:r>
    </w:p>
    <w:p w14:paraId="77358113" w14:textId="77777777" w:rsidR="00A633C8" w:rsidRPr="001A100E" w:rsidRDefault="003061BC" w:rsidP="003D66BB">
      <w:pPr>
        <w:shd w:val="clear" w:color="auto" w:fill="FFFFFF"/>
        <w:spacing w:before="120"/>
        <w:jc w:val="both"/>
        <w:rPr>
          <w:sz w:val="22"/>
          <w:szCs w:val="22"/>
        </w:rPr>
      </w:pPr>
      <w:r w:rsidRPr="001A100E">
        <w:rPr>
          <w:b/>
          <w:bCs/>
          <w:sz w:val="22"/>
          <w:szCs w:val="22"/>
          <w:lang w:val="en-US"/>
        </w:rPr>
        <w:t>Proof of certain matters</w:t>
      </w:r>
    </w:p>
    <w:p w14:paraId="5AA5B6B4" w14:textId="77777777" w:rsidR="00A633C8" w:rsidRPr="001A100E" w:rsidRDefault="003061BC" w:rsidP="003D66BB">
      <w:pPr>
        <w:shd w:val="clear" w:color="auto" w:fill="FFFFFF"/>
        <w:tabs>
          <w:tab w:val="left" w:pos="648"/>
        </w:tabs>
        <w:spacing w:before="120"/>
        <w:ind w:firstLine="336"/>
        <w:jc w:val="both"/>
        <w:rPr>
          <w:sz w:val="22"/>
          <w:szCs w:val="22"/>
        </w:rPr>
      </w:pPr>
      <w:r w:rsidRPr="001A100E">
        <w:rPr>
          <w:b/>
          <w:bCs/>
          <w:sz w:val="22"/>
          <w:szCs w:val="22"/>
          <w:lang w:val="en-US"/>
        </w:rPr>
        <w:t>8.</w:t>
      </w:r>
      <w:r w:rsidRPr="001A100E">
        <w:rPr>
          <w:b/>
          <w:bCs/>
          <w:sz w:val="22"/>
          <w:szCs w:val="22"/>
          <w:lang w:val="en-US"/>
        </w:rPr>
        <w:tab/>
      </w:r>
      <w:r w:rsidRPr="001A100E">
        <w:rPr>
          <w:sz w:val="22"/>
          <w:szCs w:val="22"/>
          <w:lang w:val="en-US"/>
        </w:rPr>
        <w:t>Section 111 of the Principal Act is amended by omitting</w:t>
      </w:r>
      <w:r w:rsidR="001A100E" w:rsidRPr="001A100E">
        <w:rPr>
          <w:sz w:val="22"/>
          <w:szCs w:val="22"/>
          <w:lang w:val="en-US"/>
        </w:rPr>
        <w:t xml:space="preserve"> </w:t>
      </w:r>
      <w:r w:rsidRPr="001A100E">
        <w:rPr>
          <w:sz w:val="22"/>
          <w:szCs w:val="22"/>
          <w:lang w:val="en-US"/>
        </w:rPr>
        <w:t>paragraph (1)(b).</w:t>
      </w:r>
    </w:p>
    <w:p w14:paraId="225EFA86" w14:textId="281229A9" w:rsidR="00A633C8" w:rsidRPr="001A100E" w:rsidRDefault="003061BC" w:rsidP="00CB7895">
      <w:pPr>
        <w:widowControl/>
        <w:shd w:val="clear" w:color="auto" w:fill="FFFFFF"/>
        <w:spacing w:before="240" w:after="120"/>
        <w:jc w:val="center"/>
        <w:rPr>
          <w:sz w:val="22"/>
          <w:szCs w:val="22"/>
        </w:rPr>
      </w:pPr>
      <w:r w:rsidRPr="001A100E">
        <w:rPr>
          <w:b/>
          <w:bCs/>
          <w:sz w:val="22"/>
          <w:szCs w:val="22"/>
          <w:lang w:val="en-US"/>
        </w:rPr>
        <w:t>PART 4</w:t>
      </w:r>
      <w:r w:rsidRPr="001A100E">
        <w:rPr>
          <w:rFonts w:eastAsia="Times New Roman"/>
          <w:b/>
          <w:bCs/>
          <w:sz w:val="22"/>
          <w:szCs w:val="22"/>
          <w:lang w:val="en-US"/>
        </w:rPr>
        <w:t>—AMENDMENTS OF THE NAVIGATION ACT 1912</w:t>
      </w:r>
      <w:bookmarkStart w:id="0" w:name="_GoBack"/>
      <w:bookmarkEnd w:id="0"/>
    </w:p>
    <w:p w14:paraId="30BDA612" w14:textId="77777777" w:rsidR="00A633C8" w:rsidRPr="001A100E" w:rsidRDefault="003061BC" w:rsidP="003D66BB">
      <w:pPr>
        <w:shd w:val="clear" w:color="auto" w:fill="FFFFFF"/>
        <w:spacing w:before="120"/>
        <w:jc w:val="both"/>
        <w:rPr>
          <w:sz w:val="22"/>
          <w:szCs w:val="22"/>
        </w:rPr>
      </w:pPr>
      <w:r w:rsidRPr="001A100E">
        <w:rPr>
          <w:b/>
          <w:bCs/>
          <w:sz w:val="22"/>
          <w:szCs w:val="22"/>
          <w:lang w:val="en-US"/>
        </w:rPr>
        <w:t>Principal Act</w:t>
      </w:r>
    </w:p>
    <w:p w14:paraId="7698CDA3" w14:textId="77777777" w:rsidR="00A633C8" w:rsidRPr="001A100E" w:rsidRDefault="003061BC" w:rsidP="003D66BB">
      <w:pPr>
        <w:shd w:val="clear" w:color="auto" w:fill="FFFFFF"/>
        <w:tabs>
          <w:tab w:val="left" w:pos="648"/>
        </w:tabs>
        <w:spacing w:before="120"/>
        <w:ind w:left="336"/>
        <w:jc w:val="both"/>
        <w:rPr>
          <w:sz w:val="22"/>
          <w:szCs w:val="22"/>
        </w:rPr>
      </w:pPr>
      <w:r w:rsidRPr="001A100E">
        <w:rPr>
          <w:b/>
          <w:bCs/>
          <w:sz w:val="22"/>
          <w:szCs w:val="22"/>
          <w:lang w:val="en-US"/>
        </w:rPr>
        <w:t>9.</w:t>
      </w:r>
      <w:r w:rsidRPr="001A100E">
        <w:rPr>
          <w:b/>
          <w:bCs/>
          <w:sz w:val="22"/>
          <w:szCs w:val="22"/>
          <w:lang w:val="en-US"/>
        </w:rPr>
        <w:tab/>
      </w:r>
      <w:r w:rsidRPr="001A100E">
        <w:rPr>
          <w:sz w:val="22"/>
          <w:szCs w:val="22"/>
          <w:lang w:val="en-US"/>
        </w:rPr>
        <w:t xml:space="preserve">In this Part, </w:t>
      </w:r>
      <w:r w:rsidR="004049D6" w:rsidRPr="001A100E">
        <w:rPr>
          <w:b/>
          <w:bCs/>
          <w:sz w:val="22"/>
          <w:szCs w:val="22"/>
          <w:lang w:val="en-US"/>
        </w:rPr>
        <w:t>“</w:t>
      </w:r>
      <w:r w:rsidRPr="001A100E">
        <w:rPr>
          <w:b/>
          <w:bCs/>
          <w:sz w:val="22"/>
          <w:szCs w:val="22"/>
          <w:lang w:val="en-US"/>
        </w:rPr>
        <w:t>Principal Act</w:t>
      </w:r>
      <w:r w:rsidR="004049D6" w:rsidRPr="001A100E">
        <w:rPr>
          <w:b/>
          <w:bCs/>
          <w:sz w:val="22"/>
          <w:szCs w:val="22"/>
          <w:lang w:val="en-US"/>
        </w:rPr>
        <w:t>”</w:t>
      </w:r>
      <w:r w:rsidRPr="001A100E">
        <w:rPr>
          <w:b/>
          <w:bCs/>
          <w:sz w:val="22"/>
          <w:szCs w:val="22"/>
          <w:lang w:val="en-US"/>
        </w:rPr>
        <w:t xml:space="preserve"> </w:t>
      </w:r>
      <w:r w:rsidRPr="001A100E">
        <w:rPr>
          <w:sz w:val="22"/>
          <w:szCs w:val="22"/>
          <w:lang w:val="en-US"/>
        </w:rPr>
        <w:t xml:space="preserve">means the </w:t>
      </w:r>
      <w:r w:rsidRPr="001A100E">
        <w:rPr>
          <w:i/>
          <w:iCs/>
          <w:sz w:val="22"/>
          <w:szCs w:val="22"/>
          <w:lang w:val="en-US"/>
        </w:rPr>
        <w:t>Navigation Act 1912</w:t>
      </w:r>
      <w:r w:rsidRPr="001A100E">
        <w:rPr>
          <w:sz w:val="22"/>
          <w:szCs w:val="22"/>
          <w:vertAlign w:val="superscript"/>
          <w:lang w:val="en-US"/>
        </w:rPr>
        <w:t>2</w:t>
      </w:r>
      <w:r w:rsidRPr="001A100E">
        <w:rPr>
          <w:i/>
          <w:iCs/>
          <w:sz w:val="22"/>
          <w:szCs w:val="22"/>
          <w:lang w:val="en-US"/>
        </w:rPr>
        <w:t>.</w:t>
      </w:r>
    </w:p>
    <w:p w14:paraId="5F15E2E5" w14:textId="77777777" w:rsidR="00A633C8" w:rsidRPr="001A100E" w:rsidRDefault="003061BC" w:rsidP="003D66BB">
      <w:pPr>
        <w:shd w:val="clear" w:color="auto" w:fill="FFFFFF"/>
        <w:tabs>
          <w:tab w:val="left" w:pos="768"/>
        </w:tabs>
        <w:spacing w:before="120"/>
        <w:ind w:left="5" w:firstLine="355"/>
        <w:jc w:val="both"/>
        <w:rPr>
          <w:sz w:val="22"/>
          <w:szCs w:val="22"/>
        </w:rPr>
      </w:pPr>
      <w:r w:rsidRPr="001A100E">
        <w:rPr>
          <w:b/>
          <w:bCs/>
          <w:sz w:val="22"/>
          <w:szCs w:val="22"/>
          <w:lang w:val="en-US"/>
        </w:rPr>
        <w:t>10.</w:t>
      </w:r>
      <w:r w:rsidRPr="001A100E">
        <w:rPr>
          <w:sz w:val="22"/>
          <w:szCs w:val="22"/>
          <w:lang w:val="en-US"/>
        </w:rPr>
        <w:tab/>
        <w:t>Sections 117 and 118 of the Principal Act are repealed and the</w:t>
      </w:r>
      <w:r w:rsidR="001A100E" w:rsidRPr="001A100E">
        <w:rPr>
          <w:sz w:val="22"/>
          <w:szCs w:val="22"/>
          <w:lang w:val="en-US"/>
        </w:rPr>
        <w:t xml:space="preserve"> </w:t>
      </w:r>
      <w:r w:rsidRPr="001A100E">
        <w:rPr>
          <w:sz w:val="22"/>
          <w:szCs w:val="22"/>
          <w:lang w:val="en-US"/>
        </w:rPr>
        <w:t>following sections are substituted:</w:t>
      </w:r>
    </w:p>
    <w:p w14:paraId="65AE4E9F" w14:textId="77777777" w:rsidR="00A633C8" w:rsidRPr="001A100E" w:rsidRDefault="003061BC" w:rsidP="003D66BB">
      <w:pPr>
        <w:shd w:val="clear" w:color="auto" w:fill="FFFFFF"/>
        <w:spacing w:before="120"/>
        <w:ind w:left="5"/>
        <w:jc w:val="both"/>
        <w:rPr>
          <w:sz w:val="22"/>
          <w:szCs w:val="22"/>
        </w:rPr>
      </w:pPr>
      <w:r w:rsidRPr="001A100E">
        <w:rPr>
          <w:b/>
          <w:bCs/>
          <w:sz w:val="22"/>
          <w:szCs w:val="22"/>
          <w:lang w:val="en-US"/>
        </w:rPr>
        <w:t>Provisions adequate for voyage</w:t>
      </w:r>
    </w:p>
    <w:p w14:paraId="6B0B0506" w14:textId="77777777" w:rsidR="00A633C8" w:rsidRPr="001A100E" w:rsidRDefault="004049D6" w:rsidP="003D66BB">
      <w:pPr>
        <w:shd w:val="clear" w:color="auto" w:fill="FFFFFF"/>
        <w:spacing w:before="120"/>
        <w:ind w:left="10" w:firstLine="341"/>
        <w:jc w:val="both"/>
        <w:rPr>
          <w:sz w:val="22"/>
          <w:szCs w:val="22"/>
        </w:rPr>
      </w:pPr>
      <w:r w:rsidRPr="001A100E">
        <w:rPr>
          <w:sz w:val="22"/>
          <w:szCs w:val="22"/>
          <w:lang w:val="en-US"/>
        </w:rPr>
        <w:t>“</w:t>
      </w:r>
      <w:r w:rsidR="003061BC" w:rsidRPr="001A100E">
        <w:rPr>
          <w:sz w:val="22"/>
          <w:szCs w:val="22"/>
          <w:lang w:val="en-US"/>
        </w:rPr>
        <w:t>117. The master of a ship must not undertake a voyage unless the ship is carrying:</w:t>
      </w:r>
    </w:p>
    <w:p w14:paraId="20CC9A2A" w14:textId="77777777" w:rsidR="00A633C8" w:rsidRPr="001A100E" w:rsidRDefault="003061BC" w:rsidP="003D66BB">
      <w:pPr>
        <w:numPr>
          <w:ilvl w:val="0"/>
          <w:numId w:val="3"/>
        </w:numPr>
        <w:shd w:val="clear" w:color="auto" w:fill="FFFFFF"/>
        <w:tabs>
          <w:tab w:val="left" w:pos="787"/>
        </w:tabs>
        <w:spacing w:before="120"/>
        <w:ind w:left="389"/>
        <w:jc w:val="both"/>
        <w:rPr>
          <w:sz w:val="22"/>
          <w:szCs w:val="22"/>
          <w:lang w:val="en-US"/>
        </w:rPr>
      </w:pPr>
      <w:r w:rsidRPr="001A100E">
        <w:rPr>
          <w:sz w:val="22"/>
          <w:szCs w:val="22"/>
          <w:lang w:val="en-US"/>
        </w:rPr>
        <w:t>water of suitable quality and quantity; and</w:t>
      </w:r>
    </w:p>
    <w:p w14:paraId="6442EEC9" w14:textId="77777777" w:rsidR="00A633C8" w:rsidRPr="001A100E" w:rsidRDefault="003061BC" w:rsidP="003D66BB">
      <w:pPr>
        <w:numPr>
          <w:ilvl w:val="0"/>
          <w:numId w:val="3"/>
        </w:numPr>
        <w:shd w:val="clear" w:color="auto" w:fill="FFFFFF"/>
        <w:tabs>
          <w:tab w:val="left" w:pos="787"/>
        </w:tabs>
        <w:spacing w:before="120"/>
        <w:ind w:left="389"/>
        <w:jc w:val="both"/>
        <w:rPr>
          <w:sz w:val="22"/>
          <w:szCs w:val="22"/>
          <w:lang w:val="en-US"/>
        </w:rPr>
      </w:pPr>
      <w:r w:rsidRPr="001A100E">
        <w:rPr>
          <w:sz w:val="22"/>
          <w:szCs w:val="22"/>
          <w:lang w:val="en-US"/>
        </w:rPr>
        <w:t>food of suitable quality, quantity, nutritive value and variety;</w:t>
      </w:r>
    </w:p>
    <w:p w14:paraId="76CF7154" w14:textId="77777777" w:rsidR="00A633C8" w:rsidRPr="001A100E" w:rsidRDefault="003061BC" w:rsidP="003D66BB">
      <w:pPr>
        <w:shd w:val="clear" w:color="auto" w:fill="FFFFFF"/>
        <w:spacing w:before="120"/>
        <w:ind w:left="10"/>
        <w:jc w:val="both"/>
        <w:rPr>
          <w:sz w:val="22"/>
          <w:szCs w:val="22"/>
        </w:rPr>
      </w:pPr>
      <w:r w:rsidRPr="001A100E">
        <w:rPr>
          <w:sz w:val="22"/>
          <w:szCs w:val="22"/>
          <w:lang w:val="en-US"/>
        </w:rPr>
        <w:t>having regard to the nature and duration of the voyage and the size of the crew.</w:t>
      </w:r>
    </w:p>
    <w:p w14:paraId="0F3B9B54" w14:textId="77777777" w:rsidR="00A633C8" w:rsidRPr="001A100E" w:rsidRDefault="003061BC" w:rsidP="003D66BB">
      <w:pPr>
        <w:shd w:val="clear" w:color="auto" w:fill="FFFFFF"/>
        <w:spacing w:before="120"/>
        <w:ind w:left="5"/>
        <w:jc w:val="both"/>
        <w:rPr>
          <w:sz w:val="22"/>
          <w:szCs w:val="22"/>
        </w:rPr>
      </w:pPr>
      <w:r w:rsidRPr="001A100E">
        <w:rPr>
          <w:b/>
          <w:bCs/>
          <w:sz w:val="22"/>
          <w:szCs w:val="22"/>
          <w:lang w:val="en-US"/>
        </w:rPr>
        <w:t>Adequate food catering facilities to be provided</w:t>
      </w:r>
    </w:p>
    <w:p w14:paraId="7CC2AA12" w14:textId="77777777" w:rsidR="00A633C8" w:rsidRPr="001A100E" w:rsidRDefault="004049D6" w:rsidP="003D66BB">
      <w:pPr>
        <w:shd w:val="clear" w:color="auto" w:fill="FFFFFF"/>
        <w:spacing w:before="120"/>
        <w:ind w:left="10" w:firstLine="341"/>
        <w:jc w:val="both"/>
        <w:rPr>
          <w:sz w:val="22"/>
          <w:szCs w:val="22"/>
        </w:rPr>
      </w:pPr>
      <w:r w:rsidRPr="001A100E">
        <w:rPr>
          <w:sz w:val="22"/>
          <w:szCs w:val="22"/>
          <w:lang w:val="en-US"/>
        </w:rPr>
        <w:t>“</w:t>
      </w:r>
      <w:r w:rsidR="003061BC" w:rsidRPr="001A100E">
        <w:rPr>
          <w:sz w:val="22"/>
          <w:szCs w:val="22"/>
          <w:lang w:val="en-US"/>
        </w:rPr>
        <w:t>117A. The owner of a ship must not allow the ship to undertake a voyage unless the ship has catering facilities that are so arranged and equipped as to enable proper meals to be served to the crew.</w:t>
      </w:r>
      <w:r w:rsidRPr="001A100E">
        <w:rPr>
          <w:sz w:val="22"/>
          <w:szCs w:val="22"/>
          <w:lang w:val="en-US"/>
        </w:rPr>
        <w:t>”</w:t>
      </w:r>
      <w:r w:rsidR="003061BC" w:rsidRPr="001A100E">
        <w:rPr>
          <w:sz w:val="22"/>
          <w:szCs w:val="22"/>
          <w:lang w:val="en-US"/>
        </w:rPr>
        <w:t>.</w:t>
      </w:r>
    </w:p>
    <w:p w14:paraId="53037C75" w14:textId="77777777" w:rsidR="00A633C8" w:rsidRPr="001A100E" w:rsidRDefault="003061BC" w:rsidP="003D66BB">
      <w:pPr>
        <w:shd w:val="clear" w:color="auto" w:fill="FFFFFF"/>
        <w:tabs>
          <w:tab w:val="left" w:pos="768"/>
        </w:tabs>
        <w:spacing w:before="120"/>
        <w:ind w:left="5" w:firstLine="355"/>
        <w:jc w:val="both"/>
        <w:rPr>
          <w:sz w:val="22"/>
          <w:szCs w:val="22"/>
        </w:rPr>
      </w:pPr>
      <w:r w:rsidRPr="001A100E">
        <w:rPr>
          <w:b/>
          <w:bCs/>
          <w:sz w:val="22"/>
          <w:szCs w:val="22"/>
          <w:lang w:val="en-US"/>
        </w:rPr>
        <w:t>11.</w:t>
      </w:r>
      <w:r w:rsidRPr="001A100E">
        <w:rPr>
          <w:b/>
          <w:bCs/>
          <w:sz w:val="22"/>
          <w:szCs w:val="22"/>
          <w:lang w:val="en-US"/>
        </w:rPr>
        <w:tab/>
      </w:r>
      <w:r w:rsidRPr="001A100E">
        <w:rPr>
          <w:sz w:val="22"/>
          <w:szCs w:val="22"/>
          <w:lang w:val="en-US"/>
        </w:rPr>
        <w:t>After section 133 of the Principal Act the following section is</w:t>
      </w:r>
      <w:r w:rsidR="001A100E" w:rsidRPr="001A100E">
        <w:rPr>
          <w:sz w:val="22"/>
          <w:szCs w:val="22"/>
          <w:lang w:val="en-US"/>
        </w:rPr>
        <w:t xml:space="preserve"> </w:t>
      </w:r>
      <w:r w:rsidRPr="001A100E">
        <w:rPr>
          <w:sz w:val="22"/>
          <w:szCs w:val="22"/>
          <w:lang w:val="en-US"/>
        </w:rPr>
        <w:t>inserted in Division 14 of Part II:</w:t>
      </w:r>
    </w:p>
    <w:p w14:paraId="47CA8186" w14:textId="77777777" w:rsidR="00A633C8" w:rsidRPr="001A100E" w:rsidRDefault="003061BC" w:rsidP="003D66BB">
      <w:pPr>
        <w:shd w:val="clear" w:color="auto" w:fill="FFFFFF"/>
        <w:spacing w:before="120"/>
        <w:ind w:left="5"/>
        <w:jc w:val="both"/>
        <w:rPr>
          <w:sz w:val="22"/>
          <w:szCs w:val="22"/>
        </w:rPr>
      </w:pPr>
      <w:r w:rsidRPr="001A100E">
        <w:rPr>
          <w:b/>
          <w:bCs/>
          <w:sz w:val="22"/>
          <w:szCs w:val="22"/>
          <w:lang w:val="en-US"/>
        </w:rPr>
        <w:t>Regulations to give effect to the Medical Examination (Seafarers) Convention 1946</w:t>
      </w:r>
    </w:p>
    <w:p w14:paraId="3ED7D689" w14:textId="77777777" w:rsidR="00A633C8" w:rsidRPr="001A100E" w:rsidRDefault="004049D6" w:rsidP="003D66BB">
      <w:pPr>
        <w:shd w:val="clear" w:color="auto" w:fill="FFFFFF"/>
        <w:spacing w:before="120"/>
        <w:ind w:left="10" w:firstLine="346"/>
        <w:jc w:val="both"/>
        <w:rPr>
          <w:sz w:val="22"/>
          <w:szCs w:val="22"/>
        </w:rPr>
      </w:pPr>
      <w:r w:rsidRPr="001A100E">
        <w:rPr>
          <w:sz w:val="22"/>
          <w:szCs w:val="22"/>
          <w:lang w:val="en-US"/>
        </w:rPr>
        <w:t>“</w:t>
      </w:r>
      <w:r w:rsidR="003061BC" w:rsidRPr="001A100E">
        <w:rPr>
          <w:sz w:val="22"/>
          <w:szCs w:val="22"/>
          <w:lang w:val="en-US"/>
        </w:rPr>
        <w:t xml:space="preserve">134.(1) The regulations may make provision for, or in relation to, giving effect to the Medical Examination (Seafarers) Convention 1946 adopted by the General Conference of the International </w:t>
      </w:r>
      <w:proofErr w:type="spellStart"/>
      <w:r w:rsidR="003061BC" w:rsidRPr="001A100E">
        <w:rPr>
          <w:sz w:val="22"/>
          <w:szCs w:val="22"/>
          <w:lang w:val="en-US"/>
        </w:rPr>
        <w:t>Labour</w:t>
      </w:r>
      <w:proofErr w:type="spellEnd"/>
      <w:r w:rsidR="003061BC" w:rsidRPr="001A100E">
        <w:rPr>
          <w:sz w:val="22"/>
          <w:szCs w:val="22"/>
          <w:lang w:val="en-US"/>
        </w:rPr>
        <w:t xml:space="preserve"> </w:t>
      </w:r>
      <w:proofErr w:type="spellStart"/>
      <w:r w:rsidR="003061BC" w:rsidRPr="001A100E">
        <w:rPr>
          <w:sz w:val="22"/>
          <w:szCs w:val="22"/>
          <w:lang w:val="en-US"/>
        </w:rPr>
        <w:t>Organisation</w:t>
      </w:r>
      <w:proofErr w:type="spellEnd"/>
      <w:r w:rsidR="003061BC" w:rsidRPr="001A100E">
        <w:rPr>
          <w:sz w:val="22"/>
          <w:szCs w:val="22"/>
          <w:lang w:val="en-US"/>
        </w:rPr>
        <w:t xml:space="preserve"> on 29 June 1946.</w:t>
      </w:r>
    </w:p>
    <w:p w14:paraId="794E0BF9" w14:textId="77777777" w:rsidR="00A633C8" w:rsidRPr="001A100E" w:rsidRDefault="00A633C8" w:rsidP="003D66BB">
      <w:pPr>
        <w:shd w:val="clear" w:color="auto" w:fill="FFFFFF"/>
        <w:spacing w:before="120"/>
        <w:ind w:left="10" w:firstLine="346"/>
        <w:jc w:val="both"/>
        <w:rPr>
          <w:sz w:val="22"/>
          <w:szCs w:val="22"/>
        </w:rPr>
        <w:sectPr w:rsidR="00A633C8" w:rsidRPr="001A100E" w:rsidSect="001A100E">
          <w:pgSz w:w="12240" w:h="15840"/>
          <w:pgMar w:top="1440" w:right="1440" w:bottom="1440" w:left="1440" w:header="720" w:footer="720" w:gutter="0"/>
          <w:cols w:space="60"/>
          <w:noEndnote/>
          <w:docGrid w:linePitch="272"/>
        </w:sectPr>
      </w:pPr>
    </w:p>
    <w:p w14:paraId="422E573A" w14:textId="77777777" w:rsidR="00A633C8" w:rsidRPr="001A100E" w:rsidRDefault="004049D6" w:rsidP="003D66BB">
      <w:pPr>
        <w:shd w:val="clear" w:color="auto" w:fill="FFFFFF"/>
        <w:spacing w:before="120"/>
        <w:ind w:left="5" w:firstLine="341"/>
        <w:jc w:val="both"/>
        <w:rPr>
          <w:sz w:val="22"/>
          <w:szCs w:val="22"/>
        </w:rPr>
      </w:pPr>
      <w:r w:rsidRPr="001A100E">
        <w:rPr>
          <w:sz w:val="22"/>
          <w:szCs w:val="22"/>
          <w:lang w:val="en-US"/>
        </w:rPr>
        <w:lastRenderedPageBreak/>
        <w:t>“</w:t>
      </w:r>
      <w:r w:rsidR="003061BC" w:rsidRPr="001A100E">
        <w:rPr>
          <w:sz w:val="22"/>
          <w:szCs w:val="22"/>
          <w:lang w:val="en-US"/>
        </w:rPr>
        <w:t>(2) If a provision of the Convention applies only to a particular class of ships or to ships engaged on a particular class of voyages, a regulation that gives effect to that provision may be applied to ships of any other class or to ships engaged in any other class of voyages.</w:t>
      </w:r>
    </w:p>
    <w:p w14:paraId="06D52B02" w14:textId="77777777" w:rsidR="00A633C8" w:rsidRPr="001A100E" w:rsidRDefault="004049D6" w:rsidP="003D66BB">
      <w:pPr>
        <w:shd w:val="clear" w:color="auto" w:fill="FFFFFF"/>
        <w:spacing w:before="120"/>
        <w:ind w:firstLine="346"/>
        <w:jc w:val="both"/>
        <w:rPr>
          <w:sz w:val="22"/>
          <w:szCs w:val="22"/>
        </w:rPr>
      </w:pPr>
      <w:r w:rsidRPr="001A100E">
        <w:rPr>
          <w:sz w:val="22"/>
          <w:szCs w:val="22"/>
          <w:lang w:val="en-US"/>
        </w:rPr>
        <w:t>“</w:t>
      </w:r>
      <w:r w:rsidR="003061BC" w:rsidRPr="001A100E">
        <w:rPr>
          <w:sz w:val="22"/>
          <w:szCs w:val="22"/>
          <w:lang w:val="en-US"/>
        </w:rPr>
        <w:t>(3) Section 2 does not apply to a regulation made for the purposes of this section.</w:t>
      </w:r>
    </w:p>
    <w:p w14:paraId="3ADFA486" w14:textId="77777777" w:rsidR="00A633C8" w:rsidRPr="001A100E" w:rsidRDefault="004049D6" w:rsidP="003D66BB">
      <w:pPr>
        <w:shd w:val="clear" w:color="auto" w:fill="FFFFFF"/>
        <w:spacing w:before="120"/>
        <w:ind w:firstLine="350"/>
        <w:jc w:val="both"/>
        <w:rPr>
          <w:sz w:val="22"/>
          <w:szCs w:val="22"/>
        </w:rPr>
      </w:pPr>
      <w:r w:rsidRPr="001A100E">
        <w:rPr>
          <w:sz w:val="22"/>
          <w:szCs w:val="22"/>
          <w:lang w:val="en-US"/>
        </w:rPr>
        <w:t>“</w:t>
      </w:r>
      <w:r w:rsidR="003061BC" w:rsidRPr="001A100E">
        <w:rPr>
          <w:sz w:val="22"/>
          <w:szCs w:val="22"/>
          <w:lang w:val="en-US"/>
        </w:rPr>
        <w:t>(4) Regulations and orders giving effect to the Convention do not apply to a ship referred to in paragraph 2(1)(a), (b). (c) or (d) to the extent that a law of a State or of the Northern Territory gives effect to the Convention in relation to that ship.</w:t>
      </w:r>
      <w:r w:rsidRPr="001A100E">
        <w:rPr>
          <w:sz w:val="22"/>
          <w:szCs w:val="22"/>
          <w:lang w:val="en-US"/>
        </w:rPr>
        <w:t>”</w:t>
      </w:r>
      <w:r w:rsidR="003061BC" w:rsidRPr="001A100E">
        <w:rPr>
          <w:sz w:val="22"/>
          <w:szCs w:val="22"/>
          <w:lang w:val="en-US"/>
        </w:rPr>
        <w:t>.</w:t>
      </w:r>
    </w:p>
    <w:p w14:paraId="30B77662" w14:textId="77777777" w:rsidR="00A633C8" w:rsidRPr="001A100E" w:rsidRDefault="00ED0A20" w:rsidP="00ED0A20">
      <w:pPr>
        <w:widowControl/>
        <w:shd w:val="clear" w:color="auto" w:fill="FFFFFF"/>
        <w:spacing w:before="480" w:after="120"/>
        <w:jc w:val="center"/>
        <w:rPr>
          <w:sz w:val="22"/>
          <w:szCs w:val="22"/>
        </w:rPr>
      </w:pPr>
      <w:r>
        <w:rPr>
          <w:b/>
          <w:bCs/>
          <w:noProof/>
          <w:sz w:val="22"/>
          <w:szCs w:val="22"/>
          <w:lang w:val="en-AU" w:eastAsia="en-AU"/>
        </w:rPr>
        <mc:AlternateContent>
          <mc:Choice Requires="wps">
            <w:drawing>
              <wp:anchor distT="0" distB="0" distL="114300" distR="114300" simplePos="0" relativeHeight="251661312" behindDoc="0" locked="0" layoutInCell="1" allowOverlap="1" wp14:anchorId="6414FD74" wp14:editId="144C3A0A">
                <wp:simplePos x="0" y="0"/>
                <wp:positionH relativeFrom="column">
                  <wp:posOffset>-9526</wp:posOffset>
                </wp:positionH>
                <wp:positionV relativeFrom="paragraph">
                  <wp:posOffset>123190</wp:posOffset>
                </wp:positionV>
                <wp:extent cx="59721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97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36BC13"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9.7pt" to="469.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o0twEAALcDAAAOAAAAZHJzL2Uyb0RvYy54bWysU02P2yAQva/U/4C4N7aj/aoVZw9ZtZeq&#10;jbrbH8BiiFGBQQONnX+/A0m8VVtVq1UvmIH33swbxqu7yVm2VxgN+I43i5oz5SX0xu86/v3x4/tb&#10;zmISvhcWvOr4QUV+t353sRpDq5YwgO0VMhLxsR1Dx4eUQltVUQ7KibiAoDxdakAnEoW4q3oUI6k7&#10;Wy3r+roaAfuAIFWMdHp/vOTroq+1kumr1lElZjtOtaWyYlmf8lqtV6LdoQiDkacyxBuqcMJ4SjpL&#10;3Ysk2E80f0g5IxEi6LSQ4CrQ2khVPJCbpv7NzcMggipeqDkxzG2K/09WftlvkZm+45eceeHoiR4S&#10;CrMbEtuA99RAQHaZ+zSG2BJ847d4imLYYjY9aXT5S3bYVHp7mHurpsQkHV59uFk2N1ecyfNd9UIM&#10;GNMnBY7lTcet8dm2aMX+c0yUjKBnCAW5kGPqsksHqzLY+m9KkxVK1hR2GSK1scj2gp6//9FkG6RV&#10;kJmijbUzqf436YTNNFUG67XEGV0ygk8z0RkP+LesaTqXqo/4s+uj12z7CfpDeYjSDpqO4uw0yXn8&#10;fo0L/eV/Wz8DAAD//wMAUEsDBBQABgAIAAAAIQDNbU923QAAAAgBAAAPAAAAZHJzL2Rvd25yZXYu&#10;eG1sTI/NTsMwEITvSH0Ha5G4tU4LtE2IUyF+TvQQAgeObrwkUeN1FLtJ4OlZxKEcd2Y0+026m2wr&#10;Bux940jBchGBQCqdaahS8P72PN+C8EGT0a0jVPCFHnbZ7CLViXEjveJQhEpwCflEK6hD6BIpfVmj&#10;1X7hOiT2Pl1vdeCzr6Tp9cjltpWrKFpLqxviD7Xu8KHG8licrILN00uRd+Pj/juXG5nngwvb44dS&#10;V5fT/R2IgFM4h+EXn9EhY6aDO5HxolUwX95ykvX4BgT78XXM2w5/gsxS+X9A9gMAAP//AwBQSwEC&#10;LQAUAAYACAAAACEAtoM4kv4AAADhAQAAEwAAAAAAAAAAAAAAAAAAAAAAW0NvbnRlbnRfVHlwZXNd&#10;LnhtbFBLAQItABQABgAIAAAAIQA4/SH/1gAAAJQBAAALAAAAAAAAAAAAAAAAAC8BAABfcmVscy8u&#10;cmVsc1BLAQItABQABgAIAAAAIQB7BKo0twEAALcDAAAOAAAAAAAAAAAAAAAAAC4CAABkcnMvZTJv&#10;RG9jLnhtbFBLAQItABQABgAIAAAAIQDNbU923QAAAAgBAAAPAAAAAAAAAAAAAAAAABEEAABkcnMv&#10;ZG93bnJldi54bWxQSwUGAAAAAAQABADzAAAAGwUAAAAA&#10;" strokecolor="black [3040]"/>
            </w:pict>
          </mc:Fallback>
        </mc:AlternateContent>
      </w:r>
      <w:r w:rsidR="003061BC" w:rsidRPr="001A100E">
        <w:rPr>
          <w:b/>
          <w:bCs/>
          <w:sz w:val="22"/>
          <w:szCs w:val="22"/>
          <w:lang w:val="en-US"/>
        </w:rPr>
        <w:t>NOTES</w:t>
      </w:r>
    </w:p>
    <w:p w14:paraId="09454EF1" w14:textId="77777777" w:rsidR="00A633C8" w:rsidRPr="00CB0D3F" w:rsidRDefault="003061BC" w:rsidP="003D66BB">
      <w:pPr>
        <w:numPr>
          <w:ilvl w:val="0"/>
          <w:numId w:val="4"/>
        </w:numPr>
        <w:shd w:val="clear" w:color="auto" w:fill="FFFFFF"/>
        <w:tabs>
          <w:tab w:val="left" w:pos="302"/>
        </w:tabs>
        <w:spacing w:before="120"/>
        <w:ind w:left="302" w:hanging="278"/>
        <w:jc w:val="both"/>
        <w:rPr>
          <w:lang w:val="en-US"/>
        </w:rPr>
      </w:pPr>
      <w:r w:rsidRPr="00CB0D3F">
        <w:rPr>
          <w:lang w:val="en-US"/>
        </w:rPr>
        <w:t>No. 62, 1958. as amended. For previous amendments, see No. 87. 1964: No. 10, 1966; Nos. 16 and 216, 1973; Nos. 37 and 91, 1976; Nos. 117 and 118, 1979; Nos. 89 and 175, 1980; No. 61, 1981; No. 51, 1982; Nos. 73 and 112, 1983; Nos. 22. 72 and 123, 1984; Nos. 71, 102 and 168, 1986; Nos. 86, 104, 133 and 141, 1987; Nos. 5, 38, 49 and 151, 1988; Nos. 59 and 61, 1989; No. 37, 1990; Nos. 70, 86, 196 and 198, 1991; and No. 24, 1992.</w:t>
      </w:r>
    </w:p>
    <w:p w14:paraId="42F23603" w14:textId="77777777" w:rsidR="00A633C8" w:rsidRPr="00CB0D3F" w:rsidRDefault="003061BC" w:rsidP="003D66BB">
      <w:pPr>
        <w:numPr>
          <w:ilvl w:val="0"/>
          <w:numId w:val="4"/>
        </w:numPr>
        <w:shd w:val="clear" w:color="auto" w:fill="FFFFFF"/>
        <w:tabs>
          <w:tab w:val="left" w:pos="302"/>
        </w:tabs>
        <w:spacing w:before="120"/>
        <w:ind w:left="302" w:hanging="278"/>
        <w:jc w:val="both"/>
        <w:rPr>
          <w:lang w:val="en-US"/>
        </w:rPr>
      </w:pPr>
      <w:r w:rsidRPr="00CB0D3F">
        <w:rPr>
          <w:lang w:val="en-US"/>
        </w:rPr>
        <w:t>No. 4, 1913, as amended. For previous amendments, see No. 32, 1919; No. 1, 1921; No. 8, 1925; No. 8, 1926; No. 49, 1934; No. 30, 1935; No. 1, 1943; No. 80, 1950: No. 109, 1952; No. 96, 1953; No. 46, 1956; No. 36, 1958 (as amended by No. 96, 1961; No. 1, 1965 and No. 98, 1979); No. 96, 1961; No. 1, 1965; No. 93, 1966; No. 60, 1967; No. 62, 1968; Nos. 1 and 117, 1970; No. 28, 1972; No. 216, 1973 (as amended b</w:t>
      </w:r>
      <w:r w:rsidR="008A6136" w:rsidRPr="00CB0D3F">
        <w:rPr>
          <w:lang w:val="en-US"/>
        </w:rPr>
        <w:t>y</w:t>
      </w:r>
      <w:r w:rsidRPr="00CB0D3F">
        <w:rPr>
          <w:lang w:val="en-US"/>
        </w:rPr>
        <w:t xml:space="preserve"> No. 20, 1974; and No. 91, 1976); No. 157, 1976; Nos. 98 (as amended by No. 20, 1974; and No. 91, 1976); No. 157, 1976; Nos. 98 (as amended by No. 39, 1983) and 155, 1979; No. 70, 1980; No. 87, 1980 (as amended b</w:t>
      </w:r>
      <w:r w:rsidR="008A6136" w:rsidRPr="00CB0D3F">
        <w:rPr>
          <w:lang w:val="en-US"/>
        </w:rPr>
        <w:t>y</w:t>
      </w:r>
      <w:r w:rsidRPr="00CB0D3F">
        <w:rPr>
          <w:lang w:val="en-US"/>
        </w:rPr>
        <w:t xml:space="preserve"> Nos. 10 and 74, 1981; No. 84, 1983; No. 57, 1988; and No. 23, 1990); No. 10, 1981 (as amended b</w:t>
      </w:r>
      <w:r w:rsidR="008A6136" w:rsidRPr="00CB0D3F">
        <w:rPr>
          <w:lang w:val="en-US"/>
        </w:rPr>
        <w:t>y</w:t>
      </w:r>
      <w:r w:rsidRPr="00CB0D3F">
        <w:rPr>
          <w:lang w:val="en-US"/>
        </w:rPr>
        <w:t xml:space="preserve"> No. 74, 1981; and No. 57, 1988): No. 36, 1981 (as amended by No. 40, 1983); Nos. 61 and 74, 1981; No. 80, 1982 (as amended by No. 39, 1983); No. 40, 1984 (as amended by Nos. 84 and 91, 1983); No. 72, 1984 (as amended by No. 165, 1984); Nos. 65 and 193, 1985; Nos. 76, 132, 163 and 167, 1986; Nos. 141, 1987; Nos. 34, 57, 87, 99 and 127, 1988; Nos. 6, 63, 129 and 151, 1989; Nos. 23 and 78, 1990; No. 11, 1991; and No. 7, 1992.</w:t>
      </w:r>
    </w:p>
    <w:p w14:paraId="610EEF59" w14:textId="77777777" w:rsidR="00A633C8" w:rsidRPr="00CB0D3F" w:rsidRDefault="003061BC" w:rsidP="00ED0A20">
      <w:pPr>
        <w:shd w:val="clear" w:color="auto" w:fill="FFFFFF"/>
        <w:spacing w:before="240"/>
        <w:ind w:left="24"/>
        <w:jc w:val="both"/>
      </w:pPr>
      <w:r w:rsidRPr="00CB0D3F">
        <w:rPr>
          <w:lang w:val="en-US"/>
        </w:rPr>
        <w:t>[</w:t>
      </w:r>
      <w:r w:rsidRPr="00CB0D3F">
        <w:rPr>
          <w:i/>
          <w:iCs/>
          <w:lang w:val="en-US"/>
        </w:rPr>
        <w:t>Minister</w:t>
      </w:r>
      <w:r w:rsidR="004049D6" w:rsidRPr="00CB0D3F">
        <w:rPr>
          <w:i/>
          <w:iCs/>
          <w:lang w:val="en-US"/>
        </w:rPr>
        <w:t>’</w:t>
      </w:r>
      <w:r w:rsidRPr="00CB0D3F">
        <w:rPr>
          <w:i/>
          <w:iCs/>
          <w:lang w:val="en-US"/>
        </w:rPr>
        <w:t>s second reading speech made in</w:t>
      </w:r>
      <w:r w:rsidRPr="00CB0D3F">
        <w:rPr>
          <w:rFonts w:eastAsia="Times New Roman"/>
          <w:lang w:val="en-US"/>
        </w:rPr>
        <w:t>—</w:t>
      </w:r>
    </w:p>
    <w:p w14:paraId="15011681" w14:textId="77777777" w:rsidR="00CB0D3F" w:rsidRDefault="003061BC" w:rsidP="00CB0D3F">
      <w:pPr>
        <w:shd w:val="clear" w:color="auto" w:fill="FFFFFF"/>
        <w:ind w:left="758"/>
        <w:jc w:val="both"/>
        <w:rPr>
          <w:i/>
          <w:iCs/>
          <w:lang w:val="en-US"/>
        </w:rPr>
      </w:pPr>
      <w:r w:rsidRPr="00CB0D3F">
        <w:rPr>
          <w:i/>
          <w:iCs/>
          <w:lang w:val="en-US"/>
        </w:rPr>
        <w:t>Senate on 11 November 1992</w:t>
      </w:r>
    </w:p>
    <w:p w14:paraId="65C91F4A" w14:textId="77777777" w:rsidR="003061BC" w:rsidRPr="00CB0D3F" w:rsidRDefault="003061BC" w:rsidP="00CB0D3F">
      <w:pPr>
        <w:shd w:val="clear" w:color="auto" w:fill="FFFFFF"/>
        <w:ind w:left="758"/>
        <w:jc w:val="both"/>
      </w:pPr>
      <w:r w:rsidRPr="00CB0D3F">
        <w:rPr>
          <w:i/>
          <w:iCs/>
          <w:lang w:val="en-US"/>
        </w:rPr>
        <w:t>House of Representatives on 18 December 1992 a.m.</w:t>
      </w:r>
      <w:r w:rsidRPr="00CB0D3F">
        <w:rPr>
          <w:lang w:val="en-US"/>
        </w:rPr>
        <w:t>]</w:t>
      </w:r>
    </w:p>
    <w:sectPr w:rsidR="003061BC" w:rsidRPr="00CB0D3F" w:rsidSect="001A100E">
      <w:pgSz w:w="12240" w:h="15840"/>
      <w:pgMar w:top="1440" w:right="1440" w:bottom="1440" w:left="1440" w:header="720" w:footer="720" w:gutter="0"/>
      <w:cols w:space="6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36F763" w15:done="0"/>
  <w15:commentEx w15:paraId="776713E1" w15:done="0"/>
  <w15:commentEx w15:paraId="0ACE99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36F763" w16cid:durableId="20EACA1B"/>
  <w16cid:commentId w16cid:paraId="776713E1" w16cid:durableId="20EACA10"/>
  <w16cid:commentId w16cid:paraId="0ACE992C" w16cid:durableId="20EACA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CF814" w14:textId="77777777" w:rsidR="00275A77" w:rsidRDefault="00275A77" w:rsidP="00DD0B38">
      <w:r>
        <w:separator/>
      </w:r>
    </w:p>
  </w:endnote>
  <w:endnote w:type="continuationSeparator" w:id="0">
    <w:p w14:paraId="4D8CE5E1" w14:textId="77777777" w:rsidR="00275A77" w:rsidRDefault="00275A77" w:rsidP="00DD0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024C7" w14:textId="77777777" w:rsidR="00275A77" w:rsidRDefault="00275A77" w:rsidP="00DD0B38">
      <w:r>
        <w:separator/>
      </w:r>
    </w:p>
  </w:footnote>
  <w:footnote w:type="continuationSeparator" w:id="0">
    <w:p w14:paraId="7F2AA3DE" w14:textId="77777777" w:rsidR="00275A77" w:rsidRDefault="00275A77" w:rsidP="00DD0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DDCD3" w14:textId="77777777" w:rsidR="00DD0B38" w:rsidRPr="000D4563" w:rsidRDefault="00DD0B38" w:rsidP="0068067D">
    <w:pPr>
      <w:widowControl/>
      <w:tabs>
        <w:tab w:val="left" w:pos="2070"/>
      </w:tabs>
      <w:jc w:val="center"/>
      <w:rPr>
        <w:sz w:val="22"/>
      </w:rPr>
    </w:pPr>
    <w:r w:rsidRPr="000D4563">
      <w:rPr>
        <w:i/>
        <w:iCs/>
        <w:sz w:val="22"/>
        <w:szCs w:val="24"/>
        <w:lang w:val="en-US"/>
      </w:rPr>
      <w:t xml:space="preserve">International </w:t>
    </w:r>
    <w:proofErr w:type="spellStart"/>
    <w:r w:rsidRPr="000D4563">
      <w:rPr>
        <w:i/>
        <w:iCs/>
        <w:sz w:val="22"/>
        <w:szCs w:val="24"/>
        <w:lang w:val="en-US"/>
      </w:rPr>
      <w:t>Labour</w:t>
    </w:r>
    <w:proofErr w:type="spellEnd"/>
    <w:r w:rsidRPr="000D4563">
      <w:rPr>
        <w:i/>
        <w:iCs/>
        <w:sz w:val="22"/>
        <w:szCs w:val="24"/>
        <w:lang w:val="en-US"/>
      </w:rPr>
      <w:t xml:space="preserve"> </w:t>
    </w:r>
    <w:proofErr w:type="spellStart"/>
    <w:r w:rsidRPr="000D4563">
      <w:rPr>
        <w:i/>
        <w:iCs/>
        <w:sz w:val="22"/>
        <w:szCs w:val="24"/>
        <w:lang w:val="en-US"/>
      </w:rPr>
      <w:t>Organisation</w:t>
    </w:r>
    <w:proofErr w:type="spellEnd"/>
    <w:r w:rsidRPr="000D4563">
      <w:rPr>
        <w:i/>
        <w:iCs/>
        <w:sz w:val="22"/>
        <w:szCs w:val="24"/>
        <w:lang w:val="en-US"/>
      </w:rPr>
      <w:t xml:space="preserve"> (Compliance</w:t>
    </w:r>
    <w:r w:rsidRPr="000D4563">
      <w:rPr>
        <w:i/>
        <w:iCs/>
        <w:sz w:val="22"/>
        <w:szCs w:val="24"/>
        <w:lang w:val="en-US"/>
      </w:rPr>
      <w:br/>
      <w:t>with Conventions)</w:t>
    </w:r>
    <w:r w:rsidRPr="000D4563">
      <w:rPr>
        <w:i/>
        <w:iCs/>
        <w:sz w:val="22"/>
        <w:szCs w:val="24"/>
        <w:lang w:val="en-US"/>
      </w:rPr>
      <w:tab/>
      <w:t>No. 220,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338AC"/>
    <w:multiLevelType w:val="singleLevel"/>
    <w:tmpl w:val="B796A5E6"/>
    <w:lvl w:ilvl="0">
      <w:start w:val="1"/>
      <w:numFmt w:val="lowerLetter"/>
      <w:lvlText w:val="(%1)"/>
      <w:legacy w:legacy="1" w:legacySpace="0" w:legacyIndent="398"/>
      <w:lvlJc w:val="left"/>
      <w:rPr>
        <w:rFonts w:ascii="Times New Roman" w:hAnsi="Times New Roman" w:cs="Times New Roman" w:hint="default"/>
      </w:rPr>
    </w:lvl>
  </w:abstractNum>
  <w:abstractNum w:abstractNumId="1">
    <w:nsid w:val="5F4D5EC4"/>
    <w:multiLevelType w:val="singleLevel"/>
    <w:tmpl w:val="87D09F54"/>
    <w:lvl w:ilvl="0">
      <w:start w:val="4"/>
      <w:numFmt w:val="decimal"/>
      <w:lvlText w:val="%1."/>
      <w:legacy w:legacy="1" w:legacySpace="0" w:legacyIndent="302"/>
      <w:lvlJc w:val="left"/>
      <w:rPr>
        <w:rFonts w:ascii="Times New Roman" w:hAnsi="Times New Roman" w:cs="Times New Roman" w:hint="default"/>
      </w:rPr>
    </w:lvl>
  </w:abstractNum>
  <w:abstractNum w:abstractNumId="2">
    <w:nsid w:val="623B2CE0"/>
    <w:multiLevelType w:val="singleLevel"/>
    <w:tmpl w:val="8294DA8C"/>
    <w:lvl w:ilvl="0">
      <w:start w:val="1"/>
      <w:numFmt w:val="lowerLetter"/>
      <w:lvlText w:val="(%1)"/>
      <w:legacy w:legacy="1" w:legacySpace="0" w:legacyIndent="389"/>
      <w:lvlJc w:val="left"/>
      <w:rPr>
        <w:rFonts w:ascii="Times New Roman" w:hAnsi="Times New Roman" w:cs="Times New Roman" w:hint="default"/>
      </w:rPr>
    </w:lvl>
  </w:abstractNum>
  <w:abstractNum w:abstractNumId="3">
    <w:nsid w:val="7F900B5D"/>
    <w:multiLevelType w:val="singleLevel"/>
    <w:tmpl w:val="406862CE"/>
    <w:lvl w:ilvl="0">
      <w:start w:val="1"/>
      <w:numFmt w:val="decimal"/>
      <w:lvlText w:val="%1."/>
      <w:legacy w:legacy="1" w:legacySpace="0" w:legacyIndent="278"/>
      <w:lvlJc w:val="left"/>
      <w:rPr>
        <w:rFonts w:ascii="Times New Roman" w:hAnsi="Times New Roman" w:cs="Times New Roman"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9D6"/>
    <w:rsid w:val="000047B3"/>
    <w:rsid w:val="000D4563"/>
    <w:rsid w:val="001A100E"/>
    <w:rsid w:val="00275A77"/>
    <w:rsid w:val="003061BC"/>
    <w:rsid w:val="003702B2"/>
    <w:rsid w:val="003D66BB"/>
    <w:rsid w:val="004049D6"/>
    <w:rsid w:val="005A3C76"/>
    <w:rsid w:val="0068067D"/>
    <w:rsid w:val="007012E6"/>
    <w:rsid w:val="0071763F"/>
    <w:rsid w:val="007F34BB"/>
    <w:rsid w:val="008A6136"/>
    <w:rsid w:val="00A633C8"/>
    <w:rsid w:val="00AE4B35"/>
    <w:rsid w:val="00C06D83"/>
    <w:rsid w:val="00CB0D3F"/>
    <w:rsid w:val="00CB7895"/>
    <w:rsid w:val="00D53A11"/>
    <w:rsid w:val="00D95E2E"/>
    <w:rsid w:val="00DD0B38"/>
    <w:rsid w:val="00E50A4C"/>
    <w:rsid w:val="00ED0A20"/>
    <w:rsid w:val="00ED53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A1EFE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00E"/>
    <w:rPr>
      <w:rFonts w:ascii="Tahoma" w:hAnsi="Tahoma" w:cs="Tahoma"/>
      <w:sz w:val="16"/>
      <w:szCs w:val="16"/>
    </w:rPr>
  </w:style>
  <w:style w:type="character" w:customStyle="1" w:styleId="BalloonTextChar">
    <w:name w:val="Balloon Text Char"/>
    <w:basedOn w:val="DefaultParagraphFont"/>
    <w:link w:val="BalloonText"/>
    <w:uiPriority w:val="99"/>
    <w:semiHidden/>
    <w:rsid w:val="001A100E"/>
    <w:rPr>
      <w:rFonts w:ascii="Tahoma" w:hAnsi="Tahoma" w:cs="Tahoma"/>
      <w:sz w:val="16"/>
      <w:szCs w:val="16"/>
    </w:rPr>
  </w:style>
  <w:style w:type="paragraph" w:styleId="Header">
    <w:name w:val="header"/>
    <w:basedOn w:val="Normal"/>
    <w:link w:val="HeaderChar"/>
    <w:uiPriority w:val="99"/>
    <w:unhideWhenUsed/>
    <w:rsid w:val="00DD0B38"/>
    <w:pPr>
      <w:tabs>
        <w:tab w:val="center" w:pos="4680"/>
        <w:tab w:val="right" w:pos="9360"/>
      </w:tabs>
    </w:pPr>
  </w:style>
  <w:style w:type="character" w:customStyle="1" w:styleId="HeaderChar">
    <w:name w:val="Header Char"/>
    <w:basedOn w:val="DefaultParagraphFont"/>
    <w:link w:val="Header"/>
    <w:uiPriority w:val="99"/>
    <w:rsid w:val="00DD0B38"/>
    <w:rPr>
      <w:rFonts w:ascii="Times New Roman" w:hAnsi="Times New Roman" w:cs="Times New Roman"/>
      <w:sz w:val="20"/>
      <w:szCs w:val="20"/>
    </w:rPr>
  </w:style>
  <w:style w:type="paragraph" w:styleId="Footer">
    <w:name w:val="footer"/>
    <w:basedOn w:val="Normal"/>
    <w:link w:val="FooterChar"/>
    <w:uiPriority w:val="99"/>
    <w:unhideWhenUsed/>
    <w:rsid w:val="00DD0B38"/>
    <w:pPr>
      <w:tabs>
        <w:tab w:val="center" w:pos="4680"/>
        <w:tab w:val="right" w:pos="9360"/>
      </w:tabs>
    </w:pPr>
  </w:style>
  <w:style w:type="character" w:customStyle="1" w:styleId="FooterChar">
    <w:name w:val="Footer Char"/>
    <w:basedOn w:val="DefaultParagraphFont"/>
    <w:link w:val="Footer"/>
    <w:uiPriority w:val="99"/>
    <w:rsid w:val="00DD0B38"/>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D95E2E"/>
    <w:rPr>
      <w:sz w:val="16"/>
      <w:szCs w:val="16"/>
    </w:rPr>
  </w:style>
  <w:style w:type="paragraph" w:styleId="CommentText">
    <w:name w:val="annotation text"/>
    <w:basedOn w:val="Normal"/>
    <w:link w:val="CommentTextChar"/>
    <w:uiPriority w:val="99"/>
    <w:semiHidden/>
    <w:unhideWhenUsed/>
    <w:rsid w:val="00D95E2E"/>
  </w:style>
  <w:style w:type="character" w:customStyle="1" w:styleId="CommentTextChar">
    <w:name w:val="Comment Text Char"/>
    <w:basedOn w:val="DefaultParagraphFont"/>
    <w:link w:val="CommentText"/>
    <w:uiPriority w:val="99"/>
    <w:semiHidden/>
    <w:rsid w:val="00D95E2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5E2E"/>
    <w:rPr>
      <w:b/>
      <w:bCs/>
    </w:rPr>
  </w:style>
  <w:style w:type="character" w:customStyle="1" w:styleId="CommentSubjectChar">
    <w:name w:val="Comment Subject Char"/>
    <w:basedOn w:val="CommentTextChar"/>
    <w:link w:val="CommentSubject"/>
    <w:uiPriority w:val="99"/>
    <w:semiHidden/>
    <w:rsid w:val="00D95E2E"/>
    <w:rPr>
      <w:rFonts w:ascii="Times New Roman" w:hAnsi="Times New Roman" w:cs="Times New Roman"/>
      <w:b/>
      <w:bCs/>
      <w:sz w:val="20"/>
      <w:szCs w:val="20"/>
    </w:rPr>
  </w:style>
  <w:style w:type="paragraph" w:styleId="Revision">
    <w:name w:val="Revision"/>
    <w:hidden/>
    <w:uiPriority w:val="99"/>
    <w:semiHidden/>
    <w:rsid w:val="00CB7895"/>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00E"/>
    <w:rPr>
      <w:rFonts w:ascii="Tahoma" w:hAnsi="Tahoma" w:cs="Tahoma"/>
      <w:sz w:val="16"/>
      <w:szCs w:val="16"/>
    </w:rPr>
  </w:style>
  <w:style w:type="character" w:customStyle="1" w:styleId="BalloonTextChar">
    <w:name w:val="Balloon Text Char"/>
    <w:basedOn w:val="DefaultParagraphFont"/>
    <w:link w:val="BalloonText"/>
    <w:uiPriority w:val="99"/>
    <w:semiHidden/>
    <w:rsid w:val="001A100E"/>
    <w:rPr>
      <w:rFonts w:ascii="Tahoma" w:hAnsi="Tahoma" w:cs="Tahoma"/>
      <w:sz w:val="16"/>
      <w:szCs w:val="16"/>
    </w:rPr>
  </w:style>
  <w:style w:type="paragraph" w:styleId="Header">
    <w:name w:val="header"/>
    <w:basedOn w:val="Normal"/>
    <w:link w:val="HeaderChar"/>
    <w:uiPriority w:val="99"/>
    <w:unhideWhenUsed/>
    <w:rsid w:val="00DD0B38"/>
    <w:pPr>
      <w:tabs>
        <w:tab w:val="center" w:pos="4680"/>
        <w:tab w:val="right" w:pos="9360"/>
      </w:tabs>
    </w:pPr>
  </w:style>
  <w:style w:type="character" w:customStyle="1" w:styleId="HeaderChar">
    <w:name w:val="Header Char"/>
    <w:basedOn w:val="DefaultParagraphFont"/>
    <w:link w:val="Header"/>
    <w:uiPriority w:val="99"/>
    <w:rsid w:val="00DD0B38"/>
    <w:rPr>
      <w:rFonts w:ascii="Times New Roman" w:hAnsi="Times New Roman" w:cs="Times New Roman"/>
      <w:sz w:val="20"/>
      <w:szCs w:val="20"/>
    </w:rPr>
  </w:style>
  <w:style w:type="paragraph" w:styleId="Footer">
    <w:name w:val="footer"/>
    <w:basedOn w:val="Normal"/>
    <w:link w:val="FooterChar"/>
    <w:uiPriority w:val="99"/>
    <w:unhideWhenUsed/>
    <w:rsid w:val="00DD0B38"/>
    <w:pPr>
      <w:tabs>
        <w:tab w:val="center" w:pos="4680"/>
        <w:tab w:val="right" w:pos="9360"/>
      </w:tabs>
    </w:pPr>
  </w:style>
  <w:style w:type="character" w:customStyle="1" w:styleId="FooterChar">
    <w:name w:val="Footer Char"/>
    <w:basedOn w:val="DefaultParagraphFont"/>
    <w:link w:val="Footer"/>
    <w:uiPriority w:val="99"/>
    <w:rsid w:val="00DD0B38"/>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D95E2E"/>
    <w:rPr>
      <w:sz w:val="16"/>
      <w:szCs w:val="16"/>
    </w:rPr>
  </w:style>
  <w:style w:type="paragraph" w:styleId="CommentText">
    <w:name w:val="annotation text"/>
    <w:basedOn w:val="Normal"/>
    <w:link w:val="CommentTextChar"/>
    <w:uiPriority w:val="99"/>
    <w:semiHidden/>
    <w:unhideWhenUsed/>
    <w:rsid w:val="00D95E2E"/>
  </w:style>
  <w:style w:type="character" w:customStyle="1" w:styleId="CommentTextChar">
    <w:name w:val="Comment Text Char"/>
    <w:basedOn w:val="DefaultParagraphFont"/>
    <w:link w:val="CommentText"/>
    <w:uiPriority w:val="99"/>
    <w:semiHidden/>
    <w:rsid w:val="00D95E2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5E2E"/>
    <w:rPr>
      <w:b/>
      <w:bCs/>
    </w:rPr>
  </w:style>
  <w:style w:type="character" w:customStyle="1" w:styleId="CommentSubjectChar">
    <w:name w:val="Comment Subject Char"/>
    <w:basedOn w:val="CommentTextChar"/>
    <w:link w:val="CommentSubject"/>
    <w:uiPriority w:val="99"/>
    <w:semiHidden/>
    <w:rsid w:val="00D95E2E"/>
    <w:rPr>
      <w:rFonts w:ascii="Times New Roman" w:hAnsi="Times New Roman" w:cs="Times New Roman"/>
      <w:b/>
      <w:bCs/>
      <w:sz w:val="20"/>
      <w:szCs w:val="20"/>
    </w:rPr>
  </w:style>
  <w:style w:type="paragraph" w:styleId="Revision">
    <w:name w:val="Revision"/>
    <w:hidden/>
    <w:uiPriority w:val="99"/>
    <w:semiHidden/>
    <w:rsid w:val="00CB7895"/>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1542</Words>
  <Characters>7149</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tts0009</dc:creator>
  <cp:lastModifiedBy>Ziegler, Liesl</cp:lastModifiedBy>
  <cp:revision>3</cp:revision>
  <dcterms:created xsi:type="dcterms:W3CDTF">2019-07-30T03:56:00Z</dcterms:created>
  <dcterms:modified xsi:type="dcterms:W3CDTF">2019-10-25T04:53:00Z</dcterms:modified>
</cp:coreProperties>
</file>