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3240B" w14:textId="77777777" w:rsidR="00827833" w:rsidRPr="005C6249" w:rsidRDefault="00BB6973" w:rsidP="00317986">
      <w:pPr>
        <w:jc w:val="center"/>
        <w:rPr>
          <w:sz w:val="24"/>
          <w:szCs w:val="24"/>
        </w:rPr>
      </w:pPr>
      <w:r w:rsidRPr="005C6249">
        <w:rPr>
          <w:noProof/>
          <w:sz w:val="24"/>
          <w:szCs w:val="24"/>
          <w:lang w:val="en-AU" w:eastAsia="en-AU"/>
        </w:rPr>
        <w:drawing>
          <wp:inline distT="0" distB="0" distL="0" distR="0" wp14:anchorId="56FB1EC0" wp14:editId="7AD79F10">
            <wp:extent cx="1447800" cy="1095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47800" cy="1095375"/>
                    </a:xfrm>
                    <a:prstGeom prst="rect">
                      <a:avLst/>
                    </a:prstGeom>
                    <a:noFill/>
                    <a:ln w="9525">
                      <a:noFill/>
                      <a:miter lim="800000"/>
                      <a:headEnd/>
                      <a:tailEnd/>
                    </a:ln>
                  </pic:spPr>
                </pic:pic>
              </a:graphicData>
            </a:graphic>
          </wp:inline>
        </w:drawing>
      </w:r>
    </w:p>
    <w:p w14:paraId="6A4AA105" w14:textId="77777777" w:rsidR="00827833" w:rsidRPr="005C6249" w:rsidRDefault="00F01B48" w:rsidP="005C6249">
      <w:pPr>
        <w:shd w:val="clear" w:color="auto" w:fill="FFFFFF"/>
        <w:spacing w:before="1205"/>
        <w:jc w:val="center"/>
      </w:pPr>
      <w:r w:rsidRPr="005C6249">
        <w:rPr>
          <w:b/>
          <w:bCs/>
          <w:sz w:val="40"/>
          <w:szCs w:val="40"/>
        </w:rPr>
        <w:t>Hou</w:t>
      </w:r>
      <w:bookmarkStart w:id="0" w:name="_GoBack"/>
      <w:bookmarkEnd w:id="0"/>
      <w:r w:rsidRPr="005C6249">
        <w:rPr>
          <w:b/>
          <w:bCs/>
          <w:sz w:val="40"/>
          <w:szCs w:val="40"/>
        </w:rPr>
        <w:t>sing Assistance Amendment Act 1992</w:t>
      </w:r>
    </w:p>
    <w:p w14:paraId="4C1033A7" w14:textId="77777777" w:rsidR="00827833" w:rsidRDefault="00F01B48" w:rsidP="00317986">
      <w:pPr>
        <w:shd w:val="clear" w:color="auto" w:fill="FFFFFF"/>
        <w:spacing w:before="1003"/>
        <w:jc w:val="center"/>
        <w:rPr>
          <w:b/>
          <w:bCs/>
          <w:sz w:val="24"/>
          <w:szCs w:val="24"/>
        </w:rPr>
      </w:pPr>
      <w:r w:rsidRPr="005C6249">
        <w:rPr>
          <w:b/>
          <w:bCs/>
          <w:sz w:val="24"/>
          <w:szCs w:val="24"/>
        </w:rPr>
        <w:t>No. 202 of 1992</w:t>
      </w:r>
    </w:p>
    <w:p w14:paraId="249A6AA8" w14:textId="77777777" w:rsidR="0043331F" w:rsidRPr="005C6249" w:rsidRDefault="0043331F" w:rsidP="0043331F">
      <w:pPr>
        <w:pBdr>
          <w:bottom w:val="double" w:sz="4" w:space="1" w:color="auto"/>
        </w:pBdr>
        <w:shd w:val="clear" w:color="auto" w:fill="FFFFFF"/>
        <w:spacing w:before="1003"/>
        <w:jc w:val="center"/>
      </w:pPr>
    </w:p>
    <w:p w14:paraId="52FA7277" w14:textId="77777777" w:rsidR="00827833" w:rsidRPr="0043331F" w:rsidRDefault="00F01B48" w:rsidP="0043331F">
      <w:pPr>
        <w:shd w:val="clear" w:color="auto" w:fill="FFFFFF"/>
        <w:spacing w:before="1560" w:line="475" w:lineRule="exact"/>
        <w:jc w:val="center"/>
        <w:rPr>
          <w:sz w:val="16"/>
        </w:rPr>
      </w:pPr>
      <w:r w:rsidRPr="0043331F">
        <w:rPr>
          <w:b/>
          <w:bCs/>
          <w:sz w:val="26"/>
          <w:szCs w:val="30"/>
        </w:rPr>
        <w:t xml:space="preserve">An Act to amend the </w:t>
      </w:r>
      <w:r w:rsidRPr="0043331F">
        <w:rPr>
          <w:b/>
          <w:bCs/>
          <w:i/>
          <w:iCs/>
          <w:sz w:val="26"/>
          <w:szCs w:val="30"/>
        </w:rPr>
        <w:t>Housing Assistance Act 1989</w:t>
      </w:r>
    </w:p>
    <w:p w14:paraId="6D062B59" w14:textId="77777777" w:rsidR="00827833" w:rsidRPr="0043331F" w:rsidRDefault="00F01B48" w:rsidP="00920E6F">
      <w:pPr>
        <w:shd w:val="clear" w:color="auto" w:fill="FFFFFF"/>
        <w:spacing w:before="120" w:line="475" w:lineRule="exact"/>
        <w:jc w:val="right"/>
        <w:rPr>
          <w:sz w:val="22"/>
          <w:szCs w:val="22"/>
        </w:rPr>
      </w:pPr>
      <w:r w:rsidRPr="0043331F">
        <w:rPr>
          <w:sz w:val="22"/>
          <w:szCs w:val="22"/>
        </w:rPr>
        <w:t>[</w:t>
      </w:r>
      <w:r w:rsidRPr="0043331F">
        <w:rPr>
          <w:i/>
          <w:iCs/>
          <w:sz w:val="22"/>
          <w:szCs w:val="22"/>
        </w:rPr>
        <w:t>Assented to 21 December 1992</w:t>
      </w:r>
      <w:r w:rsidRPr="0043331F">
        <w:rPr>
          <w:sz w:val="22"/>
          <w:szCs w:val="22"/>
        </w:rPr>
        <w:t>]</w:t>
      </w:r>
    </w:p>
    <w:p w14:paraId="20B9F9A8" w14:textId="273A1C72" w:rsidR="00827833" w:rsidRPr="0043331F" w:rsidRDefault="00F01B48" w:rsidP="00920E6F">
      <w:pPr>
        <w:shd w:val="clear" w:color="auto" w:fill="FFFFFF"/>
        <w:spacing w:before="120" w:line="475" w:lineRule="exact"/>
        <w:ind w:left="355"/>
        <w:rPr>
          <w:sz w:val="22"/>
          <w:szCs w:val="22"/>
        </w:rPr>
      </w:pPr>
      <w:r w:rsidRPr="0043331F">
        <w:rPr>
          <w:sz w:val="22"/>
          <w:szCs w:val="22"/>
        </w:rPr>
        <w:t>The Parliament of Australia enacts:</w:t>
      </w:r>
    </w:p>
    <w:p w14:paraId="19AB737B" w14:textId="77777777" w:rsidR="00827833" w:rsidRPr="0043331F" w:rsidRDefault="00F01B48" w:rsidP="001B3011">
      <w:pPr>
        <w:shd w:val="clear" w:color="auto" w:fill="FFFFFF"/>
        <w:spacing w:before="120" w:after="60" w:line="264" w:lineRule="exact"/>
        <w:rPr>
          <w:sz w:val="22"/>
          <w:szCs w:val="22"/>
        </w:rPr>
      </w:pPr>
      <w:r w:rsidRPr="0043331F">
        <w:rPr>
          <w:b/>
          <w:bCs/>
          <w:sz w:val="22"/>
          <w:szCs w:val="22"/>
        </w:rPr>
        <w:t>Short title etc.</w:t>
      </w:r>
    </w:p>
    <w:p w14:paraId="6179FA2B" w14:textId="77777777" w:rsidR="00827833" w:rsidRPr="0043331F" w:rsidRDefault="00F01B48" w:rsidP="00920E6F">
      <w:pPr>
        <w:shd w:val="clear" w:color="auto" w:fill="FFFFFF"/>
        <w:spacing w:before="120" w:line="264" w:lineRule="exact"/>
        <w:ind w:firstLine="365"/>
        <w:jc w:val="both"/>
        <w:rPr>
          <w:sz w:val="22"/>
          <w:szCs w:val="22"/>
        </w:rPr>
      </w:pPr>
      <w:r w:rsidRPr="0043331F">
        <w:rPr>
          <w:b/>
          <w:bCs/>
          <w:sz w:val="22"/>
          <w:szCs w:val="22"/>
        </w:rPr>
        <w:t xml:space="preserve">1.(1) </w:t>
      </w:r>
      <w:r w:rsidRPr="0043331F">
        <w:rPr>
          <w:sz w:val="22"/>
          <w:szCs w:val="22"/>
        </w:rPr>
        <w:t xml:space="preserve">This Act may be cited as the </w:t>
      </w:r>
      <w:r w:rsidRPr="0043331F">
        <w:rPr>
          <w:i/>
          <w:iCs/>
          <w:sz w:val="22"/>
          <w:szCs w:val="22"/>
        </w:rPr>
        <w:t>Housing Assistance Amendment Act 1992.</w:t>
      </w:r>
    </w:p>
    <w:p w14:paraId="1F7F1E36" w14:textId="77777777" w:rsidR="00827833" w:rsidRPr="0043331F" w:rsidRDefault="00F01B48" w:rsidP="00920E6F">
      <w:pPr>
        <w:shd w:val="clear" w:color="auto" w:fill="FFFFFF"/>
        <w:spacing w:before="120" w:line="245" w:lineRule="exact"/>
        <w:ind w:left="34" w:firstLine="322"/>
        <w:jc w:val="both"/>
        <w:rPr>
          <w:sz w:val="22"/>
          <w:szCs w:val="22"/>
        </w:rPr>
      </w:pPr>
      <w:r w:rsidRPr="0043331F">
        <w:rPr>
          <w:b/>
          <w:bCs/>
          <w:sz w:val="22"/>
          <w:szCs w:val="22"/>
        </w:rPr>
        <w:t xml:space="preserve">(2) </w:t>
      </w:r>
      <w:r w:rsidRPr="0043331F">
        <w:rPr>
          <w:sz w:val="22"/>
          <w:szCs w:val="22"/>
        </w:rPr>
        <w:t xml:space="preserve">In this Act, </w:t>
      </w:r>
      <w:r w:rsidR="00BB6973" w:rsidRPr="0043331F">
        <w:rPr>
          <w:b/>
          <w:bCs/>
          <w:sz w:val="22"/>
          <w:szCs w:val="22"/>
        </w:rPr>
        <w:t>“</w:t>
      </w:r>
      <w:r w:rsidRPr="0043331F">
        <w:rPr>
          <w:b/>
          <w:bCs/>
          <w:sz w:val="22"/>
          <w:szCs w:val="22"/>
        </w:rPr>
        <w:t>Principal Act</w:t>
      </w:r>
      <w:r w:rsidR="00BB6973" w:rsidRPr="0043331F">
        <w:rPr>
          <w:b/>
          <w:bCs/>
          <w:sz w:val="22"/>
          <w:szCs w:val="22"/>
        </w:rPr>
        <w:t>”</w:t>
      </w:r>
      <w:r w:rsidRPr="0043331F">
        <w:rPr>
          <w:b/>
          <w:bCs/>
          <w:sz w:val="22"/>
          <w:szCs w:val="22"/>
        </w:rPr>
        <w:t xml:space="preserve"> </w:t>
      </w:r>
      <w:r w:rsidRPr="0043331F">
        <w:rPr>
          <w:sz w:val="22"/>
          <w:szCs w:val="22"/>
        </w:rPr>
        <w:t xml:space="preserve">means the </w:t>
      </w:r>
      <w:r w:rsidRPr="0043331F">
        <w:rPr>
          <w:i/>
          <w:iCs/>
          <w:sz w:val="22"/>
          <w:szCs w:val="22"/>
        </w:rPr>
        <w:t>Housing Assistance Act 1989</w:t>
      </w:r>
      <w:r w:rsidRPr="0043331F">
        <w:rPr>
          <w:sz w:val="22"/>
          <w:szCs w:val="22"/>
          <w:vertAlign w:val="superscript"/>
        </w:rPr>
        <w:t>1</w:t>
      </w:r>
      <w:r w:rsidRPr="0043331F">
        <w:rPr>
          <w:sz w:val="22"/>
          <w:szCs w:val="22"/>
        </w:rPr>
        <w:t>.</w:t>
      </w:r>
    </w:p>
    <w:p w14:paraId="6AB6C83E" w14:textId="77777777" w:rsidR="00827833" w:rsidRPr="0043331F" w:rsidRDefault="00F01B48" w:rsidP="001B3011">
      <w:pPr>
        <w:shd w:val="clear" w:color="auto" w:fill="FFFFFF"/>
        <w:spacing w:before="120" w:after="60" w:line="264" w:lineRule="exact"/>
        <w:rPr>
          <w:sz w:val="22"/>
          <w:szCs w:val="22"/>
        </w:rPr>
      </w:pPr>
      <w:r w:rsidRPr="0043331F">
        <w:rPr>
          <w:b/>
          <w:bCs/>
          <w:sz w:val="22"/>
          <w:szCs w:val="22"/>
        </w:rPr>
        <w:t>Commencement</w:t>
      </w:r>
    </w:p>
    <w:p w14:paraId="012CEF6F" w14:textId="77777777" w:rsidR="00827833" w:rsidRPr="0043331F" w:rsidRDefault="00F01B48" w:rsidP="00920E6F">
      <w:pPr>
        <w:shd w:val="clear" w:color="auto" w:fill="FFFFFF"/>
        <w:tabs>
          <w:tab w:val="left" w:pos="653"/>
        </w:tabs>
        <w:spacing w:before="120" w:line="240" w:lineRule="exact"/>
        <w:ind w:left="14" w:firstLine="341"/>
        <w:jc w:val="both"/>
        <w:rPr>
          <w:sz w:val="22"/>
          <w:szCs w:val="22"/>
        </w:rPr>
      </w:pPr>
      <w:r w:rsidRPr="0043331F">
        <w:rPr>
          <w:b/>
          <w:bCs/>
          <w:sz w:val="22"/>
          <w:szCs w:val="22"/>
        </w:rPr>
        <w:t>2.</w:t>
      </w:r>
      <w:r w:rsidRPr="0043331F">
        <w:rPr>
          <w:b/>
          <w:bCs/>
          <w:sz w:val="22"/>
          <w:szCs w:val="22"/>
        </w:rPr>
        <w:tab/>
      </w:r>
      <w:r w:rsidRPr="0043331F">
        <w:rPr>
          <w:sz w:val="22"/>
          <w:szCs w:val="22"/>
        </w:rPr>
        <w:t>This Act commences on the day on which it receives the Royal</w:t>
      </w:r>
      <w:r w:rsidR="005C6249" w:rsidRPr="0043331F">
        <w:rPr>
          <w:sz w:val="22"/>
          <w:szCs w:val="22"/>
        </w:rPr>
        <w:t xml:space="preserve"> </w:t>
      </w:r>
      <w:r w:rsidRPr="0043331F">
        <w:rPr>
          <w:sz w:val="22"/>
          <w:szCs w:val="22"/>
        </w:rPr>
        <w:t>Assent.</w:t>
      </w:r>
    </w:p>
    <w:p w14:paraId="33EA20EF" w14:textId="77777777" w:rsidR="00827833" w:rsidRPr="0043331F" w:rsidRDefault="00F01B48" w:rsidP="001B3011">
      <w:pPr>
        <w:shd w:val="clear" w:color="auto" w:fill="FFFFFF"/>
        <w:spacing w:before="120" w:after="60" w:line="264" w:lineRule="exact"/>
        <w:rPr>
          <w:sz w:val="22"/>
          <w:szCs w:val="22"/>
        </w:rPr>
      </w:pPr>
      <w:r w:rsidRPr="0043331F">
        <w:rPr>
          <w:b/>
          <w:bCs/>
          <w:sz w:val="22"/>
          <w:szCs w:val="22"/>
        </w:rPr>
        <w:t>Interpretation</w:t>
      </w:r>
    </w:p>
    <w:p w14:paraId="37FE3FBA" w14:textId="4B40B074" w:rsidR="00827833" w:rsidRPr="005C6249" w:rsidRDefault="00F01B48" w:rsidP="00920E6F">
      <w:pPr>
        <w:shd w:val="clear" w:color="auto" w:fill="FFFFFF"/>
        <w:tabs>
          <w:tab w:val="left" w:pos="653"/>
        </w:tabs>
        <w:spacing w:before="120" w:line="240" w:lineRule="exact"/>
        <w:ind w:left="14" w:firstLine="341"/>
        <w:jc w:val="both"/>
      </w:pPr>
      <w:r w:rsidRPr="0043331F">
        <w:rPr>
          <w:b/>
          <w:bCs/>
          <w:sz w:val="22"/>
          <w:szCs w:val="22"/>
        </w:rPr>
        <w:t>3.</w:t>
      </w:r>
      <w:r w:rsidRPr="0043331F">
        <w:rPr>
          <w:b/>
          <w:bCs/>
          <w:sz w:val="22"/>
          <w:szCs w:val="22"/>
        </w:rPr>
        <w:tab/>
      </w:r>
      <w:r w:rsidRPr="0043331F">
        <w:rPr>
          <w:sz w:val="22"/>
          <w:szCs w:val="22"/>
        </w:rPr>
        <w:t>Section 3 of the Principal Act is amended by omitting</w:t>
      </w:r>
      <w:r w:rsidR="005C6249" w:rsidRPr="0043331F">
        <w:rPr>
          <w:sz w:val="22"/>
          <w:szCs w:val="22"/>
        </w:rPr>
        <w:t xml:space="preserve"> </w:t>
      </w:r>
      <w:r w:rsidR="00BB6973" w:rsidRPr="0043331F">
        <w:rPr>
          <w:sz w:val="22"/>
          <w:szCs w:val="22"/>
        </w:rPr>
        <w:t>“</w:t>
      </w:r>
      <w:r w:rsidRPr="0043331F">
        <w:rPr>
          <w:i/>
          <w:iCs/>
          <w:sz w:val="22"/>
          <w:szCs w:val="22"/>
        </w:rPr>
        <w:t>Agreement</w:t>
      </w:r>
      <w:r w:rsidR="00BB6973" w:rsidRPr="0043331F">
        <w:rPr>
          <w:sz w:val="22"/>
          <w:szCs w:val="22"/>
        </w:rPr>
        <w:t>”</w:t>
      </w:r>
      <w:r w:rsidRPr="0043331F">
        <w:rPr>
          <w:i/>
          <w:iCs/>
          <w:sz w:val="22"/>
          <w:szCs w:val="22"/>
        </w:rPr>
        <w:t xml:space="preserve"> </w:t>
      </w:r>
      <w:r w:rsidRPr="0043331F">
        <w:rPr>
          <w:sz w:val="22"/>
          <w:szCs w:val="22"/>
        </w:rPr>
        <w:t xml:space="preserve">from the definition of </w:t>
      </w:r>
      <w:r w:rsidR="00BB6973" w:rsidRPr="0043331F">
        <w:rPr>
          <w:sz w:val="22"/>
          <w:szCs w:val="22"/>
        </w:rPr>
        <w:t>“</w:t>
      </w:r>
      <w:r w:rsidRPr="0043331F">
        <w:rPr>
          <w:sz w:val="22"/>
          <w:szCs w:val="22"/>
        </w:rPr>
        <w:t>1984 Act</w:t>
      </w:r>
      <w:r w:rsidR="00BB6973" w:rsidRPr="0043331F">
        <w:rPr>
          <w:sz w:val="22"/>
          <w:szCs w:val="22"/>
        </w:rPr>
        <w:t>”</w:t>
      </w:r>
      <w:r w:rsidRPr="0043331F">
        <w:rPr>
          <w:sz w:val="22"/>
          <w:szCs w:val="22"/>
        </w:rPr>
        <w:t xml:space="preserve"> and substituting</w:t>
      </w:r>
      <w:r w:rsidR="005C6249" w:rsidRPr="0043331F">
        <w:rPr>
          <w:sz w:val="22"/>
          <w:szCs w:val="22"/>
        </w:rPr>
        <w:t xml:space="preserve"> </w:t>
      </w:r>
      <w:r w:rsidR="00BB6973" w:rsidRPr="00C55192">
        <w:rPr>
          <w:iCs/>
          <w:sz w:val="22"/>
          <w:szCs w:val="22"/>
        </w:rPr>
        <w:t>“</w:t>
      </w:r>
      <w:r w:rsidRPr="0043331F">
        <w:rPr>
          <w:i/>
          <w:iCs/>
          <w:sz w:val="22"/>
          <w:szCs w:val="22"/>
        </w:rPr>
        <w:t>Assistance</w:t>
      </w:r>
      <w:r w:rsidR="00BB6973" w:rsidRPr="00C55192">
        <w:rPr>
          <w:iCs/>
          <w:sz w:val="22"/>
          <w:szCs w:val="22"/>
        </w:rPr>
        <w:t>”</w:t>
      </w:r>
      <w:r w:rsidRPr="005C6249">
        <w:rPr>
          <w:i/>
          <w:iCs/>
          <w:sz w:val="24"/>
          <w:szCs w:val="24"/>
        </w:rPr>
        <w:t>.</w:t>
      </w:r>
    </w:p>
    <w:p w14:paraId="2FDF8BD0" w14:textId="77777777" w:rsidR="00827833" w:rsidRPr="005C6249" w:rsidRDefault="00827833" w:rsidP="00920E6F">
      <w:pPr>
        <w:shd w:val="clear" w:color="auto" w:fill="FFFFFF"/>
        <w:tabs>
          <w:tab w:val="left" w:pos="653"/>
        </w:tabs>
        <w:spacing w:before="120" w:line="240" w:lineRule="exact"/>
        <w:ind w:left="14" w:firstLine="341"/>
        <w:jc w:val="both"/>
        <w:sectPr w:rsidR="00827833" w:rsidRPr="005C6249" w:rsidSect="005C6249">
          <w:headerReference w:type="default" r:id="rId9"/>
          <w:type w:val="continuous"/>
          <w:pgSz w:w="12240" w:h="15840" w:code="1"/>
          <w:pgMar w:top="1440" w:right="1440" w:bottom="1440" w:left="1440" w:header="720" w:footer="720" w:gutter="0"/>
          <w:cols w:space="60"/>
          <w:noEndnote/>
          <w:titlePg/>
          <w:docGrid w:linePitch="272"/>
        </w:sectPr>
      </w:pPr>
    </w:p>
    <w:p w14:paraId="2E03866D" w14:textId="325A06AA" w:rsidR="00827833" w:rsidRPr="0043331F" w:rsidRDefault="00F01B48" w:rsidP="001B3011">
      <w:pPr>
        <w:shd w:val="clear" w:color="auto" w:fill="FFFFFF"/>
        <w:spacing w:before="120" w:after="60" w:line="264" w:lineRule="exact"/>
        <w:rPr>
          <w:sz w:val="22"/>
          <w:szCs w:val="22"/>
        </w:rPr>
      </w:pPr>
      <w:r w:rsidRPr="0043331F">
        <w:rPr>
          <w:b/>
          <w:bCs/>
          <w:sz w:val="22"/>
          <w:szCs w:val="22"/>
        </w:rPr>
        <w:lastRenderedPageBreak/>
        <w:t>Principal appropriation</w:t>
      </w:r>
    </w:p>
    <w:p w14:paraId="5848D199" w14:textId="77777777" w:rsidR="00827833" w:rsidRPr="0043331F" w:rsidRDefault="00F01B48" w:rsidP="00920E6F">
      <w:pPr>
        <w:shd w:val="clear" w:color="auto" w:fill="FFFFFF"/>
        <w:tabs>
          <w:tab w:val="left" w:pos="634"/>
        </w:tabs>
        <w:spacing w:before="120"/>
        <w:ind w:left="331"/>
        <w:rPr>
          <w:sz w:val="22"/>
          <w:szCs w:val="22"/>
        </w:rPr>
      </w:pPr>
      <w:r w:rsidRPr="0043331F">
        <w:rPr>
          <w:b/>
          <w:bCs/>
          <w:sz w:val="22"/>
          <w:szCs w:val="22"/>
        </w:rPr>
        <w:t>4.</w:t>
      </w:r>
      <w:r w:rsidRPr="0043331F">
        <w:rPr>
          <w:b/>
          <w:bCs/>
          <w:sz w:val="22"/>
          <w:szCs w:val="22"/>
        </w:rPr>
        <w:tab/>
      </w:r>
      <w:r w:rsidRPr="0043331F">
        <w:rPr>
          <w:sz w:val="22"/>
          <w:szCs w:val="22"/>
        </w:rPr>
        <w:t>Section 7 of the Principal Act is amended:</w:t>
      </w:r>
    </w:p>
    <w:p w14:paraId="7C9DB7CA" w14:textId="77777777" w:rsidR="00827833" w:rsidRPr="0043331F" w:rsidRDefault="00F01B48" w:rsidP="00920E6F">
      <w:pPr>
        <w:numPr>
          <w:ilvl w:val="0"/>
          <w:numId w:val="1"/>
        </w:numPr>
        <w:shd w:val="clear" w:color="auto" w:fill="FFFFFF"/>
        <w:tabs>
          <w:tab w:val="left" w:pos="792"/>
        </w:tabs>
        <w:spacing w:before="120" w:line="235" w:lineRule="exact"/>
        <w:ind w:left="792" w:hanging="389"/>
        <w:rPr>
          <w:b/>
          <w:bCs/>
          <w:sz w:val="22"/>
          <w:szCs w:val="22"/>
        </w:rPr>
      </w:pPr>
      <w:r w:rsidRPr="0043331F">
        <w:rPr>
          <w:sz w:val="22"/>
          <w:szCs w:val="22"/>
        </w:rPr>
        <w:t xml:space="preserve">by omitting from subsection (3) </w:t>
      </w:r>
      <w:r w:rsidR="00BB6973" w:rsidRPr="0043331F">
        <w:rPr>
          <w:sz w:val="22"/>
          <w:szCs w:val="22"/>
        </w:rPr>
        <w:t>“</w:t>
      </w:r>
      <w:r w:rsidRPr="0043331F">
        <w:rPr>
          <w:sz w:val="22"/>
          <w:szCs w:val="22"/>
        </w:rPr>
        <w:t>,</w:t>
      </w:r>
      <w:r w:rsidR="00BB6973" w:rsidRPr="0043331F">
        <w:rPr>
          <w:sz w:val="22"/>
          <w:szCs w:val="22"/>
        </w:rPr>
        <w:t xml:space="preserve"> </w:t>
      </w:r>
      <w:r w:rsidRPr="0043331F">
        <w:rPr>
          <w:sz w:val="22"/>
          <w:szCs w:val="22"/>
        </w:rPr>
        <w:t>third and</w:t>
      </w:r>
      <w:r w:rsidR="00BB6973" w:rsidRPr="0043331F">
        <w:rPr>
          <w:sz w:val="22"/>
          <w:szCs w:val="22"/>
        </w:rPr>
        <w:t xml:space="preserve"> </w:t>
      </w:r>
      <w:r w:rsidRPr="0043331F">
        <w:rPr>
          <w:sz w:val="22"/>
          <w:szCs w:val="22"/>
        </w:rPr>
        <w:t>fourth</w:t>
      </w:r>
      <w:r w:rsidR="00BB6973" w:rsidRPr="0043331F">
        <w:rPr>
          <w:sz w:val="22"/>
          <w:szCs w:val="22"/>
        </w:rPr>
        <w:t>”</w:t>
      </w:r>
      <w:r w:rsidRPr="0043331F">
        <w:rPr>
          <w:sz w:val="22"/>
          <w:szCs w:val="22"/>
        </w:rPr>
        <w:t xml:space="preserve"> and substituting </w:t>
      </w:r>
      <w:r w:rsidR="00BB6973" w:rsidRPr="0043331F">
        <w:rPr>
          <w:sz w:val="22"/>
          <w:szCs w:val="22"/>
        </w:rPr>
        <w:t>“</w:t>
      </w:r>
      <w:r w:rsidRPr="0043331F">
        <w:rPr>
          <w:sz w:val="22"/>
          <w:szCs w:val="22"/>
        </w:rPr>
        <w:t>and third</w:t>
      </w:r>
      <w:r w:rsidR="00BB6973" w:rsidRPr="0043331F">
        <w:rPr>
          <w:sz w:val="22"/>
          <w:szCs w:val="22"/>
        </w:rPr>
        <w:t>”</w:t>
      </w:r>
      <w:r w:rsidRPr="0043331F">
        <w:rPr>
          <w:sz w:val="22"/>
          <w:szCs w:val="22"/>
        </w:rPr>
        <w:t>;</w:t>
      </w:r>
    </w:p>
    <w:p w14:paraId="49A0BF16" w14:textId="77777777" w:rsidR="00827833" w:rsidRPr="0043331F" w:rsidRDefault="00F01B48" w:rsidP="00920E6F">
      <w:pPr>
        <w:numPr>
          <w:ilvl w:val="0"/>
          <w:numId w:val="1"/>
        </w:numPr>
        <w:shd w:val="clear" w:color="auto" w:fill="FFFFFF"/>
        <w:tabs>
          <w:tab w:val="left" w:pos="792"/>
        </w:tabs>
        <w:spacing w:before="120"/>
        <w:ind w:left="403"/>
        <w:rPr>
          <w:b/>
          <w:bCs/>
          <w:sz w:val="22"/>
          <w:szCs w:val="22"/>
        </w:rPr>
      </w:pPr>
      <w:r w:rsidRPr="0043331F">
        <w:rPr>
          <w:sz w:val="22"/>
          <w:szCs w:val="22"/>
        </w:rPr>
        <w:t>by inserting after subsection (3) the following subsection:</w:t>
      </w:r>
    </w:p>
    <w:p w14:paraId="36CF8ED4" w14:textId="77777777" w:rsidR="00827833" w:rsidRPr="0043331F" w:rsidRDefault="00BB6973" w:rsidP="00920E6F">
      <w:pPr>
        <w:shd w:val="clear" w:color="auto" w:fill="FFFFFF"/>
        <w:spacing w:before="120" w:line="235" w:lineRule="exact"/>
        <w:ind w:left="792" w:firstLine="221"/>
        <w:jc w:val="both"/>
        <w:rPr>
          <w:sz w:val="22"/>
          <w:szCs w:val="22"/>
        </w:rPr>
      </w:pPr>
      <w:r w:rsidRPr="0043331F">
        <w:rPr>
          <w:sz w:val="22"/>
          <w:szCs w:val="22"/>
        </w:rPr>
        <w:t>“</w:t>
      </w:r>
      <w:r w:rsidR="00F01B48" w:rsidRPr="0043331F">
        <w:rPr>
          <w:sz w:val="22"/>
          <w:szCs w:val="22"/>
        </w:rPr>
        <w:t>(3A) For the purpose of making payments under this Act, the Consolidated Revenue Fund is appropriated in the following amounts:</w:t>
      </w:r>
    </w:p>
    <w:p w14:paraId="53A71AB4" w14:textId="77777777" w:rsidR="00827833" w:rsidRPr="0043331F" w:rsidRDefault="00F01B48" w:rsidP="00920E6F">
      <w:pPr>
        <w:numPr>
          <w:ilvl w:val="0"/>
          <w:numId w:val="2"/>
        </w:numPr>
        <w:shd w:val="clear" w:color="auto" w:fill="FFFFFF"/>
        <w:tabs>
          <w:tab w:val="left" w:pos="1435"/>
        </w:tabs>
        <w:spacing w:before="120" w:line="278" w:lineRule="exact"/>
        <w:ind w:left="1042"/>
        <w:rPr>
          <w:sz w:val="22"/>
          <w:szCs w:val="22"/>
        </w:rPr>
      </w:pPr>
      <w:r w:rsidRPr="0043331F">
        <w:rPr>
          <w:sz w:val="22"/>
          <w:szCs w:val="22"/>
        </w:rPr>
        <w:t>$1,059,200,000 in respect of the fourth grant year;</w:t>
      </w:r>
    </w:p>
    <w:p w14:paraId="4CB8545D" w14:textId="77777777" w:rsidR="00827833" w:rsidRPr="0043331F" w:rsidRDefault="00F01B48" w:rsidP="00920E6F">
      <w:pPr>
        <w:numPr>
          <w:ilvl w:val="0"/>
          <w:numId w:val="2"/>
        </w:numPr>
        <w:shd w:val="clear" w:color="auto" w:fill="FFFFFF"/>
        <w:tabs>
          <w:tab w:val="left" w:pos="1435"/>
        </w:tabs>
        <w:spacing w:before="120" w:line="278" w:lineRule="exact"/>
        <w:ind w:left="1042"/>
        <w:rPr>
          <w:sz w:val="22"/>
          <w:szCs w:val="22"/>
        </w:rPr>
      </w:pPr>
      <w:r w:rsidRPr="0043331F">
        <w:rPr>
          <w:sz w:val="22"/>
          <w:szCs w:val="22"/>
        </w:rPr>
        <w:t>$1,080,890,000 in respect of the fifth grant year;</w:t>
      </w:r>
    </w:p>
    <w:p w14:paraId="56895FFB" w14:textId="77777777" w:rsidR="00827833" w:rsidRPr="0043331F" w:rsidRDefault="00F01B48" w:rsidP="00920E6F">
      <w:pPr>
        <w:numPr>
          <w:ilvl w:val="0"/>
          <w:numId w:val="2"/>
        </w:numPr>
        <w:shd w:val="clear" w:color="auto" w:fill="FFFFFF"/>
        <w:tabs>
          <w:tab w:val="left" w:pos="1435"/>
        </w:tabs>
        <w:spacing w:before="120" w:line="278" w:lineRule="exact"/>
        <w:ind w:left="1042"/>
        <w:rPr>
          <w:sz w:val="22"/>
          <w:szCs w:val="22"/>
        </w:rPr>
      </w:pPr>
      <w:r w:rsidRPr="0043331F">
        <w:rPr>
          <w:sz w:val="22"/>
          <w:szCs w:val="22"/>
        </w:rPr>
        <w:t>$1,010,641,000 in respect of the sixth grant year;</w:t>
      </w:r>
    </w:p>
    <w:p w14:paraId="6F34051C" w14:textId="77777777" w:rsidR="00827833" w:rsidRPr="0043331F" w:rsidRDefault="00F01B48" w:rsidP="00920E6F">
      <w:pPr>
        <w:numPr>
          <w:ilvl w:val="0"/>
          <w:numId w:val="2"/>
        </w:numPr>
        <w:shd w:val="clear" w:color="auto" w:fill="FFFFFF"/>
        <w:tabs>
          <w:tab w:val="left" w:pos="1435"/>
        </w:tabs>
        <w:spacing w:before="120" w:line="278" w:lineRule="exact"/>
        <w:ind w:left="1042"/>
        <w:rPr>
          <w:sz w:val="22"/>
          <w:szCs w:val="22"/>
        </w:rPr>
      </w:pPr>
      <w:r w:rsidRPr="0043331F">
        <w:rPr>
          <w:sz w:val="22"/>
          <w:szCs w:val="22"/>
        </w:rPr>
        <w:t>$1,017,863,000 in respect of the seventh grant year.</w:t>
      </w:r>
      <w:r w:rsidR="00BB6973" w:rsidRPr="0043331F">
        <w:rPr>
          <w:sz w:val="22"/>
          <w:szCs w:val="22"/>
        </w:rPr>
        <w:t>”</w:t>
      </w:r>
      <w:r w:rsidRPr="0043331F">
        <w:rPr>
          <w:sz w:val="22"/>
          <w:szCs w:val="22"/>
        </w:rPr>
        <w:t>.</w:t>
      </w:r>
    </w:p>
    <w:p w14:paraId="39B4F6B6" w14:textId="77777777" w:rsidR="00827833" w:rsidRPr="0043331F" w:rsidRDefault="00F01B48" w:rsidP="00920E6F">
      <w:pPr>
        <w:shd w:val="clear" w:color="auto" w:fill="FFFFFF"/>
        <w:tabs>
          <w:tab w:val="left" w:pos="634"/>
        </w:tabs>
        <w:spacing w:before="120" w:line="230" w:lineRule="exact"/>
        <w:ind w:left="14" w:firstLine="317"/>
        <w:jc w:val="both"/>
        <w:rPr>
          <w:sz w:val="22"/>
          <w:szCs w:val="22"/>
        </w:rPr>
      </w:pPr>
      <w:r w:rsidRPr="0043331F">
        <w:rPr>
          <w:b/>
          <w:bCs/>
          <w:sz w:val="22"/>
          <w:szCs w:val="22"/>
        </w:rPr>
        <w:t>5.</w:t>
      </w:r>
      <w:r w:rsidRPr="0043331F">
        <w:rPr>
          <w:sz w:val="22"/>
          <w:szCs w:val="22"/>
        </w:rPr>
        <w:tab/>
        <w:t>The Principal Act is amended by inserting after section 7 the</w:t>
      </w:r>
      <w:r w:rsidR="005C6249" w:rsidRPr="0043331F">
        <w:rPr>
          <w:sz w:val="22"/>
          <w:szCs w:val="22"/>
        </w:rPr>
        <w:t xml:space="preserve"> </w:t>
      </w:r>
      <w:r w:rsidRPr="0043331F">
        <w:rPr>
          <w:sz w:val="22"/>
          <w:szCs w:val="22"/>
        </w:rPr>
        <w:t>following section:</w:t>
      </w:r>
    </w:p>
    <w:p w14:paraId="6E69818D" w14:textId="77777777" w:rsidR="00827833" w:rsidRPr="0043331F" w:rsidRDefault="00F01B48" w:rsidP="001B3011">
      <w:pPr>
        <w:shd w:val="clear" w:color="auto" w:fill="FFFFFF"/>
        <w:spacing w:before="120" w:after="60" w:line="264" w:lineRule="exact"/>
        <w:rPr>
          <w:sz w:val="22"/>
          <w:szCs w:val="22"/>
        </w:rPr>
      </w:pPr>
      <w:r w:rsidRPr="0043331F">
        <w:rPr>
          <w:b/>
          <w:bCs/>
          <w:sz w:val="22"/>
          <w:szCs w:val="22"/>
        </w:rPr>
        <w:t>Commonwealth funds to be carried forward</w:t>
      </w:r>
    </w:p>
    <w:p w14:paraId="609BEB77" w14:textId="77777777" w:rsidR="00827833" w:rsidRPr="0043331F" w:rsidRDefault="00BB6973" w:rsidP="00920E6F">
      <w:pPr>
        <w:shd w:val="clear" w:color="auto" w:fill="FFFFFF"/>
        <w:spacing w:before="120" w:line="235" w:lineRule="exact"/>
        <w:ind w:left="5" w:firstLine="341"/>
        <w:jc w:val="both"/>
        <w:rPr>
          <w:sz w:val="22"/>
          <w:szCs w:val="22"/>
        </w:rPr>
      </w:pPr>
      <w:r w:rsidRPr="0043331F">
        <w:rPr>
          <w:sz w:val="22"/>
          <w:szCs w:val="22"/>
        </w:rPr>
        <w:t>“</w:t>
      </w:r>
      <w:r w:rsidR="00F01B48" w:rsidRPr="0043331F">
        <w:rPr>
          <w:sz w:val="22"/>
          <w:szCs w:val="22"/>
        </w:rPr>
        <w:t>7A.(1) If the amount of a grant in respect of the fourth, fifth, sixth or seventh grant year has not been fully paid to a State in that grant year, the Minister may, after consulting with the State Minister, determine that the amount remaining unpaid, or part of it, is to be carried over for payment to the State in the next grant year.</w:t>
      </w:r>
    </w:p>
    <w:p w14:paraId="58A52E23" w14:textId="77777777" w:rsidR="00827833" w:rsidRPr="0043331F" w:rsidRDefault="00BB6973" w:rsidP="00920E6F">
      <w:pPr>
        <w:shd w:val="clear" w:color="auto" w:fill="FFFFFF"/>
        <w:spacing w:before="120" w:line="235" w:lineRule="exact"/>
        <w:ind w:left="5" w:firstLine="341"/>
        <w:jc w:val="both"/>
        <w:rPr>
          <w:sz w:val="22"/>
          <w:szCs w:val="22"/>
        </w:rPr>
      </w:pPr>
      <w:r w:rsidRPr="0043331F">
        <w:rPr>
          <w:sz w:val="22"/>
          <w:szCs w:val="22"/>
        </w:rPr>
        <w:t>“</w:t>
      </w:r>
      <w:r w:rsidR="00F01B48" w:rsidRPr="0043331F">
        <w:rPr>
          <w:sz w:val="22"/>
          <w:szCs w:val="22"/>
        </w:rPr>
        <w:t>(2) If a determination is made under subsection (1) in respect of the fourth, fifth or sixth grant year, section 7 has effect as if the amount specified in paragraph (3A)(b), (c) or (d), as the case requires, were increased by the amount to be carried over.</w:t>
      </w:r>
      <w:r w:rsidRPr="0043331F">
        <w:rPr>
          <w:sz w:val="22"/>
          <w:szCs w:val="22"/>
        </w:rPr>
        <w:t>”</w:t>
      </w:r>
      <w:r w:rsidR="00F01B48" w:rsidRPr="0043331F">
        <w:rPr>
          <w:sz w:val="22"/>
          <w:szCs w:val="22"/>
        </w:rPr>
        <w:t>.</w:t>
      </w:r>
    </w:p>
    <w:p w14:paraId="53E7E2DC" w14:textId="77777777" w:rsidR="00827833" w:rsidRPr="0043331F" w:rsidRDefault="00F01B48" w:rsidP="001B3011">
      <w:pPr>
        <w:shd w:val="clear" w:color="auto" w:fill="FFFFFF"/>
        <w:spacing w:before="120" w:after="60" w:line="264" w:lineRule="exact"/>
        <w:rPr>
          <w:sz w:val="22"/>
          <w:szCs w:val="22"/>
        </w:rPr>
      </w:pPr>
      <w:r w:rsidRPr="0043331F">
        <w:rPr>
          <w:b/>
          <w:bCs/>
          <w:sz w:val="22"/>
          <w:szCs w:val="22"/>
        </w:rPr>
        <w:t>Allocation among the States of untied grants after first grant year</w:t>
      </w:r>
    </w:p>
    <w:p w14:paraId="01F6EC37" w14:textId="77777777" w:rsidR="00827833" w:rsidRPr="0043331F" w:rsidRDefault="00F01B48" w:rsidP="00920E6F">
      <w:pPr>
        <w:shd w:val="clear" w:color="auto" w:fill="FFFFFF"/>
        <w:tabs>
          <w:tab w:val="left" w:pos="634"/>
        </w:tabs>
        <w:spacing w:before="120"/>
        <w:ind w:left="331"/>
        <w:rPr>
          <w:sz w:val="22"/>
          <w:szCs w:val="22"/>
        </w:rPr>
      </w:pPr>
      <w:r w:rsidRPr="0043331F">
        <w:rPr>
          <w:b/>
          <w:bCs/>
          <w:sz w:val="22"/>
          <w:szCs w:val="22"/>
        </w:rPr>
        <w:t>6.</w:t>
      </w:r>
      <w:r w:rsidRPr="0043331F">
        <w:rPr>
          <w:b/>
          <w:bCs/>
          <w:sz w:val="22"/>
          <w:szCs w:val="22"/>
        </w:rPr>
        <w:tab/>
      </w:r>
      <w:r w:rsidRPr="0043331F">
        <w:rPr>
          <w:sz w:val="22"/>
          <w:szCs w:val="22"/>
        </w:rPr>
        <w:t>Section 13 of the Principal Act is amended:</w:t>
      </w:r>
    </w:p>
    <w:p w14:paraId="78D0A8BC" w14:textId="7C12A390" w:rsidR="00827833" w:rsidRPr="0043331F" w:rsidRDefault="00F01B48" w:rsidP="00920E6F">
      <w:pPr>
        <w:shd w:val="clear" w:color="auto" w:fill="FFFFFF"/>
        <w:tabs>
          <w:tab w:val="left" w:pos="763"/>
        </w:tabs>
        <w:spacing w:before="120" w:line="230" w:lineRule="exact"/>
        <w:ind w:left="763" w:hanging="394"/>
        <w:rPr>
          <w:sz w:val="22"/>
          <w:szCs w:val="22"/>
        </w:rPr>
      </w:pPr>
      <w:r w:rsidRPr="0043331F">
        <w:rPr>
          <w:b/>
          <w:bCs/>
          <w:sz w:val="22"/>
          <w:szCs w:val="22"/>
        </w:rPr>
        <w:t>(a)</w:t>
      </w:r>
      <w:r w:rsidRPr="0043331F">
        <w:rPr>
          <w:sz w:val="22"/>
          <w:szCs w:val="22"/>
        </w:rPr>
        <w:tab/>
        <w:t>by omitting paragraph (</w:t>
      </w:r>
      <w:r w:rsidR="00C55192">
        <w:rPr>
          <w:sz w:val="22"/>
          <w:szCs w:val="22"/>
        </w:rPr>
        <w:t>1</w:t>
      </w:r>
      <w:r w:rsidRPr="0043331F">
        <w:rPr>
          <w:sz w:val="22"/>
          <w:szCs w:val="22"/>
        </w:rPr>
        <w:t>)(b) and substituting the following</w:t>
      </w:r>
      <w:r w:rsidR="005C6249" w:rsidRPr="0043331F">
        <w:rPr>
          <w:sz w:val="22"/>
          <w:szCs w:val="22"/>
        </w:rPr>
        <w:t xml:space="preserve"> </w:t>
      </w:r>
      <w:r w:rsidRPr="0043331F">
        <w:rPr>
          <w:sz w:val="22"/>
          <w:szCs w:val="22"/>
        </w:rPr>
        <w:t>paragraph:</w:t>
      </w:r>
    </w:p>
    <w:p w14:paraId="77E61B53" w14:textId="77777777" w:rsidR="00827833" w:rsidRPr="0043331F" w:rsidRDefault="00BB6973" w:rsidP="00920E6F">
      <w:pPr>
        <w:shd w:val="clear" w:color="auto" w:fill="FFFFFF"/>
        <w:spacing w:before="120" w:line="235" w:lineRule="exact"/>
        <w:ind w:left="1416" w:hanging="509"/>
        <w:jc w:val="both"/>
        <w:rPr>
          <w:sz w:val="22"/>
          <w:szCs w:val="22"/>
        </w:rPr>
      </w:pPr>
      <w:r w:rsidRPr="0043331F">
        <w:rPr>
          <w:sz w:val="22"/>
          <w:szCs w:val="22"/>
        </w:rPr>
        <w:t>“</w:t>
      </w:r>
      <w:r w:rsidR="00F01B48" w:rsidRPr="0043331F">
        <w:rPr>
          <w:sz w:val="22"/>
          <w:szCs w:val="22"/>
        </w:rPr>
        <w:t>(b) except for the purposes of subsection (5A), the Australian Capital Territory is not to be taken to be a State before 1 July 1993.</w:t>
      </w:r>
      <w:r w:rsidRPr="0043331F">
        <w:rPr>
          <w:sz w:val="22"/>
          <w:szCs w:val="22"/>
        </w:rPr>
        <w:t>”</w:t>
      </w:r>
      <w:r w:rsidR="00F01B48" w:rsidRPr="0043331F">
        <w:rPr>
          <w:sz w:val="22"/>
          <w:szCs w:val="22"/>
        </w:rPr>
        <w:t>;</w:t>
      </w:r>
    </w:p>
    <w:p w14:paraId="51B326A1" w14:textId="77777777" w:rsidR="00827833" w:rsidRPr="0043331F" w:rsidRDefault="00F01B48" w:rsidP="00920E6F">
      <w:pPr>
        <w:shd w:val="clear" w:color="auto" w:fill="FFFFFF"/>
        <w:tabs>
          <w:tab w:val="left" w:pos="763"/>
        </w:tabs>
        <w:spacing w:before="120"/>
        <w:ind w:left="370"/>
        <w:rPr>
          <w:sz w:val="22"/>
          <w:szCs w:val="22"/>
        </w:rPr>
      </w:pPr>
      <w:r w:rsidRPr="0043331F">
        <w:rPr>
          <w:b/>
          <w:bCs/>
          <w:sz w:val="22"/>
          <w:szCs w:val="22"/>
        </w:rPr>
        <w:t>(b)</w:t>
      </w:r>
      <w:r w:rsidRPr="0043331F">
        <w:rPr>
          <w:sz w:val="22"/>
          <w:szCs w:val="22"/>
        </w:rPr>
        <w:tab/>
        <w:t>by inserting after subsection (5) the following subsections:</w:t>
      </w:r>
    </w:p>
    <w:p w14:paraId="60DDC27B" w14:textId="77777777" w:rsidR="00827833" w:rsidRPr="0043331F" w:rsidRDefault="00BB6973" w:rsidP="00920E6F">
      <w:pPr>
        <w:shd w:val="clear" w:color="auto" w:fill="FFFFFF"/>
        <w:spacing w:before="120" w:line="240" w:lineRule="exact"/>
        <w:ind w:left="754" w:firstLine="221"/>
        <w:jc w:val="both"/>
        <w:rPr>
          <w:sz w:val="22"/>
          <w:szCs w:val="22"/>
        </w:rPr>
      </w:pPr>
      <w:r w:rsidRPr="0043331F">
        <w:rPr>
          <w:sz w:val="22"/>
          <w:szCs w:val="22"/>
        </w:rPr>
        <w:t>“</w:t>
      </w:r>
      <w:r w:rsidR="00F01B48" w:rsidRPr="0043331F">
        <w:rPr>
          <w:sz w:val="22"/>
          <w:szCs w:val="22"/>
        </w:rPr>
        <w:t>(5A) In the fourth grant year not more than $75,000,000 may be allocated to such of the States as the Minister considers appropriate, having regard to proposals for employment generation in the housing industry submitted by State Ministers.</w:t>
      </w:r>
    </w:p>
    <w:p w14:paraId="367ADA47" w14:textId="77777777" w:rsidR="00827833" w:rsidRPr="005C6249" w:rsidRDefault="00BB6973" w:rsidP="00920E6F">
      <w:pPr>
        <w:shd w:val="clear" w:color="auto" w:fill="FFFFFF"/>
        <w:spacing w:before="120" w:line="235" w:lineRule="exact"/>
        <w:ind w:left="754" w:firstLine="221"/>
        <w:jc w:val="both"/>
      </w:pPr>
      <w:r w:rsidRPr="0043331F">
        <w:rPr>
          <w:sz w:val="22"/>
          <w:szCs w:val="22"/>
        </w:rPr>
        <w:t>“</w:t>
      </w:r>
      <w:r w:rsidR="00F01B48" w:rsidRPr="0043331F">
        <w:rPr>
          <w:sz w:val="22"/>
          <w:szCs w:val="22"/>
        </w:rPr>
        <w:t>(5B) In the fifth grant year not more than $25,000,000 may be allocated to such of the States as the Minister considers appropriate, having regard to proposals for employment generation in the housing industry submitted by State Ministers.</w:t>
      </w:r>
      <w:r w:rsidRPr="0043331F">
        <w:rPr>
          <w:sz w:val="22"/>
          <w:szCs w:val="22"/>
        </w:rPr>
        <w:t>”</w:t>
      </w:r>
      <w:r w:rsidR="00F01B48" w:rsidRPr="005C6249">
        <w:rPr>
          <w:sz w:val="24"/>
          <w:szCs w:val="24"/>
        </w:rPr>
        <w:t>;</w:t>
      </w:r>
    </w:p>
    <w:p w14:paraId="2214975B" w14:textId="77777777" w:rsidR="00827833" w:rsidRPr="005C6249" w:rsidRDefault="00827833" w:rsidP="00920E6F">
      <w:pPr>
        <w:shd w:val="clear" w:color="auto" w:fill="FFFFFF"/>
        <w:spacing w:before="120" w:line="235" w:lineRule="exact"/>
        <w:ind w:left="754" w:firstLine="221"/>
        <w:jc w:val="both"/>
        <w:sectPr w:rsidR="00827833" w:rsidRPr="005C6249" w:rsidSect="005C6249">
          <w:pgSz w:w="12240" w:h="15840" w:code="1"/>
          <w:pgMar w:top="1440" w:right="1440" w:bottom="1440" w:left="1440" w:header="720" w:footer="720" w:gutter="0"/>
          <w:cols w:space="60"/>
          <w:noEndnote/>
          <w:docGrid w:linePitch="272"/>
        </w:sectPr>
      </w:pPr>
    </w:p>
    <w:p w14:paraId="0AFF556E" w14:textId="77777777" w:rsidR="00827833" w:rsidRPr="0043331F" w:rsidRDefault="00F01B48" w:rsidP="00920E6F">
      <w:pPr>
        <w:numPr>
          <w:ilvl w:val="0"/>
          <w:numId w:val="3"/>
        </w:numPr>
        <w:shd w:val="clear" w:color="auto" w:fill="FFFFFF"/>
        <w:tabs>
          <w:tab w:val="left" w:pos="821"/>
        </w:tabs>
        <w:spacing w:before="120" w:line="235" w:lineRule="exact"/>
        <w:ind w:left="821" w:hanging="398"/>
        <w:jc w:val="both"/>
        <w:rPr>
          <w:b/>
          <w:bCs/>
          <w:sz w:val="22"/>
          <w:szCs w:val="22"/>
        </w:rPr>
      </w:pPr>
      <w:r w:rsidRPr="0043331F">
        <w:rPr>
          <w:sz w:val="22"/>
          <w:szCs w:val="22"/>
        </w:rPr>
        <w:lastRenderedPageBreak/>
        <w:t xml:space="preserve">by omitting from subsection (7) </w:t>
      </w:r>
      <w:r w:rsidR="00BB6973" w:rsidRPr="0043331F">
        <w:rPr>
          <w:sz w:val="22"/>
          <w:szCs w:val="22"/>
        </w:rPr>
        <w:t>“</w:t>
      </w:r>
      <w:r w:rsidRPr="0043331F">
        <w:rPr>
          <w:sz w:val="22"/>
          <w:szCs w:val="22"/>
        </w:rPr>
        <w:t>The balance</w:t>
      </w:r>
      <w:r w:rsidR="00BB6973" w:rsidRPr="0043331F">
        <w:rPr>
          <w:sz w:val="22"/>
          <w:szCs w:val="22"/>
        </w:rPr>
        <w:t>”</w:t>
      </w:r>
      <w:r w:rsidRPr="0043331F">
        <w:rPr>
          <w:sz w:val="22"/>
          <w:szCs w:val="22"/>
        </w:rPr>
        <w:t xml:space="preserve"> and substituting </w:t>
      </w:r>
      <w:r w:rsidR="00BB6973" w:rsidRPr="0043331F">
        <w:rPr>
          <w:sz w:val="22"/>
          <w:szCs w:val="22"/>
        </w:rPr>
        <w:t>“</w:t>
      </w:r>
      <w:r w:rsidRPr="0043331F">
        <w:rPr>
          <w:sz w:val="22"/>
          <w:szCs w:val="22"/>
        </w:rPr>
        <w:t>Subject to subsection (7B), the balance</w:t>
      </w:r>
      <w:r w:rsidR="00BB6973" w:rsidRPr="0043331F">
        <w:rPr>
          <w:sz w:val="22"/>
          <w:szCs w:val="22"/>
        </w:rPr>
        <w:t>”</w:t>
      </w:r>
      <w:r w:rsidRPr="0043331F">
        <w:rPr>
          <w:sz w:val="22"/>
          <w:szCs w:val="22"/>
        </w:rPr>
        <w:t>;</w:t>
      </w:r>
    </w:p>
    <w:p w14:paraId="007D0880" w14:textId="77777777" w:rsidR="00827833" w:rsidRPr="0043331F" w:rsidRDefault="00F01B48" w:rsidP="00920E6F">
      <w:pPr>
        <w:numPr>
          <w:ilvl w:val="0"/>
          <w:numId w:val="4"/>
        </w:numPr>
        <w:shd w:val="clear" w:color="auto" w:fill="FFFFFF"/>
        <w:tabs>
          <w:tab w:val="left" w:pos="821"/>
        </w:tabs>
        <w:spacing w:before="120"/>
        <w:ind w:left="422"/>
        <w:rPr>
          <w:b/>
          <w:bCs/>
          <w:sz w:val="22"/>
          <w:szCs w:val="22"/>
        </w:rPr>
      </w:pPr>
      <w:r w:rsidRPr="0043331F">
        <w:rPr>
          <w:sz w:val="22"/>
          <w:szCs w:val="22"/>
        </w:rPr>
        <w:t>by inserting after subsection (7) the following subsections:</w:t>
      </w:r>
    </w:p>
    <w:p w14:paraId="57BBB811" w14:textId="77777777" w:rsidR="00827833" w:rsidRPr="0043331F" w:rsidRDefault="00BB6973" w:rsidP="00920E6F">
      <w:pPr>
        <w:shd w:val="clear" w:color="auto" w:fill="FFFFFF"/>
        <w:spacing w:before="120" w:line="235" w:lineRule="exact"/>
        <w:ind w:left="816" w:firstLine="211"/>
        <w:jc w:val="both"/>
        <w:rPr>
          <w:sz w:val="22"/>
          <w:szCs w:val="22"/>
        </w:rPr>
      </w:pPr>
      <w:r w:rsidRPr="0043331F">
        <w:rPr>
          <w:sz w:val="22"/>
          <w:szCs w:val="22"/>
        </w:rPr>
        <w:t>“</w:t>
      </w:r>
      <w:r w:rsidR="00F01B48" w:rsidRPr="0043331F">
        <w:rPr>
          <w:sz w:val="22"/>
          <w:szCs w:val="22"/>
        </w:rPr>
        <w:t>(7A) If the operation of subsection (5A) or (5B) has resulted in a State gaining, in respect of the fourth or fifth grant year, a smaller or larger share of untied grants than the share to which it would otherwise have been entitled, subsection (7B) applies to that State.</w:t>
      </w:r>
    </w:p>
    <w:p w14:paraId="57914C67" w14:textId="77777777" w:rsidR="00827833" w:rsidRPr="0043331F" w:rsidRDefault="00BB6973" w:rsidP="00920E6F">
      <w:pPr>
        <w:shd w:val="clear" w:color="auto" w:fill="FFFFFF"/>
        <w:spacing w:before="120" w:line="235" w:lineRule="exact"/>
        <w:ind w:left="811" w:firstLine="226"/>
        <w:jc w:val="both"/>
        <w:rPr>
          <w:sz w:val="22"/>
          <w:szCs w:val="22"/>
        </w:rPr>
      </w:pPr>
      <w:r w:rsidRPr="0043331F">
        <w:rPr>
          <w:sz w:val="22"/>
          <w:szCs w:val="22"/>
        </w:rPr>
        <w:t>“</w:t>
      </w:r>
      <w:r w:rsidR="00F01B48" w:rsidRPr="0043331F">
        <w:rPr>
          <w:sz w:val="22"/>
          <w:szCs w:val="22"/>
        </w:rPr>
        <w:t>(7B) The Minister is to ensure that the allocation of untied grants in respect of the sixth and seventh grant years is such as to ensure that the total amount of untied grants allocated to a State to which this subsection applies in respect of the fourth, fifth, sixth and seventh grant years is as nearly as practicable what it would have been if subsections (5A) and (5B) had not operated.</w:t>
      </w:r>
      <w:r w:rsidRPr="0043331F">
        <w:rPr>
          <w:sz w:val="22"/>
          <w:szCs w:val="22"/>
        </w:rPr>
        <w:t>”</w:t>
      </w:r>
      <w:r w:rsidR="00F01B48" w:rsidRPr="0043331F">
        <w:rPr>
          <w:sz w:val="22"/>
          <w:szCs w:val="22"/>
        </w:rPr>
        <w:t>.</w:t>
      </w:r>
    </w:p>
    <w:p w14:paraId="7C2CE3C1" w14:textId="77777777" w:rsidR="00827833" w:rsidRPr="0043331F" w:rsidRDefault="00F01B48" w:rsidP="001B3011">
      <w:pPr>
        <w:shd w:val="clear" w:color="auto" w:fill="FFFFFF"/>
        <w:spacing w:before="120" w:after="60" w:line="264" w:lineRule="exact"/>
        <w:rPr>
          <w:sz w:val="22"/>
          <w:szCs w:val="22"/>
        </w:rPr>
      </w:pPr>
      <w:r w:rsidRPr="0043331F">
        <w:rPr>
          <w:b/>
          <w:bCs/>
          <w:sz w:val="22"/>
          <w:szCs w:val="22"/>
        </w:rPr>
        <w:t>Grants to be matched by State</w:t>
      </w:r>
    </w:p>
    <w:p w14:paraId="612A693C" w14:textId="77777777" w:rsidR="00827833" w:rsidRPr="0043331F" w:rsidRDefault="00F01B48" w:rsidP="00920E6F">
      <w:pPr>
        <w:shd w:val="clear" w:color="auto" w:fill="FFFFFF"/>
        <w:spacing w:before="120" w:line="226" w:lineRule="exact"/>
        <w:ind w:left="24" w:firstLine="341"/>
        <w:rPr>
          <w:sz w:val="22"/>
          <w:szCs w:val="22"/>
        </w:rPr>
      </w:pPr>
      <w:r w:rsidRPr="0043331F">
        <w:rPr>
          <w:b/>
          <w:bCs/>
          <w:sz w:val="22"/>
          <w:szCs w:val="22"/>
        </w:rPr>
        <w:t xml:space="preserve">7. </w:t>
      </w:r>
      <w:r w:rsidRPr="0043331F">
        <w:rPr>
          <w:sz w:val="22"/>
          <w:szCs w:val="22"/>
        </w:rPr>
        <w:t>Section 15 of the Principal Act is amended by adding at the end the following subsection:</w:t>
      </w:r>
    </w:p>
    <w:p w14:paraId="33140208" w14:textId="77777777" w:rsidR="00827833" w:rsidRPr="0043331F" w:rsidRDefault="00BB6973" w:rsidP="00920E6F">
      <w:pPr>
        <w:shd w:val="clear" w:color="auto" w:fill="FFFFFF"/>
        <w:spacing w:before="120" w:line="235" w:lineRule="exact"/>
        <w:ind w:left="29" w:firstLine="341"/>
        <w:rPr>
          <w:sz w:val="22"/>
          <w:szCs w:val="22"/>
        </w:rPr>
      </w:pPr>
      <w:r w:rsidRPr="0043331F">
        <w:rPr>
          <w:sz w:val="22"/>
          <w:szCs w:val="22"/>
        </w:rPr>
        <w:t>“</w:t>
      </w:r>
      <w:r w:rsidR="00F01B48" w:rsidRPr="0043331F">
        <w:rPr>
          <w:sz w:val="22"/>
          <w:szCs w:val="22"/>
        </w:rPr>
        <w:t>(4) For the purposes of any provision of a housing agreement relating to the provision of matching funds by a State:</w:t>
      </w:r>
    </w:p>
    <w:p w14:paraId="219EC194" w14:textId="77777777" w:rsidR="00827833" w:rsidRPr="0043331F" w:rsidRDefault="00F01B48" w:rsidP="00920E6F">
      <w:pPr>
        <w:numPr>
          <w:ilvl w:val="0"/>
          <w:numId w:val="5"/>
        </w:numPr>
        <w:shd w:val="clear" w:color="auto" w:fill="FFFFFF"/>
        <w:tabs>
          <w:tab w:val="left" w:pos="811"/>
        </w:tabs>
        <w:spacing w:before="120" w:line="235" w:lineRule="exact"/>
        <w:ind w:left="811" w:hanging="403"/>
        <w:jc w:val="both"/>
        <w:rPr>
          <w:sz w:val="22"/>
          <w:szCs w:val="22"/>
        </w:rPr>
      </w:pPr>
      <w:r w:rsidRPr="0043331F">
        <w:rPr>
          <w:sz w:val="22"/>
          <w:szCs w:val="22"/>
        </w:rPr>
        <w:t>the total of the amounts received by the State under subsections 13(5A) and (5B) is to be taken to be allocated in equal amounts in respect of the sixth and seventh grant years; and</w:t>
      </w:r>
    </w:p>
    <w:p w14:paraId="627507FB" w14:textId="77777777" w:rsidR="00827833" w:rsidRPr="0043331F" w:rsidRDefault="00F01B48" w:rsidP="00920E6F">
      <w:pPr>
        <w:numPr>
          <w:ilvl w:val="0"/>
          <w:numId w:val="5"/>
        </w:numPr>
        <w:shd w:val="clear" w:color="auto" w:fill="FFFFFF"/>
        <w:tabs>
          <w:tab w:val="left" w:pos="811"/>
        </w:tabs>
        <w:spacing w:before="120"/>
        <w:ind w:left="408"/>
        <w:rPr>
          <w:sz w:val="22"/>
          <w:szCs w:val="22"/>
        </w:rPr>
      </w:pPr>
      <w:r w:rsidRPr="0043331F">
        <w:rPr>
          <w:sz w:val="22"/>
          <w:szCs w:val="22"/>
        </w:rPr>
        <w:t>if:</w:t>
      </w:r>
    </w:p>
    <w:p w14:paraId="3EC01162" w14:textId="77777777" w:rsidR="00827833" w:rsidRPr="0043331F" w:rsidRDefault="00F01B48" w:rsidP="00920E6F">
      <w:pPr>
        <w:shd w:val="clear" w:color="auto" w:fill="FFFFFF"/>
        <w:spacing w:before="120" w:line="230" w:lineRule="exact"/>
        <w:ind w:left="1454" w:hanging="341"/>
        <w:rPr>
          <w:sz w:val="22"/>
          <w:szCs w:val="22"/>
        </w:rPr>
      </w:pPr>
      <w:r w:rsidRPr="0043331F">
        <w:rPr>
          <w:sz w:val="22"/>
          <w:szCs w:val="22"/>
        </w:rPr>
        <w:t>(i) the amount of a grant has not been fully paid to a State in a grant year; and</w:t>
      </w:r>
    </w:p>
    <w:p w14:paraId="6967B756" w14:textId="77777777" w:rsidR="00827833" w:rsidRPr="0043331F" w:rsidRDefault="00F01B48" w:rsidP="005C6249">
      <w:pPr>
        <w:shd w:val="clear" w:color="auto" w:fill="FFFFFF"/>
        <w:spacing w:before="120" w:line="230" w:lineRule="exact"/>
        <w:ind w:left="1454" w:hanging="341"/>
        <w:jc w:val="both"/>
        <w:rPr>
          <w:sz w:val="22"/>
          <w:szCs w:val="22"/>
        </w:rPr>
      </w:pPr>
      <w:r w:rsidRPr="0043331F">
        <w:rPr>
          <w:sz w:val="22"/>
          <w:szCs w:val="22"/>
        </w:rPr>
        <w:t>(ii) the Minister, under subsection 7A(1), has determined that the amount remaining unpaid, or part of it, is to be carried over;</w:t>
      </w:r>
    </w:p>
    <w:p w14:paraId="4AF15D2C" w14:textId="77777777" w:rsidR="00827833" w:rsidRPr="0043331F" w:rsidRDefault="00F01B48" w:rsidP="00B16CE9">
      <w:pPr>
        <w:shd w:val="clear" w:color="auto" w:fill="FFFFFF"/>
        <w:spacing w:before="120" w:line="235" w:lineRule="exact"/>
        <w:rPr>
          <w:sz w:val="22"/>
          <w:szCs w:val="22"/>
        </w:rPr>
      </w:pPr>
      <w:r w:rsidRPr="0043331F">
        <w:rPr>
          <w:sz w:val="22"/>
          <w:szCs w:val="22"/>
        </w:rPr>
        <w:t>the amount of the grant is taken to be reduced by the amount remaining unpaid and the amount allocated to the State in respect of the next grant year is taken to be increased by the amount carried over.</w:t>
      </w:r>
      <w:r w:rsidR="00BB6973" w:rsidRPr="0043331F">
        <w:rPr>
          <w:sz w:val="22"/>
          <w:szCs w:val="22"/>
        </w:rPr>
        <w:t>”</w:t>
      </w:r>
      <w:r w:rsidRPr="0043331F">
        <w:rPr>
          <w:sz w:val="22"/>
          <w:szCs w:val="22"/>
        </w:rPr>
        <w:t>.</w:t>
      </w:r>
    </w:p>
    <w:p w14:paraId="28902F49" w14:textId="77777777" w:rsidR="00827833" w:rsidRPr="005C6249" w:rsidRDefault="00C55192" w:rsidP="00395D65">
      <w:pPr>
        <w:shd w:val="clear" w:color="auto" w:fill="FFFFFF"/>
        <w:spacing w:before="720"/>
        <w:jc w:val="center"/>
      </w:pPr>
      <w:r>
        <w:rPr>
          <w:b/>
          <w:bCs/>
          <w:noProof/>
          <w:sz w:val="24"/>
          <w:szCs w:val="24"/>
        </w:rPr>
        <w:pict w14:anchorId="3CFE178F">
          <v:shapetype id="_x0000_t32" coordsize="21600,21600" o:spt="32" o:oned="t" path="m,l21600,21600e" filled="f">
            <v:path arrowok="t" fillok="f" o:connecttype="none"/>
            <o:lock v:ext="edit" shapetype="t"/>
          </v:shapetype>
          <v:shape id="_x0000_s1028" type="#_x0000_t32" style="position:absolute;left:0;text-align:left;margin-left:2.9pt;margin-top:25.25pt;width:483.1pt;height:0;z-index:251660288" o:connectortype="straight"/>
        </w:pict>
      </w:r>
      <w:r w:rsidR="00F01B48" w:rsidRPr="005C6249">
        <w:rPr>
          <w:b/>
          <w:bCs/>
          <w:sz w:val="24"/>
          <w:szCs w:val="24"/>
        </w:rPr>
        <w:t>NOTE</w:t>
      </w:r>
    </w:p>
    <w:p w14:paraId="3E72D63E" w14:textId="77777777" w:rsidR="00827833" w:rsidRPr="005C6249" w:rsidRDefault="00F01B48" w:rsidP="00920E6F">
      <w:pPr>
        <w:shd w:val="clear" w:color="auto" w:fill="FFFFFF"/>
        <w:spacing w:before="120"/>
        <w:ind w:left="29"/>
      </w:pPr>
      <w:r w:rsidRPr="005C6249">
        <w:t>1.</w:t>
      </w:r>
      <w:r w:rsidR="00BB6973" w:rsidRPr="005C6249">
        <w:t xml:space="preserve"> </w:t>
      </w:r>
      <w:r w:rsidRPr="005C6249">
        <w:t>No. 7, 1990.</w:t>
      </w:r>
    </w:p>
    <w:p w14:paraId="5691D061" w14:textId="77777777" w:rsidR="001B3011" w:rsidRPr="005C6249" w:rsidRDefault="00F01B48" w:rsidP="00920E6F">
      <w:pPr>
        <w:shd w:val="clear" w:color="auto" w:fill="FFFFFF"/>
        <w:spacing w:before="120" w:line="197" w:lineRule="exact"/>
        <w:ind w:left="763" w:hanging="754"/>
        <w:rPr>
          <w:rFonts w:eastAsia="Times New Roman"/>
        </w:rPr>
      </w:pPr>
      <w:r w:rsidRPr="005C6249">
        <w:t>[</w:t>
      </w:r>
      <w:r w:rsidRPr="005C6249">
        <w:rPr>
          <w:i/>
          <w:iCs/>
        </w:rPr>
        <w:t>Minister</w:t>
      </w:r>
      <w:r w:rsidR="00BB6973" w:rsidRPr="005C6249">
        <w:rPr>
          <w:i/>
          <w:iCs/>
        </w:rPr>
        <w:t>’</w:t>
      </w:r>
      <w:r w:rsidRPr="005C6249">
        <w:rPr>
          <w:i/>
          <w:iCs/>
        </w:rPr>
        <w:t>s second reading speech made in</w:t>
      </w:r>
      <w:r w:rsidRPr="005C6249">
        <w:rPr>
          <w:rFonts w:eastAsia="Times New Roman"/>
        </w:rPr>
        <w:t>—</w:t>
      </w:r>
    </w:p>
    <w:p w14:paraId="32F3FA7F" w14:textId="77777777" w:rsidR="001B3011" w:rsidRPr="005C6249" w:rsidRDefault="00F01B48" w:rsidP="001B3011">
      <w:pPr>
        <w:shd w:val="clear" w:color="auto" w:fill="FFFFFF"/>
        <w:spacing w:line="197" w:lineRule="exact"/>
        <w:ind w:left="14" w:firstLine="720"/>
        <w:rPr>
          <w:rFonts w:eastAsia="Times New Roman"/>
          <w:i/>
          <w:iCs/>
        </w:rPr>
      </w:pPr>
      <w:r w:rsidRPr="005C6249">
        <w:rPr>
          <w:rFonts w:eastAsia="Times New Roman"/>
          <w:i/>
          <w:iCs/>
        </w:rPr>
        <w:t>House of Representatives on 4 November 1992</w:t>
      </w:r>
    </w:p>
    <w:p w14:paraId="54DDAB22" w14:textId="77777777" w:rsidR="00F01B48" w:rsidRPr="005C6249" w:rsidRDefault="00F01B48" w:rsidP="001B3011">
      <w:pPr>
        <w:shd w:val="clear" w:color="auto" w:fill="FFFFFF"/>
        <w:spacing w:line="197" w:lineRule="exact"/>
        <w:ind w:left="14" w:firstLine="720"/>
      </w:pPr>
      <w:r w:rsidRPr="005C6249">
        <w:rPr>
          <w:rFonts w:eastAsia="Times New Roman"/>
          <w:i/>
          <w:iCs/>
        </w:rPr>
        <w:t>Senate on 10 November 1992</w:t>
      </w:r>
      <w:r w:rsidRPr="005C6249">
        <w:rPr>
          <w:rFonts w:eastAsia="Times New Roman"/>
        </w:rPr>
        <w:t>]</w:t>
      </w:r>
    </w:p>
    <w:sectPr w:rsidR="00F01B48" w:rsidRPr="005C6249" w:rsidSect="005C6249">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EEA37F" w15:done="0"/>
  <w15:commentEx w15:paraId="6B14156C" w15:done="0"/>
  <w15:commentEx w15:paraId="5F75F0A7" w15:done="0"/>
  <w15:commentEx w15:paraId="4F385DAF" w15:done="0"/>
  <w15:commentEx w15:paraId="363D1C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EEA37F" w16cid:durableId="20BB0E59"/>
  <w16cid:commentId w16cid:paraId="6B14156C" w16cid:durableId="20BB0EA7"/>
  <w16cid:commentId w16cid:paraId="5F75F0A7" w16cid:durableId="20BB0EAD"/>
  <w16cid:commentId w16cid:paraId="4F385DAF" w16cid:durableId="20BB0EED"/>
  <w16cid:commentId w16cid:paraId="363D1CA5" w16cid:durableId="20BB0E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E62BA" w14:textId="77777777" w:rsidR="00925DD1" w:rsidRDefault="00925DD1" w:rsidP="002D1DAF">
      <w:r>
        <w:separator/>
      </w:r>
    </w:p>
  </w:endnote>
  <w:endnote w:type="continuationSeparator" w:id="0">
    <w:p w14:paraId="6438748E" w14:textId="77777777" w:rsidR="00925DD1" w:rsidRDefault="00925DD1" w:rsidP="002D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7C27E" w14:textId="77777777" w:rsidR="00925DD1" w:rsidRDefault="00925DD1" w:rsidP="002D1DAF">
      <w:r>
        <w:separator/>
      </w:r>
    </w:p>
  </w:footnote>
  <w:footnote w:type="continuationSeparator" w:id="0">
    <w:p w14:paraId="3ADCCD8D" w14:textId="77777777" w:rsidR="00925DD1" w:rsidRDefault="00925DD1" w:rsidP="002D1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69B80" w14:textId="02F5FF91" w:rsidR="002D1DAF" w:rsidRPr="002D1DAF" w:rsidRDefault="002D1DAF" w:rsidP="002D1DAF">
    <w:pPr>
      <w:pStyle w:val="Header"/>
      <w:jc w:val="center"/>
      <w:rPr>
        <w:sz w:val="22"/>
        <w:szCs w:val="22"/>
      </w:rPr>
    </w:pPr>
    <w:r w:rsidRPr="002D1DAF">
      <w:rPr>
        <w:i/>
        <w:iCs/>
        <w:sz w:val="22"/>
        <w:szCs w:val="22"/>
      </w:rPr>
      <w:t xml:space="preserve">Housing Assistance Amendment </w:t>
    </w:r>
    <w:r w:rsidR="00C55192">
      <w:rPr>
        <w:i/>
        <w:iCs/>
        <w:sz w:val="22"/>
        <w:szCs w:val="22"/>
      </w:rPr>
      <w:t xml:space="preserve">   </w:t>
    </w:r>
    <w:r w:rsidRPr="002D1DAF">
      <w:rPr>
        <w:i/>
        <w:iCs/>
        <w:sz w:val="22"/>
        <w:szCs w:val="22"/>
      </w:rPr>
      <w:t>No. 202,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24C4"/>
    <w:multiLevelType w:val="singleLevel"/>
    <w:tmpl w:val="4682567A"/>
    <w:lvl w:ilvl="0">
      <w:start w:val="1"/>
      <w:numFmt w:val="lowerLetter"/>
      <w:lvlText w:val="(%1)"/>
      <w:legacy w:legacy="1" w:legacySpace="0" w:legacyIndent="403"/>
      <w:lvlJc w:val="left"/>
      <w:rPr>
        <w:rFonts w:ascii="Times New Roman" w:hAnsi="Times New Roman" w:cs="Times New Roman" w:hint="default"/>
      </w:rPr>
    </w:lvl>
  </w:abstractNum>
  <w:abstractNum w:abstractNumId="1">
    <w:nsid w:val="3F11347F"/>
    <w:multiLevelType w:val="singleLevel"/>
    <w:tmpl w:val="6DC6B260"/>
    <w:lvl w:ilvl="0">
      <w:start w:val="1"/>
      <w:numFmt w:val="lowerLetter"/>
      <w:lvlText w:val="(%1)"/>
      <w:legacy w:legacy="1" w:legacySpace="0" w:legacyIndent="393"/>
      <w:lvlJc w:val="left"/>
      <w:rPr>
        <w:rFonts w:ascii="Times New Roman" w:hAnsi="Times New Roman" w:cs="Times New Roman" w:hint="default"/>
      </w:rPr>
    </w:lvl>
  </w:abstractNum>
  <w:abstractNum w:abstractNumId="2">
    <w:nsid w:val="4C3837C2"/>
    <w:multiLevelType w:val="singleLevel"/>
    <w:tmpl w:val="B4B2C6D2"/>
    <w:lvl w:ilvl="0">
      <w:start w:val="3"/>
      <w:numFmt w:val="lowerLetter"/>
      <w:lvlText w:val="(%1)"/>
      <w:legacy w:legacy="1" w:legacySpace="0" w:legacyIndent="398"/>
      <w:lvlJc w:val="left"/>
      <w:rPr>
        <w:rFonts w:ascii="Times New Roman" w:hAnsi="Times New Roman" w:cs="Times New Roman" w:hint="default"/>
      </w:rPr>
    </w:lvl>
  </w:abstractNum>
  <w:abstractNum w:abstractNumId="3">
    <w:nsid w:val="795B6AB7"/>
    <w:multiLevelType w:val="singleLevel"/>
    <w:tmpl w:val="85FC8C90"/>
    <w:lvl w:ilvl="0">
      <w:start w:val="1"/>
      <w:numFmt w:val="lowerLetter"/>
      <w:lvlText w:val="(%1)"/>
      <w:legacy w:legacy="1" w:legacySpace="0" w:legacyIndent="389"/>
      <w:lvlJc w:val="left"/>
      <w:rPr>
        <w:rFonts w:ascii="Times New Roman" w:hAnsi="Times New Roman" w:cs="Times New Roman" w:hint="default"/>
      </w:rPr>
    </w:lvl>
  </w:abstractNum>
  <w:num w:numId="1">
    <w:abstractNumId w:val="3"/>
  </w:num>
  <w:num w:numId="2">
    <w:abstractNumId w:val="1"/>
  </w:num>
  <w:num w:numId="3">
    <w:abstractNumId w:val="2"/>
  </w:num>
  <w:num w:numId="4">
    <w:abstractNumId w:val="2"/>
    <w:lvlOverride w:ilvl="0">
      <w:lvl w:ilvl="0">
        <w:start w:val="3"/>
        <w:numFmt w:val="lowerLetter"/>
        <w:lvlText w:val="(%1)"/>
        <w:legacy w:legacy="1" w:legacySpace="0" w:legacyIndent="399"/>
        <w:lvlJc w:val="left"/>
        <w:rPr>
          <w:rFonts w:ascii="Times New Roman" w:hAnsi="Times New Roman" w:cs="Times New Roman" w:hint="default"/>
        </w:rPr>
      </w:lvl>
    </w:lvlOverride>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F51"/>
    <w:rsid w:val="001B3011"/>
    <w:rsid w:val="00265310"/>
    <w:rsid w:val="002D1DAF"/>
    <w:rsid w:val="00317986"/>
    <w:rsid w:val="003677E8"/>
    <w:rsid w:val="00395D65"/>
    <w:rsid w:val="00405F51"/>
    <w:rsid w:val="00415AD1"/>
    <w:rsid w:val="0043331F"/>
    <w:rsid w:val="005A7D9A"/>
    <w:rsid w:val="005C6249"/>
    <w:rsid w:val="006A145A"/>
    <w:rsid w:val="006B39A4"/>
    <w:rsid w:val="00722A77"/>
    <w:rsid w:val="007A4AF7"/>
    <w:rsid w:val="00800550"/>
    <w:rsid w:val="00827833"/>
    <w:rsid w:val="00920E6F"/>
    <w:rsid w:val="00925DD1"/>
    <w:rsid w:val="00953BF8"/>
    <w:rsid w:val="00B16CE9"/>
    <w:rsid w:val="00BB6973"/>
    <w:rsid w:val="00C55192"/>
    <w:rsid w:val="00C83E22"/>
    <w:rsid w:val="00EA7EE1"/>
    <w:rsid w:val="00F01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2" type="connector" idref="#_x0000_s1028"/>
      </o:rules>
    </o:shapelayout>
  </w:shapeDefaults>
  <w:decimalSymbol w:val="."/>
  <w:listSeparator w:val=","/>
  <w14:docId w14:val="59FA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986"/>
    <w:rPr>
      <w:rFonts w:ascii="Tahoma" w:hAnsi="Tahoma" w:cs="Tahoma"/>
      <w:sz w:val="16"/>
      <w:szCs w:val="16"/>
    </w:rPr>
  </w:style>
  <w:style w:type="character" w:customStyle="1" w:styleId="BalloonTextChar">
    <w:name w:val="Balloon Text Char"/>
    <w:basedOn w:val="DefaultParagraphFont"/>
    <w:link w:val="BalloonText"/>
    <w:uiPriority w:val="99"/>
    <w:semiHidden/>
    <w:rsid w:val="00317986"/>
    <w:rPr>
      <w:rFonts w:ascii="Tahoma" w:hAnsi="Tahoma" w:cs="Tahoma"/>
      <w:sz w:val="16"/>
      <w:szCs w:val="16"/>
    </w:rPr>
  </w:style>
  <w:style w:type="paragraph" w:styleId="Header">
    <w:name w:val="header"/>
    <w:basedOn w:val="Normal"/>
    <w:link w:val="HeaderChar"/>
    <w:uiPriority w:val="99"/>
    <w:unhideWhenUsed/>
    <w:rsid w:val="002D1DAF"/>
    <w:pPr>
      <w:tabs>
        <w:tab w:val="center" w:pos="4680"/>
        <w:tab w:val="right" w:pos="9360"/>
      </w:tabs>
    </w:pPr>
  </w:style>
  <w:style w:type="character" w:customStyle="1" w:styleId="HeaderChar">
    <w:name w:val="Header Char"/>
    <w:basedOn w:val="DefaultParagraphFont"/>
    <w:link w:val="Header"/>
    <w:uiPriority w:val="99"/>
    <w:rsid w:val="002D1DAF"/>
    <w:rPr>
      <w:rFonts w:ascii="Times New Roman" w:hAnsi="Times New Roman" w:cs="Times New Roman"/>
      <w:sz w:val="20"/>
      <w:szCs w:val="20"/>
    </w:rPr>
  </w:style>
  <w:style w:type="paragraph" w:styleId="Footer">
    <w:name w:val="footer"/>
    <w:basedOn w:val="Normal"/>
    <w:link w:val="FooterChar"/>
    <w:uiPriority w:val="99"/>
    <w:unhideWhenUsed/>
    <w:rsid w:val="002D1DAF"/>
    <w:pPr>
      <w:tabs>
        <w:tab w:val="center" w:pos="4680"/>
        <w:tab w:val="right" w:pos="9360"/>
      </w:tabs>
    </w:pPr>
  </w:style>
  <w:style w:type="character" w:customStyle="1" w:styleId="FooterChar">
    <w:name w:val="Footer Char"/>
    <w:basedOn w:val="DefaultParagraphFont"/>
    <w:link w:val="Footer"/>
    <w:uiPriority w:val="99"/>
    <w:rsid w:val="002D1DAF"/>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677E8"/>
    <w:rPr>
      <w:sz w:val="16"/>
      <w:szCs w:val="16"/>
    </w:rPr>
  </w:style>
  <w:style w:type="paragraph" w:styleId="CommentText">
    <w:name w:val="annotation text"/>
    <w:basedOn w:val="Normal"/>
    <w:link w:val="CommentTextChar"/>
    <w:uiPriority w:val="99"/>
    <w:semiHidden/>
    <w:unhideWhenUsed/>
    <w:rsid w:val="003677E8"/>
  </w:style>
  <w:style w:type="character" w:customStyle="1" w:styleId="CommentTextChar">
    <w:name w:val="Comment Text Char"/>
    <w:basedOn w:val="DefaultParagraphFont"/>
    <w:link w:val="CommentText"/>
    <w:uiPriority w:val="99"/>
    <w:semiHidden/>
    <w:rsid w:val="003677E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77E8"/>
    <w:rPr>
      <w:b/>
      <w:bCs/>
    </w:rPr>
  </w:style>
  <w:style w:type="character" w:customStyle="1" w:styleId="CommentSubjectChar">
    <w:name w:val="Comment Subject Char"/>
    <w:basedOn w:val="CommentTextChar"/>
    <w:link w:val="CommentSubject"/>
    <w:uiPriority w:val="99"/>
    <w:semiHidden/>
    <w:rsid w:val="003677E8"/>
    <w:rPr>
      <w:rFonts w:ascii="Times New Roman" w:hAnsi="Times New Roman" w:cs="Times New Roman"/>
      <w:b/>
      <w:bCs/>
      <w:sz w:val="20"/>
      <w:szCs w:val="20"/>
    </w:rPr>
  </w:style>
  <w:style w:type="paragraph" w:styleId="Revision">
    <w:name w:val="Revision"/>
    <w:hidden/>
    <w:uiPriority w:val="99"/>
    <w:semiHidden/>
    <w:rsid w:val="00C55192"/>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3759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Pettingill, Tia</cp:lastModifiedBy>
  <cp:revision>3</cp:revision>
  <dcterms:created xsi:type="dcterms:W3CDTF">2019-06-23T22:58:00Z</dcterms:created>
  <dcterms:modified xsi:type="dcterms:W3CDTF">2019-10-24T21:53:00Z</dcterms:modified>
</cp:coreProperties>
</file>