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4FFD6" w14:textId="77777777" w:rsidR="00B7507E" w:rsidRPr="00B7537D" w:rsidRDefault="008A1B74" w:rsidP="00D72A3B">
      <w:pPr>
        <w:jc w:val="center"/>
        <w:rPr>
          <w:sz w:val="24"/>
          <w:szCs w:val="24"/>
        </w:rPr>
      </w:pPr>
      <w:r w:rsidRPr="00B7537D">
        <w:rPr>
          <w:noProof/>
          <w:sz w:val="24"/>
          <w:szCs w:val="24"/>
          <w:lang w:val="en-AU" w:eastAsia="en-AU"/>
        </w:rPr>
        <w:drawing>
          <wp:inline distT="0" distB="0" distL="0" distR="0" wp14:anchorId="2FCE8820" wp14:editId="2148F7BD">
            <wp:extent cx="1729105" cy="11252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84EB" w14:textId="77777777" w:rsidR="00B7507E" w:rsidRPr="00D72A3B" w:rsidRDefault="00B7507E" w:rsidP="00D72A3B">
      <w:pPr>
        <w:shd w:val="clear" w:color="auto" w:fill="FFFFFF"/>
        <w:spacing w:before="1354"/>
        <w:jc w:val="center"/>
        <w:rPr>
          <w:sz w:val="36"/>
          <w:szCs w:val="36"/>
        </w:rPr>
      </w:pPr>
      <w:r w:rsidRPr="00D72A3B">
        <w:rPr>
          <w:b/>
          <w:bCs/>
          <w:sz w:val="36"/>
          <w:szCs w:val="36"/>
        </w:rPr>
        <w:t>T</w:t>
      </w:r>
      <w:bookmarkStart w:id="0" w:name="_GoBack"/>
      <w:bookmarkEnd w:id="0"/>
      <w:r w:rsidRPr="00D72A3B">
        <w:rPr>
          <w:b/>
          <w:bCs/>
          <w:sz w:val="36"/>
          <w:szCs w:val="36"/>
        </w:rPr>
        <w:t>ax Legislation Amendment Act 1992</w:t>
      </w:r>
    </w:p>
    <w:p w14:paraId="6E12EC7B" w14:textId="77777777" w:rsidR="00B7507E" w:rsidRPr="00B7537D" w:rsidRDefault="00B7507E" w:rsidP="00D72A3B">
      <w:pPr>
        <w:shd w:val="clear" w:color="auto" w:fill="FFFFFF"/>
        <w:spacing w:before="1013"/>
        <w:jc w:val="center"/>
      </w:pPr>
      <w:r w:rsidRPr="00B7537D">
        <w:rPr>
          <w:b/>
          <w:bCs/>
          <w:sz w:val="24"/>
          <w:szCs w:val="24"/>
        </w:rPr>
        <w:t>No. 197 of 1992</w:t>
      </w:r>
    </w:p>
    <w:p w14:paraId="670724F7" w14:textId="77777777" w:rsidR="00B7507E" w:rsidRPr="003B34EF" w:rsidRDefault="008B2A36" w:rsidP="00D72A3B">
      <w:pPr>
        <w:shd w:val="clear" w:color="auto" w:fill="FFFFFF"/>
        <w:spacing w:before="2338"/>
        <w:jc w:val="center"/>
        <w:rPr>
          <w:sz w:val="26"/>
          <w:szCs w:val="24"/>
        </w:rPr>
      </w:pPr>
      <w:r w:rsidRPr="003B34EF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4C569" wp14:editId="5A260604">
                <wp:simplePos x="0" y="0"/>
                <wp:positionH relativeFrom="column">
                  <wp:posOffset>152400</wp:posOffset>
                </wp:positionH>
                <wp:positionV relativeFrom="paragraph">
                  <wp:posOffset>690245</wp:posOffset>
                </wp:positionV>
                <wp:extent cx="57683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7A21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4.35pt" to="466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" strokecolor="black [3040]"/>
            </w:pict>
          </mc:Fallback>
        </mc:AlternateContent>
      </w:r>
      <w:r w:rsidRPr="003B34EF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9C1E" wp14:editId="418F34D7">
                <wp:simplePos x="0" y="0"/>
                <wp:positionH relativeFrom="column">
                  <wp:posOffset>152400</wp:posOffset>
                </wp:positionH>
                <wp:positionV relativeFrom="paragraph">
                  <wp:posOffset>667385</wp:posOffset>
                </wp:positionV>
                <wp:extent cx="57683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7960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2.55pt" to="466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" strokecolor="black [3040]"/>
            </w:pict>
          </mc:Fallback>
        </mc:AlternateContent>
      </w:r>
      <w:r w:rsidR="00B7507E" w:rsidRPr="003B34EF">
        <w:rPr>
          <w:b/>
          <w:bCs/>
          <w:sz w:val="26"/>
          <w:szCs w:val="24"/>
        </w:rPr>
        <w:t>An Act to amend the law relating to taxation</w:t>
      </w:r>
    </w:p>
    <w:p w14:paraId="1822025B" w14:textId="77777777" w:rsidR="00B7507E" w:rsidRPr="002517E1" w:rsidRDefault="00B7507E" w:rsidP="002517E1">
      <w:pPr>
        <w:shd w:val="clear" w:color="auto" w:fill="FFFFFF"/>
        <w:spacing w:before="120" w:after="60"/>
        <w:jc w:val="right"/>
        <w:rPr>
          <w:sz w:val="22"/>
          <w:szCs w:val="22"/>
        </w:rPr>
      </w:pPr>
      <w:r w:rsidRPr="002517E1">
        <w:rPr>
          <w:sz w:val="22"/>
          <w:szCs w:val="22"/>
        </w:rPr>
        <w:t>[</w:t>
      </w:r>
      <w:r w:rsidRPr="002517E1">
        <w:rPr>
          <w:i/>
          <w:iCs/>
          <w:sz w:val="22"/>
          <w:szCs w:val="22"/>
        </w:rPr>
        <w:t>Assented to 21 December 1992</w:t>
      </w:r>
      <w:r w:rsidRPr="002517E1">
        <w:rPr>
          <w:sz w:val="22"/>
          <w:szCs w:val="22"/>
        </w:rPr>
        <w:t>]</w:t>
      </w:r>
    </w:p>
    <w:p w14:paraId="6BC122BD" w14:textId="77777777" w:rsidR="00B7507E" w:rsidRDefault="00B7507E" w:rsidP="002517E1">
      <w:pPr>
        <w:shd w:val="clear" w:color="auto" w:fill="FFFFFF"/>
        <w:spacing w:before="120" w:after="60"/>
        <w:ind w:left="346"/>
        <w:rPr>
          <w:sz w:val="22"/>
          <w:szCs w:val="22"/>
        </w:rPr>
      </w:pPr>
      <w:r w:rsidRPr="002517E1">
        <w:rPr>
          <w:sz w:val="22"/>
          <w:szCs w:val="22"/>
        </w:rPr>
        <w:t>The Parliament of Australia enacts:</w:t>
      </w:r>
    </w:p>
    <w:p w14:paraId="3AAFA412" w14:textId="77777777" w:rsidR="00303C14" w:rsidRPr="002517E1" w:rsidRDefault="00303C14" w:rsidP="002517E1">
      <w:pPr>
        <w:shd w:val="clear" w:color="auto" w:fill="FFFFFF"/>
        <w:spacing w:before="120" w:after="60"/>
        <w:ind w:left="346"/>
        <w:rPr>
          <w:sz w:val="22"/>
          <w:szCs w:val="22"/>
        </w:rPr>
      </w:pPr>
    </w:p>
    <w:p w14:paraId="6B5EAA03" w14:textId="5A3A3E45" w:rsidR="00B7507E" w:rsidRPr="002517E1" w:rsidRDefault="00B7507E" w:rsidP="006870F4">
      <w:pPr>
        <w:shd w:val="clear" w:color="auto" w:fill="FFFFFF"/>
        <w:spacing w:before="120" w:after="60"/>
        <w:jc w:val="center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PART 1</w:t>
      </w:r>
      <w:r w:rsidRPr="002517E1">
        <w:rPr>
          <w:rFonts w:eastAsia="Times New Roman"/>
          <w:b/>
          <w:bCs/>
          <w:sz w:val="22"/>
          <w:szCs w:val="22"/>
        </w:rPr>
        <w:t>—PRELIMINARY</w:t>
      </w:r>
    </w:p>
    <w:p w14:paraId="29AD30F3" w14:textId="77777777" w:rsidR="00B7507E" w:rsidRPr="002517E1" w:rsidRDefault="00B7507E" w:rsidP="002517E1">
      <w:pPr>
        <w:shd w:val="clear" w:color="auto" w:fill="FFFFFF"/>
        <w:spacing w:before="120" w:after="60"/>
        <w:ind w:left="5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Short title</w:t>
      </w:r>
    </w:p>
    <w:p w14:paraId="743B977E" w14:textId="77777777" w:rsidR="00B7507E" w:rsidRPr="002517E1" w:rsidRDefault="00B7507E" w:rsidP="002517E1">
      <w:pPr>
        <w:shd w:val="clear" w:color="auto" w:fill="FFFFFF"/>
        <w:spacing w:before="120" w:after="60"/>
        <w:ind w:left="19" w:firstLine="331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1.</w:t>
      </w:r>
      <w:r w:rsidRPr="002517E1">
        <w:rPr>
          <w:sz w:val="22"/>
          <w:szCs w:val="22"/>
        </w:rPr>
        <w:t xml:space="preserve"> This Act may be cited as the </w:t>
      </w:r>
      <w:r w:rsidRPr="002517E1">
        <w:rPr>
          <w:i/>
          <w:iCs/>
          <w:sz w:val="22"/>
          <w:szCs w:val="22"/>
        </w:rPr>
        <w:t>Tax Legislation Amendment Act 1992.</w:t>
      </w:r>
    </w:p>
    <w:p w14:paraId="2D2FA5F9" w14:textId="77777777" w:rsidR="00B7507E" w:rsidRPr="002517E1" w:rsidRDefault="00B7507E" w:rsidP="006870F4">
      <w:pPr>
        <w:shd w:val="clear" w:color="auto" w:fill="FFFFFF"/>
        <w:spacing w:before="120" w:after="60"/>
        <w:ind w:left="5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Commencement</w:t>
      </w:r>
    </w:p>
    <w:p w14:paraId="17FF1C33" w14:textId="77777777" w:rsidR="00B7507E" w:rsidRPr="002517E1" w:rsidRDefault="00B7507E" w:rsidP="002517E1">
      <w:pPr>
        <w:shd w:val="clear" w:color="auto" w:fill="FFFFFF"/>
        <w:spacing w:before="120" w:after="60"/>
        <w:ind w:left="34" w:firstLine="312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2.(1) </w:t>
      </w:r>
      <w:r w:rsidRPr="002517E1">
        <w:rPr>
          <w:sz w:val="22"/>
          <w:szCs w:val="22"/>
        </w:rPr>
        <w:t>This Part and Divisions 1 and 2 of Part 2 commence on 1 July 1994.</w:t>
      </w:r>
    </w:p>
    <w:p w14:paraId="30E982BB" w14:textId="77777777" w:rsidR="00B7507E" w:rsidRPr="002517E1" w:rsidRDefault="00B7507E" w:rsidP="002517E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20" w:after="60"/>
        <w:ind w:left="346"/>
        <w:rPr>
          <w:b/>
          <w:bCs/>
          <w:sz w:val="22"/>
          <w:szCs w:val="22"/>
        </w:rPr>
      </w:pPr>
      <w:r w:rsidRPr="002517E1">
        <w:rPr>
          <w:sz w:val="22"/>
          <w:szCs w:val="22"/>
        </w:rPr>
        <w:t>Division 3 of Part 2 commences on 1 July 1995.</w:t>
      </w:r>
    </w:p>
    <w:p w14:paraId="09490E3D" w14:textId="77777777" w:rsidR="00B7507E" w:rsidRPr="002517E1" w:rsidRDefault="00B7507E" w:rsidP="002517E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20" w:after="60"/>
        <w:ind w:left="346"/>
        <w:rPr>
          <w:b/>
          <w:bCs/>
          <w:sz w:val="22"/>
          <w:szCs w:val="22"/>
        </w:rPr>
      </w:pPr>
      <w:r w:rsidRPr="002517E1">
        <w:rPr>
          <w:sz w:val="22"/>
          <w:szCs w:val="22"/>
        </w:rPr>
        <w:t>Division 4 of Part 2 commences on 1 July 1996.</w:t>
      </w:r>
    </w:p>
    <w:p w14:paraId="52B3E684" w14:textId="77777777" w:rsidR="00B7507E" w:rsidRPr="002517E1" w:rsidRDefault="00B7507E" w:rsidP="002517E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20" w:after="60"/>
        <w:ind w:left="346"/>
        <w:rPr>
          <w:b/>
          <w:bCs/>
          <w:sz w:val="22"/>
          <w:szCs w:val="22"/>
        </w:rPr>
        <w:sectPr w:rsidR="00B7507E" w:rsidRPr="002517E1" w:rsidSect="00673A12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5A9F442C" w14:textId="1FFE7A06" w:rsidR="00B7507E" w:rsidRPr="002517E1" w:rsidRDefault="00B7507E" w:rsidP="00707EA4">
      <w:pPr>
        <w:shd w:val="clear" w:color="auto" w:fill="FFFFFF"/>
        <w:spacing w:before="120" w:after="60"/>
        <w:jc w:val="center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lastRenderedPageBreak/>
        <w:t>PART 2</w:t>
      </w:r>
      <w:r w:rsidRPr="002517E1">
        <w:rPr>
          <w:rFonts w:eastAsia="Times New Roman"/>
          <w:b/>
          <w:bCs/>
          <w:sz w:val="22"/>
          <w:szCs w:val="22"/>
        </w:rPr>
        <w:t>—AMENDMENTS OF THE INCOME TAX RATES ACT 1986 TO GIVE EFFECT TO PERSONAL TAX CUTS</w:t>
      </w:r>
    </w:p>
    <w:p w14:paraId="2B072D3E" w14:textId="77777777" w:rsidR="00B7507E" w:rsidRPr="002517E1" w:rsidRDefault="00B7507E" w:rsidP="002517E1">
      <w:pPr>
        <w:shd w:val="clear" w:color="auto" w:fill="FFFFFF"/>
        <w:spacing w:before="120" w:after="60"/>
        <w:jc w:val="center"/>
        <w:rPr>
          <w:sz w:val="22"/>
          <w:szCs w:val="22"/>
        </w:rPr>
      </w:pPr>
      <w:r w:rsidRPr="002517E1">
        <w:rPr>
          <w:b/>
          <w:bCs/>
          <w:i/>
          <w:iCs/>
          <w:sz w:val="22"/>
          <w:szCs w:val="22"/>
        </w:rPr>
        <w:t>Division 1</w:t>
      </w:r>
      <w:r w:rsidRPr="002517E1">
        <w:rPr>
          <w:rFonts w:eastAsia="Times New Roman"/>
          <w:b/>
          <w:bCs/>
          <w:i/>
          <w:iCs/>
          <w:sz w:val="22"/>
          <w:szCs w:val="22"/>
        </w:rPr>
        <w:t>—Principal Act</w:t>
      </w:r>
    </w:p>
    <w:p w14:paraId="4D5F7485" w14:textId="77777777" w:rsidR="00B7507E" w:rsidRPr="002517E1" w:rsidRDefault="00B7507E" w:rsidP="00907082">
      <w:pPr>
        <w:shd w:val="clear" w:color="auto" w:fill="FFFFFF"/>
        <w:spacing w:before="120" w:after="60"/>
        <w:ind w:left="5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Principal Act</w:t>
      </w:r>
    </w:p>
    <w:p w14:paraId="6205F9B7" w14:textId="77777777" w:rsidR="00B7507E" w:rsidRPr="002517E1" w:rsidRDefault="00B7507E" w:rsidP="002517E1">
      <w:pPr>
        <w:shd w:val="clear" w:color="auto" w:fill="FFFFFF"/>
        <w:spacing w:before="120" w:after="60"/>
        <w:ind w:left="38" w:firstLine="312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3. </w:t>
      </w:r>
      <w:r w:rsidRPr="002517E1">
        <w:rPr>
          <w:sz w:val="22"/>
          <w:szCs w:val="22"/>
        </w:rPr>
        <w:t xml:space="preserve">In this Part, </w:t>
      </w:r>
      <w:r w:rsidRPr="002517E1">
        <w:rPr>
          <w:b/>
          <w:bCs/>
          <w:sz w:val="22"/>
          <w:szCs w:val="22"/>
        </w:rPr>
        <w:t xml:space="preserve">"Principal Act" </w:t>
      </w:r>
      <w:r w:rsidRPr="002517E1">
        <w:rPr>
          <w:sz w:val="22"/>
          <w:szCs w:val="22"/>
        </w:rPr>
        <w:t xml:space="preserve">means the </w:t>
      </w:r>
      <w:r w:rsidRPr="002517E1">
        <w:rPr>
          <w:i/>
          <w:iCs/>
          <w:sz w:val="22"/>
          <w:szCs w:val="22"/>
        </w:rPr>
        <w:t>Income Tax Rates Act 1986</w:t>
      </w:r>
      <w:r w:rsidRPr="002517E1">
        <w:rPr>
          <w:sz w:val="22"/>
          <w:szCs w:val="22"/>
          <w:vertAlign w:val="superscript"/>
        </w:rPr>
        <w:t>1</w:t>
      </w:r>
      <w:r w:rsidRPr="002517E1">
        <w:rPr>
          <w:sz w:val="22"/>
          <w:szCs w:val="22"/>
        </w:rPr>
        <w:t>.</w:t>
      </w:r>
    </w:p>
    <w:p w14:paraId="1A49D4CC" w14:textId="2662B602" w:rsidR="00B7507E" w:rsidRPr="002517E1" w:rsidRDefault="00B7507E" w:rsidP="00303C14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2517E1">
        <w:rPr>
          <w:b/>
          <w:bCs/>
          <w:i/>
          <w:iCs/>
          <w:sz w:val="22"/>
          <w:szCs w:val="22"/>
        </w:rPr>
        <w:t>Division 2</w:t>
      </w:r>
      <w:r w:rsidRPr="002517E1">
        <w:rPr>
          <w:rFonts w:eastAsia="Times New Roman"/>
          <w:b/>
          <w:bCs/>
          <w:i/>
          <w:iCs/>
          <w:sz w:val="22"/>
          <w:szCs w:val="22"/>
        </w:rPr>
        <w:t>—Tax cuts for 1994-95</w:t>
      </w:r>
    </w:p>
    <w:p w14:paraId="1D755E7E" w14:textId="77777777" w:rsidR="00B7507E" w:rsidRPr="002517E1" w:rsidRDefault="00B7507E" w:rsidP="00907082">
      <w:pPr>
        <w:shd w:val="clear" w:color="auto" w:fill="FFFFFF"/>
        <w:spacing w:before="120" w:after="60"/>
        <w:ind w:left="5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Schedule 7</w:t>
      </w:r>
    </w:p>
    <w:p w14:paraId="3AB6CD15" w14:textId="77777777" w:rsidR="00B7507E" w:rsidRPr="002517E1" w:rsidRDefault="00B7507E" w:rsidP="002517E1">
      <w:pPr>
        <w:shd w:val="clear" w:color="auto" w:fill="FFFFFF"/>
        <w:spacing w:before="120" w:after="60"/>
        <w:ind w:left="37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4.(1) </w:t>
      </w:r>
      <w:r w:rsidRPr="002517E1">
        <w:rPr>
          <w:sz w:val="22"/>
          <w:szCs w:val="22"/>
        </w:rPr>
        <w:t>The Principal Act is amended:</w:t>
      </w:r>
    </w:p>
    <w:p w14:paraId="11E67925" w14:textId="77777777" w:rsidR="00B7507E" w:rsidRPr="002517E1" w:rsidRDefault="00B7507E" w:rsidP="00D471C0">
      <w:pPr>
        <w:shd w:val="clear" w:color="auto" w:fill="FFFFFF"/>
        <w:spacing w:before="120" w:after="120"/>
        <w:ind w:left="811" w:hanging="37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(a)</w:t>
      </w:r>
      <w:r w:rsidRPr="002517E1">
        <w:rPr>
          <w:sz w:val="22"/>
          <w:szCs w:val="22"/>
        </w:rPr>
        <w:t xml:space="preserve"> by omitting the table in Part I of Schedule 7 and substituting the following table: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7"/>
        <w:gridCol w:w="1823"/>
      </w:tblGrid>
      <w:tr w:rsidR="00B7507E" w:rsidRPr="002517E1" w14:paraId="466227C5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C2441A" w14:textId="2FFE7401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before="120" w:after="60"/>
            </w:pPr>
            <w:r w:rsidRPr="00303C14"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4BB741C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Column 2</w:t>
            </w:r>
          </w:p>
        </w:tc>
      </w:tr>
      <w:tr w:rsidR="00B7507E" w:rsidRPr="002517E1" w14:paraId="37490D5B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E9C82FD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</w:pPr>
            <w:r w:rsidRPr="00303C14">
              <w:t>Parts of taxable income of resident taxpayer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559F642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% rate</w:t>
            </w:r>
          </w:p>
        </w:tc>
      </w:tr>
      <w:tr w:rsidR="00B7507E" w:rsidRPr="002517E1" w14:paraId="4510978C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922B90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left="331"/>
            </w:pPr>
            <w:r w:rsidRPr="00303C14">
              <w:t>The part of the taxable income that: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9DDC12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</w:p>
        </w:tc>
      </w:tr>
      <w:tr w:rsidR="00B7507E" w:rsidRPr="002517E1" w14:paraId="2D80B1D9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2BD1D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firstLine="720"/>
            </w:pPr>
            <w:r w:rsidRPr="00303C14">
              <w:t>exceeds $5,400 but does not exceed $20,700</w:t>
            </w:r>
            <w:r w:rsidR="005E77EF" w:rsidRPr="00303C14">
              <w:tab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DC08D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20%</w:t>
            </w:r>
          </w:p>
        </w:tc>
      </w:tr>
      <w:tr w:rsidR="00B7507E" w:rsidRPr="002517E1" w14:paraId="245AD9F9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39664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firstLine="720"/>
            </w:pPr>
            <w:r w:rsidRPr="00303C14">
              <w:t>exceeds $20,700 but does not exceed $38,000</w:t>
            </w:r>
            <w:r w:rsidR="005E77EF" w:rsidRPr="00303C14">
              <w:tab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D5BE2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34%</w:t>
            </w:r>
          </w:p>
        </w:tc>
      </w:tr>
      <w:tr w:rsidR="00B7507E" w:rsidRPr="002517E1" w14:paraId="700063B3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8FC73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firstLine="720"/>
            </w:pPr>
            <w:r w:rsidRPr="00303C14">
              <w:t>exceeds $38,000 but does not exceed $50,000</w:t>
            </w:r>
            <w:r w:rsidR="005E77EF" w:rsidRPr="00303C14">
              <w:tab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99D31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43%</w:t>
            </w:r>
          </w:p>
        </w:tc>
      </w:tr>
      <w:tr w:rsidR="00B7507E" w:rsidRPr="002517E1" w14:paraId="36CF79AE" w14:textId="77777777" w:rsidTr="00907082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FDB074" w14:textId="77777777" w:rsidR="00B7507E" w:rsidRPr="00303C14" w:rsidRDefault="00B7507E" w:rsidP="005E77EF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firstLine="720"/>
            </w:pPr>
            <w:r w:rsidRPr="00303C14">
              <w:t>exceeds $50,000</w:t>
            </w:r>
            <w:r w:rsidR="005E77EF" w:rsidRPr="00303C14">
              <w:tab/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6737AA" w14:textId="77777777" w:rsidR="00B7507E" w:rsidRPr="00303C14" w:rsidRDefault="00B7507E" w:rsidP="00DB7CAD">
            <w:pPr>
              <w:shd w:val="clear" w:color="auto" w:fill="FFFFFF"/>
              <w:spacing w:before="120" w:after="60"/>
              <w:ind w:right="144"/>
              <w:jc w:val="right"/>
            </w:pPr>
            <w:r w:rsidRPr="00303C14">
              <w:t>47% ";</w:t>
            </w:r>
          </w:p>
        </w:tc>
      </w:tr>
    </w:tbl>
    <w:p w14:paraId="507BEB0A" w14:textId="77777777" w:rsidR="00B7507E" w:rsidRPr="002517E1" w:rsidRDefault="00B7507E" w:rsidP="00D471C0">
      <w:pPr>
        <w:shd w:val="clear" w:color="auto" w:fill="FFFFFF"/>
        <w:spacing w:before="120" w:after="120"/>
        <w:ind w:left="811" w:hanging="37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(b) </w:t>
      </w:r>
      <w:r w:rsidRPr="002517E1">
        <w:rPr>
          <w:sz w:val="22"/>
          <w:szCs w:val="22"/>
        </w:rPr>
        <w:t>by omitting the table in Part II of Schedule 7 and substituting the following table: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5"/>
        <w:gridCol w:w="1795"/>
      </w:tblGrid>
      <w:tr w:rsidR="00B7507E" w:rsidRPr="002517E1" w14:paraId="29AF6630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F4CEE0" w14:textId="00FF7C59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before="120" w:after="60"/>
            </w:pPr>
            <w:r w:rsidRPr="00303C14"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B144F7" w14:textId="77777777" w:rsidR="00B7507E" w:rsidRPr="00303C14" w:rsidRDefault="00B7507E" w:rsidP="004B01F9">
            <w:pPr>
              <w:shd w:val="clear" w:color="auto" w:fill="FFFFFF"/>
              <w:spacing w:before="120" w:after="60"/>
              <w:ind w:right="144"/>
              <w:jc w:val="right"/>
            </w:pPr>
            <w:r w:rsidRPr="00303C14">
              <w:t>Column 2</w:t>
            </w:r>
          </w:p>
        </w:tc>
      </w:tr>
      <w:tr w:rsidR="00B7507E" w:rsidRPr="002517E1" w14:paraId="2E11BE0D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8F00A97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left="278"/>
            </w:pPr>
            <w:r w:rsidRPr="00303C14">
              <w:t>Parts of taxable income of non-resident taxpayer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D323D0" w14:textId="77777777" w:rsidR="00B7507E" w:rsidRPr="00303C14" w:rsidRDefault="00B7507E" w:rsidP="004B01F9">
            <w:pPr>
              <w:shd w:val="clear" w:color="auto" w:fill="FFFFFF"/>
              <w:spacing w:before="120" w:after="60"/>
              <w:ind w:right="144"/>
              <w:jc w:val="right"/>
            </w:pPr>
            <w:r w:rsidRPr="00303C14">
              <w:t>% rate</w:t>
            </w:r>
          </w:p>
        </w:tc>
      </w:tr>
      <w:tr w:rsidR="00B7507E" w:rsidRPr="002517E1" w14:paraId="7D2A4625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B4CA3E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left="269"/>
            </w:pPr>
            <w:r w:rsidRPr="00303C14">
              <w:t>The part of the taxable income that: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7BF9E57" w14:textId="77777777" w:rsidR="00B7507E" w:rsidRPr="00303C14" w:rsidRDefault="00B7507E" w:rsidP="004B01F9">
            <w:pPr>
              <w:shd w:val="clear" w:color="auto" w:fill="FFFFFF"/>
              <w:spacing w:before="120" w:after="60"/>
              <w:ind w:right="144"/>
              <w:jc w:val="right"/>
            </w:pPr>
          </w:p>
        </w:tc>
      </w:tr>
      <w:tr w:rsidR="00B7507E" w:rsidRPr="002517E1" w14:paraId="213FB1A6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D1F1C6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before="120" w:after="60"/>
              <w:ind w:left="461"/>
            </w:pPr>
            <w:r w:rsidRPr="00303C14">
              <w:t>does not exceed $20,700</w:t>
            </w:r>
            <w:r w:rsidR="004B01F9" w:rsidRPr="00303C14">
              <w:tab/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52E57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29%</w:t>
            </w:r>
          </w:p>
        </w:tc>
      </w:tr>
      <w:tr w:rsidR="00B7507E" w:rsidRPr="002517E1" w14:paraId="268B7C52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8EF251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left="456"/>
            </w:pPr>
            <w:r w:rsidRPr="00303C14">
              <w:t>exceeds $20,700 but does not exceed $38,000</w:t>
            </w:r>
            <w:r w:rsidR="004B01F9" w:rsidRPr="00303C14">
              <w:tab/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2CC11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34%</w:t>
            </w:r>
          </w:p>
        </w:tc>
      </w:tr>
      <w:tr w:rsidR="00B7507E" w:rsidRPr="002517E1" w14:paraId="731E1644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D2EF4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</w:tabs>
              <w:spacing w:before="120" w:after="60"/>
              <w:ind w:left="451"/>
            </w:pPr>
            <w:r w:rsidRPr="00303C14">
              <w:t>exceeds $38,000 but does not exceed $50,000</w:t>
            </w:r>
            <w:r w:rsidR="004B01F9" w:rsidRPr="00303C14">
              <w:tab/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F2652" w14:textId="77777777" w:rsidR="00B7507E" w:rsidRPr="00303C14" w:rsidRDefault="00B7507E" w:rsidP="00316E67">
            <w:pPr>
              <w:shd w:val="clear" w:color="auto" w:fill="FFFFFF"/>
              <w:spacing w:before="120" w:after="60"/>
              <w:ind w:right="288"/>
              <w:jc w:val="right"/>
            </w:pPr>
            <w:r w:rsidRPr="00303C14">
              <w:t>43%</w:t>
            </w:r>
          </w:p>
        </w:tc>
      </w:tr>
      <w:tr w:rsidR="00B7507E" w:rsidRPr="002517E1" w14:paraId="7B03CEC4" w14:textId="77777777" w:rsidTr="00195A5B">
        <w:trPr>
          <w:trHeight w:val="20"/>
          <w:jc w:val="center"/>
        </w:trPr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491FEB" w14:textId="77777777" w:rsidR="00B7507E" w:rsidRPr="00303C14" w:rsidRDefault="00B7507E" w:rsidP="004B01F9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before="120" w:after="60"/>
              <w:ind w:left="451"/>
            </w:pPr>
            <w:r w:rsidRPr="00303C14">
              <w:t>exceeds $50,000</w:t>
            </w:r>
            <w:r w:rsidR="004B01F9" w:rsidRPr="00303C14">
              <w:tab/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45A65E4" w14:textId="77777777" w:rsidR="00B7507E" w:rsidRPr="00303C14" w:rsidRDefault="00B7507E" w:rsidP="004B01F9">
            <w:pPr>
              <w:shd w:val="clear" w:color="auto" w:fill="FFFFFF"/>
              <w:spacing w:before="120" w:after="60"/>
              <w:ind w:left="413" w:right="144"/>
              <w:jc w:val="right"/>
            </w:pPr>
            <w:r w:rsidRPr="00303C14">
              <w:t>47% ";</w:t>
            </w:r>
          </w:p>
        </w:tc>
      </w:tr>
    </w:tbl>
    <w:p w14:paraId="5C202778" w14:textId="77777777" w:rsidR="00B7507E" w:rsidRPr="002517E1" w:rsidRDefault="00B7507E" w:rsidP="002517E1">
      <w:pPr>
        <w:shd w:val="clear" w:color="auto" w:fill="FFFFFF"/>
        <w:spacing w:before="120" w:after="60"/>
        <w:ind w:left="24" w:firstLine="336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(2) </w:t>
      </w:r>
      <w:r w:rsidRPr="002517E1">
        <w:rPr>
          <w:sz w:val="22"/>
          <w:szCs w:val="22"/>
        </w:rPr>
        <w:t>The amendments made by subsection (1) apply to assessments in respect of income of the 1994-95 year of income.</w:t>
      </w:r>
    </w:p>
    <w:p w14:paraId="58970095" w14:textId="77777777" w:rsidR="00B7507E" w:rsidRPr="002517E1" w:rsidRDefault="00B7507E" w:rsidP="004504D9">
      <w:pPr>
        <w:shd w:val="clear" w:color="auto" w:fill="FFFFFF"/>
        <w:spacing w:before="240"/>
        <w:jc w:val="center"/>
        <w:rPr>
          <w:sz w:val="22"/>
          <w:szCs w:val="22"/>
        </w:rPr>
      </w:pPr>
      <w:r w:rsidRPr="002517E1">
        <w:rPr>
          <w:b/>
          <w:bCs/>
          <w:i/>
          <w:iCs/>
          <w:sz w:val="22"/>
          <w:szCs w:val="22"/>
        </w:rPr>
        <w:t>Division 3</w:t>
      </w:r>
      <w:r w:rsidRPr="002517E1">
        <w:rPr>
          <w:rFonts w:eastAsia="Times New Roman"/>
          <w:b/>
          <w:bCs/>
          <w:i/>
          <w:iCs/>
          <w:sz w:val="22"/>
          <w:szCs w:val="22"/>
        </w:rPr>
        <w:t>—Tax cuts for 1995-96</w:t>
      </w:r>
    </w:p>
    <w:p w14:paraId="33FE33BD" w14:textId="77777777" w:rsidR="00B7507E" w:rsidRPr="002517E1" w:rsidRDefault="00B7507E" w:rsidP="002517E1">
      <w:pPr>
        <w:shd w:val="clear" w:color="auto" w:fill="FFFFFF"/>
        <w:spacing w:before="120" w:after="60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Schedule 7</w:t>
      </w:r>
    </w:p>
    <w:p w14:paraId="3A13AACF" w14:textId="77777777" w:rsidR="00B7507E" w:rsidRPr="002517E1" w:rsidRDefault="00B7507E" w:rsidP="002517E1">
      <w:pPr>
        <w:shd w:val="clear" w:color="auto" w:fill="FFFFFF"/>
        <w:spacing w:before="120" w:after="60"/>
        <w:ind w:left="336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5.(1) </w:t>
      </w:r>
      <w:r w:rsidRPr="002517E1">
        <w:rPr>
          <w:sz w:val="22"/>
          <w:szCs w:val="22"/>
        </w:rPr>
        <w:t>The Principal Act is amended:</w:t>
      </w:r>
    </w:p>
    <w:p w14:paraId="1F8C962D" w14:textId="77777777" w:rsidR="00B7507E" w:rsidRPr="002517E1" w:rsidRDefault="00B7507E" w:rsidP="002517E1">
      <w:pPr>
        <w:shd w:val="clear" w:color="auto" w:fill="FFFFFF"/>
        <w:spacing w:before="120" w:after="60"/>
        <w:ind w:left="730" w:hanging="341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(a)</w:t>
      </w:r>
      <w:r w:rsidRPr="002517E1">
        <w:rPr>
          <w:sz w:val="22"/>
          <w:szCs w:val="22"/>
        </w:rPr>
        <w:t xml:space="preserve"> by omitting the table in Part I of Schedule 7 and substituting the following table:</w:t>
      </w:r>
    </w:p>
    <w:p w14:paraId="6F6A010E" w14:textId="77777777" w:rsidR="00B7507E" w:rsidRPr="002517E1" w:rsidRDefault="00B7507E" w:rsidP="002517E1">
      <w:pPr>
        <w:shd w:val="clear" w:color="auto" w:fill="FFFFFF"/>
        <w:spacing w:before="120" w:after="60"/>
        <w:ind w:left="730" w:hanging="341"/>
        <w:rPr>
          <w:sz w:val="22"/>
          <w:szCs w:val="22"/>
        </w:rPr>
        <w:sectPr w:rsidR="00B7507E" w:rsidRPr="002517E1" w:rsidSect="00B7537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0"/>
        <w:gridCol w:w="1820"/>
      </w:tblGrid>
      <w:tr w:rsidR="00B7507E" w:rsidRPr="002517E1" w14:paraId="4C14D15B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B76594" w14:textId="19685185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after="60"/>
            </w:pPr>
            <w:r w:rsidRPr="00303C14">
              <w:lastRenderedPageBreak/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C0C365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Column 2</w:t>
            </w:r>
          </w:p>
        </w:tc>
      </w:tr>
      <w:tr w:rsidR="00B7507E" w:rsidRPr="002517E1" w14:paraId="714A8760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5B07DD4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26"/>
            </w:pPr>
            <w:r w:rsidRPr="00303C14">
              <w:t>Parts of taxable income of resident taxpayer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ED80BD3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% rate</w:t>
            </w:r>
          </w:p>
        </w:tc>
      </w:tr>
      <w:tr w:rsidR="00B7507E" w:rsidRPr="002517E1" w14:paraId="4851B5CF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38531A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22"/>
            </w:pPr>
            <w:r w:rsidRPr="00303C14">
              <w:t>The part of the taxable income that: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D8F592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</w:p>
        </w:tc>
      </w:tr>
      <w:tr w:rsidR="00B7507E" w:rsidRPr="002517E1" w14:paraId="75DB4E92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8A2E4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04"/>
            </w:pPr>
            <w:r w:rsidRPr="00303C14">
              <w:t>exceeds $5,400 but does not exceed $20,700</w:t>
            </w:r>
            <w:r w:rsidR="00673FA1" w:rsidRPr="00303C14"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DAC64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20%</w:t>
            </w:r>
          </w:p>
        </w:tc>
      </w:tr>
      <w:tr w:rsidR="00B7507E" w:rsidRPr="002517E1" w14:paraId="593D4116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22A80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04"/>
            </w:pPr>
            <w:r w:rsidRPr="00303C14">
              <w:t>exceeds $20,700 but does not exceed $38,000</w:t>
            </w:r>
            <w:r w:rsidR="00673FA1" w:rsidRPr="00303C14"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56D41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32%</w:t>
            </w:r>
          </w:p>
        </w:tc>
      </w:tr>
      <w:tr w:rsidR="00B7507E" w:rsidRPr="002517E1" w14:paraId="1E035AE2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6C71B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09"/>
            </w:pPr>
            <w:r w:rsidRPr="00303C14">
              <w:t>exceeds $38,000 but does not exceed $40,000</w:t>
            </w:r>
            <w:r w:rsidR="00673FA1" w:rsidRPr="00303C14"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10FAE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36.5%</w:t>
            </w:r>
          </w:p>
        </w:tc>
      </w:tr>
      <w:tr w:rsidR="00B7507E" w:rsidRPr="002517E1" w14:paraId="726DA5DD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24D52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09"/>
            </w:pPr>
            <w:r w:rsidRPr="00303C14">
              <w:t>exceeds $40,000 but does not exceed $50,000</w:t>
            </w:r>
            <w:r w:rsidR="00673FA1" w:rsidRPr="00303C14"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D05A1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41.5%</w:t>
            </w:r>
          </w:p>
        </w:tc>
      </w:tr>
      <w:tr w:rsidR="00B7507E" w:rsidRPr="002517E1" w14:paraId="2CCF0B3D" w14:textId="77777777" w:rsidTr="0011374B">
        <w:trPr>
          <w:trHeight w:val="20"/>
          <w:jc w:val="center"/>
        </w:trPr>
        <w:tc>
          <w:tcPr>
            <w:tcW w:w="5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80FEDA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after="60"/>
              <w:ind w:left="509"/>
            </w:pPr>
            <w:r w:rsidRPr="00303C14">
              <w:t>exceeds $50,000</w:t>
            </w:r>
            <w:r w:rsidR="00673FA1" w:rsidRPr="00303C14">
              <w:tab/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BDDCDE" w14:textId="77777777" w:rsidR="00B7507E" w:rsidRPr="00303C14" w:rsidRDefault="00B7507E" w:rsidP="001F6C66">
            <w:pPr>
              <w:shd w:val="clear" w:color="auto" w:fill="FFFFFF"/>
              <w:spacing w:after="60"/>
              <w:ind w:left="398" w:right="144"/>
              <w:jc w:val="right"/>
            </w:pPr>
            <w:r w:rsidRPr="00303C14">
              <w:t>47% ";</w:t>
            </w:r>
          </w:p>
        </w:tc>
      </w:tr>
    </w:tbl>
    <w:p w14:paraId="1DEEEDCB" w14:textId="77777777" w:rsidR="00B7507E" w:rsidRPr="002517E1" w:rsidRDefault="00B7507E" w:rsidP="002451B5">
      <w:pPr>
        <w:shd w:val="clear" w:color="auto" w:fill="FFFFFF"/>
        <w:spacing w:before="120" w:after="60"/>
        <w:ind w:left="787" w:hanging="38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(b)</w:t>
      </w:r>
      <w:r w:rsidRPr="002517E1">
        <w:rPr>
          <w:sz w:val="22"/>
          <w:szCs w:val="22"/>
        </w:rPr>
        <w:t xml:space="preserve"> by omitting the table in Part II of Schedule 7 and substituting the following table: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7"/>
        <w:gridCol w:w="1833"/>
      </w:tblGrid>
      <w:tr w:rsidR="00B7507E" w:rsidRPr="002517E1" w14:paraId="0AFC9398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2534EC" w14:textId="2E093667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after="60"/>
              <w:ind w:left="10"/>
            </w:pPr>
            <w:r w:rsidRPr="00303C14"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86C3A12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Column 2</w:t>
            </w:r>
          </w:p>
        </w:tc>
      </w:tr>
      <w:tr w:rsidR="00B7507E" w:rsidRPr="002517E1" w14:paraId="23DDFE4C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B6D389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55"/>
            </w:pPr>
            <w:r w:rsidRPr="00303C14">
              <w:t>Parts of taxable income of non-resident taxpayer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DDF3C6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% rate</w:t>
            </w:r>
          </w:p>
        </w:tc>
      </w:tr>
      <w:tr w:rsidR="00B7507E" w:rsidRPr="002517E1" w14:paraId="57E6397A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717DC2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50"/>
            </w:pPr>
            <w:r w:rsidRPr="00303C14">
              <w:t>The part of the taxable income that: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F22E48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</w:p>
        </w:tc>
      </w:tr>
      <w:tr w:rsidR="00B7507E" w:rsidRPr="002517E1" w14:paraId="0DC93D95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37D570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290"/>
                <w:tab w:val="left" w:leader="dot" w:pos="7344"/>
              </w:tabs>
              <w:spacing w:after="60"/>
              <w:ind w:left="538"/>
            </w:pPr>
            <w:r w:rsidRPr="00303C14">
              <w:t>does not exceed $20,700</w:t>
            </w:r>
            <w:r w:rsidR="00E91CD3" w:rsidRPr="00303C14">
              <w:tab/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3F48B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29%</w:t>
            </w:r>
          </w:p>
        </w:tc>
      </w:tr>
      <w:tr w:rsidR="00B7507E" w:rsidRPr="002517E1" w14:paraId="36BE3F1D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4C42BC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33"/>
            </w:pPr>
            <w:r w:rsidRPr="00303C14">
              <w:t>exceeds $20,700 but does not exceed $38,000</w:t>
            </w:r>
            <w:r w:rsidR="00E91CD3" w:rsidRPr="00303C14">
              <w:tab/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91CB0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32%</w:t>
            </w:r>
          </w:p>
        </w:tc>
      </w:tr>
      <w:tr w:rsidR="00B7507E" w:rsidRPr="002517E1" w14:paraId="389C07DC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817B3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28"/>
            </w:pPr>
            <w:r w:rsidRPr="00303C14">
              <w:t>exceeds $38,000 but does not exceed $40,000</w:t>
            </w:r>
            <w:r w:rsidR="00E91CD3" w:rsidRPr="00303C14">
              <w:tab/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1F189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36.5%</w:t>
            </w:r>
          </w:p>
        </w:tc>
      </w:tr>
      <w:tr w:rsidR="00B7507E" w:rsidRPr="002517E1" w14:paraId="15AC58FB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65CC3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33"/>
            </w:pPr>
            <w:r w:rsidRPr="00303C14">
              <w:t>exceeds $40,000 but does not exceed $50,000</w:t>
            </w:r>
            <w:r w:rsidR="00E91CD3" w:rsidRPr="00303C14">
              <w:tab/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17684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41.5%</w:t>
            </w:r>
          </w:p>
        </w:tc>
      </w:tr>
      <w:tr w:rsidR="00B7507E" w:rsidRPr="002517E1" w14:paraId="32490988" w14:textId="77777777" w:rsidTr="00E91CD3">
        <w:trPr>
          <w:trHeight w:val="20"/>
          <w:jc w:val="center"/>
        </w:trPr>
        <w:tc>
          <w:tcPr>
            <w:tcW w:w="5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DE6369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after="60"/>
              <w:ind w:left="533"/>
            </w:pPr>
            <w:r w:rsidRPr="00303C14">
              <w:t>exceeds $50,000</w:t>
            </w:r>
            <w:r w:rsidR="00E91CD3" w:rsidRPr="00303C14">
              <w:tab/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1987EE5" w14:textId="77777777" w:rsidR="00B7507E" w:rsidRPr="00303C14" w:rsidRDefault="00B7507E" w:rsidP="001F6C66">
            <w:pPr>
              <w:shd w:val="clear" w:color="auto" w:fill="FFFFFF"/>
              <w:spacing w:after="60"/>
              <w:ind w:left="413" w:right="144"/>
              <w:jc w:val="right"/>
            </w:pPr>
            <w:r w:rsidRPr="00303C14">
              <w:t>47% ".</w:t>
            </w:r>
          </w:p>
        </w:tc>
      </w:tr>
    </w:tbl>
    <w:p w14:paraId="36FF874A" w14:textId="77777777" w:rsidR="00B7507E" w:rsidRPr="002517E1" w:rsidRDefault="00B7507E" w:rsidP="002451B5">
      <w:pPr>
        <w:shd w:val="clear" w:color="auto" w:fill="FFFFFF"/>
        <w:spacing w:before="120" w:after="60"/>
        <w:ind w:left="787" w:hanging="38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(2)</w:t>
      </w:r>
      <w:r w:rsidRPr="002517E1">
        <w:rPr>
          <w:sz w:val="22"/>
          <w:szCs w:val="22"/>
        </w:rPr>
        <w:t xml:space="preserve"> The amendments made by subsection (1) apply to assessments in respect of income of the 1995-96 year of income.</w:t>
      </w:r>
    </w:p>
    <w:p w14:paraId="03F5F668" w14:textId="77777777" w:rsidR="00B7507E" w:rsidRPr="002517E1" w:rsidRDefault="00B7507E" w:rsidP="00DF416D">
      <w:pPr>
        <w:shd w:val="clear" w:color="auto" w:fill="FFFFFF"/>
        <w:spacing w:before="120" w:after="60"/>
        <w:jc w:val="center"/>
        <w:rPr>
          <w:sz w:val="22"/>
          <w:szCs w:val="22"/>
        </w:rPr>
      </w:pPr>
      <w:r w:rsidRPr="002517E1">
        <w:rPr>
          <w:b/>
          <w:bCs/>
          <w:i/>
          <w:iCs/>
          <w:sz w:val="22"/>
          <w:szCs w:val="22"/>
        </w:rPr>
        <w:t>Division 4</w:t>
      </w:r>
      <w:r w:rsidRPr="002517E1">
        <w:rPr>
          <w:rFonts w:eastAsia="Times New Roman"/>
          <w:b/>
          <w:bCs/>
          <w:i/>
          <w:iCs/>
          <w:sz w:val="22"/>
          <w:szCs w:val="22"/>
        </w:rPr>
        <w:t>—Tax cuts for 1996-97 and later years</w:t>
      </w:r>
    </w:p>
    <w:p w14:paraId="0DFAA310" w14:textId="77777777" w:rsidR="00B7507E" w:rsidRPr="002517E1" w:rsidRDefault="00B7507E" w:rsidP="002517E1">
      <w:pPr>
        <w:shd w:val="clear" w:color="auto" w:fill="FFFFFF"/>
        <w:spacing w:before="120" w:after="60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Schedule 7</w:t>
      </w:r>
    </w:p>
    <w:p w14:paraId="634E67E4" w14:textId="77777777" w:rsidR="00B7507E" w:rsidRPr="002517E1" w:rsidRDefault="00B7507E" w:rsidP="002517E1">
      <w:pPr>
        <w:shd w:val="clear" w:color="auto" w:fill="FFFFFF"/>
        <w:spacing w:before="120" w:after="60"/>
        <w:ind w:left="346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 xml:space="preserve">6.(1) </w:t>
      </w:r>
      <w:r w:rsidRPr="002517E1">
        <w:rPr>
          <w:sz w:val="22"/>
          <w:szCs w:val="22"/>
        </w:rPr>
        <w:t>The Principal Act is amended:</w:t>
      </w:r>
    </w:p>
    <w:p w14:paraId="51F46FD1" w14:textId="77777777" w:rsidR="00B7507E" w:rsidRPr="002517E1" w:rsidRDefault="00B7507E" w:rsidP="00941910">
      <w:pPr>
        <w:shd w:val="clear" w:color="auto" w:fill="FFFFFF"/>
        <w:spacing w:before="120" w:after="60"/>
        <w:ind w:left="787" w:hanging="38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(a)</w:t>
      </w:r>
      <w:r w:rsidRPr="002517E1">
        <w:rPr>
          <w:sz w:val="22"/>
          <w:szCs w:val="22"/>
        </w:rPr>
        <w:t xml:space="preserve"> by omitting the table in Part I of Schedule 7 and substituting the following table: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1"/>
        <w:gridCol w:w="1859"/>
      </w:tblGrid>
      <w:tr w:rsidR="00B7507E" w:rsidRPr="002517E1" w14:paraId="7BBAA258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728489" w14:textId="2A7AFE0E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after="60"/>
            </w:pPr>
            <w:r w:rsidRPr="00303C14"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534CEB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Column 2</w:t>
            </w:r>
          </w:p>
        </w:tc>
      </w:tr>
      <w:tr w:rsidR="00B7507E" w:rsidRPr="002517E1" w14:paraId="05704021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1F2F50B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02"/>
            </w:pPr>
            <w:r w:rsidRPr="00303C14">
              <w:t>Parts of taxable income of resident taxpayer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AF7034" w14:textId="77777777" w:rsidR="00B7507E" w:rsidRPr="00303C14" w:rsidRDefault="00B7507E" w:rsidP="001F6C66">
            <w:pPr>
              <w:shd w:val="clear" w:color="auto" w:fill="FFFFFF"/>
              <w:spacing w:after="60"/>
              <w:ind w:left="226" w:right="144"/>
              <w:jc w:val="right"/>
            </w:pPr>
            <w:r w:rsidRPr="00303C14">
              <w:t>% rate</w:t>
            </w:r>
          </w:p>
        </w:tc>
      </w:tr>
      <w:tr w:rsidR="00B7507E" w:rsidRPr="002517E1" w14:paraId="42B7D37E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58DF2C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02"/>
            </w:pPr>
            <w:r w:rsidRPr="00303C14">
              <w:t>The part of the taxable income that: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7662C3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</w:p>
        </w:tc>
      </w:tr>
      <w:tr w:rsidR="00B7507E" w:rsidRPr="002517E1" w14:paraId="38C63DEC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95DF8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485"/>
            </w:pPr>
            <w:r w:rsidRPr="00303C14">
              <w:t>exceeds $5,400 but does not exceed $20,700</w:t>
            </w:r>
            <w:r w:rsidR="0018168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6BABA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20%</w:t>
            </w:r>
          </w:p>
        </w:tc>
      </w:tr>
      <w:tr w:rsidR="00B7507E" w:rsidRPr="002517E1" w14:paraId="1ED95828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26419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490"/>
            </w:pPr>
            <w:r w:rsidRPr="00303C14">
              <w:t>exceeds $20,700 but does not exceed $40,000</w:t>
            </w:r>
            <w:r w:rsidR="0018168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6D300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30%</w:t>
            </w:r>
          </w:p>
        </w:tc>
      </w:tr>
      <w:tr w:rsidR="00B7507E" w:rsidRPr="002517E1" w14:paraId="236B99B3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7B001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485"/>
            </w:pPr>
            <w:r w:rsidRPr="00303C14">
              <w:t>exceeds $40,000 but does not exceed $50,000</w:t>
            </w:r>
            <w:r w:rsidR="0018168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7D60E" w14:textId="77777777" w:rsidR="00B7507E" w:rsidRPr="00303C14" w:rsidRDefault="00B7507E" w:rsidP="001F6C66">
            <w:pPr>
              <w:shd w:val="clear" w:color="auto" w:fill="FFFFFF"/>
              <w:spacing w:after="60"/>
              <w:ind w:right="288"/>
              <w:jc w:val="right"/>
            </w:pPr>
            <w:r w:rsidRPr="00303C14">
              <w:t>40%</w:t>
            </w:r>
          </w:p>
        </w:tc>
      </w:tr>
      <w:tr w:rsidR="00B7507E" w:rsidRPr="002517E1" w14:paraId="1A6EB973" w14:textId="77777777" w:rsidTr="00941910">
        <w:trPr>
          <w:trHeight w:val="20"/>
          <w:jc w:val="center"/>
        </w:trPr>
        <w:tc>
          <w:tcPr>
            <w:tcW w:w="50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F42DDC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after="60"/>
              <w:ind w:left="485"/>
            </w:pPr>
            <w:r w:rsidRPr="00303C14">
              <w:t>exceeds $50,000</w:t>
            </w:r>
            <w:r w:rsidR="0018168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F9035DA" w14:textId="77777777" w:rsidR="00B7507E" w:rsidRPr="00303C14" w:rsidRDefault="00B7507E" w:rsidP="001F6C66">
            <w:pPr>
              <w:shd w:val="clear" w:color="auto" w:fill="FFFFFF"/>
              <w:spacing w:after="60"/>
              <w:ind w:left="418" w:right="144"/>
              <w:jc w:val="right"/>
            </w:pPr>
            <w:r w:rsidRPr="00303C14">
              <w:t>47% ";</w:t>
            </w:r>
          </w:p>
        </w:tc>
      </w:tr>
    </w:tbl>
    <w:p w14:paraId="24CD2EAC" w14:textId="77777777" w:rsidR="00B7507E" w:rsidRPr="002517E1" w:rsidRDefault="00B7507E" w:rsidP="002451B5">
      <w:pPr>
        <w:shd w:val="clear" w:color="auto" w:fill="FFFFFF"/>
        <w:spacing w:before="120" w:after="60"/>
        <w:ind w:left="787" w:hanging="389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t>(b)</w:t>
      </w:r>
      <w:r w:rsidRPr="002517E1">
        <w:rPr>
          <w:sz w:val="22"/>
          <w:szCs w:val="22"/>
        </w:rPr>
        <w:t xml:space="preserve"> by omitting the table in Part II of Schedule 7 and substituting the following table: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5"/>
        <w:gridCol w:w="1855"/>
      </w:tblGrid>
      <w:tr w:rsidR="00B7507E" w:rsidRPr="002517E1" w14:paraId="0A84450F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84314E" w14:textId="0CCAE563" w:rsidR="00B7507E" w:rsidRPr="00303C14" w:rsidRDefault="00B7507E" w:rsidP="00303C14">
            <w:pPr>
              <w:shd w:val="clear" w:color="auto" w:fill="FFFFFF"/>
              <w:tabs>
                <w:tab w:val="left" w:leader="dot" w:pos="7344"/>
              </w:tabs>
              <w:spacing w:after="60"/>
            </w:pPr>
            <w:r w:rsidRPr="00303C14">
              <w:t>"</w:t>
            </w:r>
            <w:r w:rsidR="007503F4" w:rsidRPr="00303C14">
              <w:t xml:space="preserve"> </w:t>
            </w:r>
            <w:r w:rsidRPr="00303C14">
              <w:t>Column 1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647FB6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Column 2</w:t>
            </w:r>
          </w:p>
        </w:tc>
      </w:tr>
      <w:tr w:rsidR="00B7507E" w:rsidRPr="002517E1" w14:paraId="6759B810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59FF0F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36"/>
            </w:pPr>
            <w:r w:rsidRPr="00303C14">
              <w:t>Parts of taxable income of non-resident taxpayer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9A952E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% rate</w:t>
            </w:r>
          </w:p>
        </w:tc>
      </w:tr>
      <w:tr w:rsidR="00B7507E" w:rsidRPr="002517E1" w14:paraId="24B2A6A6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F71A0C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336"/>
            </w:pPr>
            <w:r w:rsidRPr="00303C14">
              <w:t>The part of the taxable income that: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AF2F33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</w:p>
        </w:tc>
      </w:tr>
      <w:tr w:rsidR="00B7507E" w:rsidRPr="002517E1" w14:paraId="705E7C18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4AFF017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  <w:tab w:val="left" w:leader="dot" w:pos="7380"/>
              </w:tabs>
              <w:spacing w:after="60"/>
              <w:ind w:left="523"/>
            </w:pPr>
            <w:r w:rsidRPr="00303C14">
              <w:t>does not exceed $20,700</w:t>
            </w:r>
            <w:r w:rsidR="00DD199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A8EA1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29%</w:t>
            </w:r>
          </w:p>
        </w:tc>
      </w:tr>
      <w:tr w:rsidR="00B7507E" w:rsidRPr="002517E1" w14:paraId="53871691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CB9B1A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18"/>
            </w:pPr>
            <w:r w:rsidRPr="00303C14">
              <w:t>exceeds $20,700 but does not exceed $40,000</w:t>
            </w:r>
            <w:r w:rsidR="00DD199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A3459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30%</w:t>
            </w:r>
          </w:p>
        </w:tc>
      </w:tr>
      <w:tr w:rsidR="00B7507E" w:rsidRPr="002517E1" w14:paraId="196106F4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9A986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23"/>
            </w:pPr>
            <w:r w:rsidRPr="00303C14">
              <w:t>exceeds $40,000 but does not exceed $50,000</w:t>
            </w:r>
            <w:r w:rsidR="00DD199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91BEC" w14:textId="77777777" w:rsidR="00B7507E" w:rsidRPr="00303C14" w:rsidRDefault="00B7507E" w:rsidP="001F6C66">
            <w:pPr>
              <w:shd w:val="clear" w:color="auto" w:fill="FFFFFF"/>
              <w:spacing w:after="60"/>
              <w:ind w:right="144"/>
              <w:jc w:val="right"/>
            </w:pPr>
            <w:r w:rsidRPr="00303C14">
              <w:t>40%</w:t>
            </w:r>
          </w:p>
        </w:tc>
      </w:tr>
      <w:tr w:rsidR="00B7507E" w:rsidRPr="002517E1" w14:paraId="69F10EC1" w14:textId="77777777" w:rsidTr="00F97008">
        <w:trPr>
          <w:trHeight w:val="20"/>
          <w:jc w:val="center"/>
        </w:trPr>
        <w:tc>
          <w:tcPr>
            <w:tcW w:w="51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5471E4" w14:textId="77777777" w:rsidR="00B7507E" w:rsidRPr="00303C14" w:rsidRDefault="00B7507E" w:rsidP="001F6C66">
            <w:pPr>
              <w:shd w:val="clear" w:color="auto" w:fill="FFFFFF"/>
              <w:tabs>
                <w:tab w:val="left" w:leader="dot" w:pos="7344"/>
              </w:tabs>
              <w:spacing w:after="60"/>
              <w:ind w:left="523"/>
            </w:pPr>
            <w:r w:rsidRPr="00303C14">
              <w:t>exceeds $50,000</w:t>
            </w:r>
            <w:r w:rsidR="00DD199A" w:rsidRPr="00303C14">
              <w:tab/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4A21AF5" w14:textId="77777777" w:rsidR="00B7507E" w:rsidRPr="00303C14" w:rsidRDefault="00B7507E" w:rsidP="001F6C66">
            <w:pPr>
              <w:shd w:val="clear" w:color="auto" w:fill="FFFFFF"/>
              <w:spacing w:after="60"/>
              <w:ind w:left="446" w:right="144"/>
              <w:jc w:val="right"/>
            </w:pPr>
            <w:r w:rsidRPr="00303C14">
              <w:t>47% ".</w:t>
            </w:r>
          </w:p>
        </w:tc>
      </w:tr>
    </w:tbl>
    <w:p w14:paraId="5FCFF593" w14:textId="77777777" w:rsidR="00B7507E" w:rsidRPr="002517E1" w:rsidRDefault="00B7507E" w:rsidP="002517E1">
      <w:pPr>
        <w:spacing w:before="120" w:after="60"/>
        <w:rPr>
          <w:sz w:val="22"/>
          <w:szCs w:val="22"/>
        </w:rPr>
        <w:sectPr w:rsidR="00B7507E" w:rsidRPr="002517E1" w:rsidSect="00B7537D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480D0515" w14:textId="77777777" w:rsidR="00B7507E" w:rsidRPr="002517E1" w:rsidRDefault="00B7507E" w:rsidP="002517E1">
      <w:pPr>
        <w:shd w:val="clear" w:color="auto" w:fill="FFFFFF"/>
        <w:spacing w:before="120" w:after="60"/>
        <w:ind w:firstLine="331"/>
        <w:jc w:val="both"/>
        <w:rPr>
          <w:sz w:val="22"/>
          <w:szCs w:val="22"/>
        </w:rPr>
      </w:pPr>
      <w:r w:rsidRPr="002517E1">
        <w:rPr>
          <w:b/>
          <w:bCs/>
          <w:sz w:val="22"/>
          <w:szCs w:val="22"/>
        </w:rPr>
        <w:lastRenderedPageBreak/>
        <w:t>(2)</w:t>
      </w:r>
      <w:r w:rsidRPr="002517E1">
        <w:rPr>
          <w:sz w:val="22"/>
          <w:szCs w:val="22"/>
        </w:rPr>
        <w:t xml:space="preserve"> The amendments made by subsection (1) apply to assessments in respect of income of the 1996-97 year of income and of all subsequent years of income.</w:t>
      </w:r>
    </w:p>
    <w:p w14:paraId="3688DA0F" w14:textId="77777777" w:rsidR="00B7507E" w:rsidRPr="002517E1" w:rsidRDefault="006057A5" w:rsidP="002B3E18">
      <w:pPr>
        <w:shd w:val="clear" w:color="auto" w:fill="FFFFFF"/>
        <w:spacing w:before="1200" w:after="60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B0562" wp14:editId="2C3A3BF2">
                <wp:simplePos x="0" y="0"/>
                <wp:positionH relativeFrom="column">
                  <wp:posOffset>30480</wp:posOffset>
                </wp:positionH>
                <wp:positionV relativeFrom="paragraph">
                  <wp:posOffset>173990</wp:posOffset>
                </wp:positionV>
                <wp:extent cx="59131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FC19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7pt" to="46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" strokecolor="black [3040]"/>
            </w:pict>
          </mc:Fallback>
        </mc:AlternateContent>
      </w:r>
      <w:r w:rsidR="00B7507E" w:rsidRPr="002517E1">
        <w:rPr>
          <w:b/>
          <w:bCs/>
          <w:sz w:val="22"/>
          <w:szCs w:val="22"/>
        </w:rPr>
        <w:t>NOTE</w:t>
      </w:r>
    </w:p>
    <w:p w14:paraId="3B224CB6" w14:textId="77777777" w:rsidR="00B7507E" w:rsidRPr="002B3E18" w:rsidRDefault="00B7507E" w:rsidP="002517E1">
      <w:pPr>
        <w:shd w:val="clear" w:color="auto" w:fill="FFFFFF"/>
        <w:spacing w:before="120" w:after="60"/>
        <w:ind w:left="302" w:hanging="283"/>
        <w:jc w:val="both"/>
      </w:pPr>
      <w:r w:rsidRPr="002B3E18">
        <w:t xml:space="preserve">1. No. 107, 1986, as amended. For previous amendments, see </w:t>
      </w:r>
      <w:r w:rsidRPr="003B34EF">
        <w:t xml:space="preserve">Nos. </w:t>
      </w:r>
      <w:r w:rsidRPr="002B3E18">
        <w:t xml:space="preserve">60 and 138, 1987; </w:t>
      </w:r>
      <w:r w:rsidRPr="003B34EF">
        <w:t xml:space="preserve">Nos. </w:t>
      </w:r>
      <w:r w:rsidRPr="002B3E18">
        <w:t xml:space="preserve">11, 78 and 118, 1988; </w:t>
      </w:r>
      <w:r w:rsidRPr="003B34EF">
        <w:t xml:space="preserve">Nos. </w:t>
      </w:r>
      <w:r w:rsidRPr="002B3E18">
        <w:t xml:space="preserve">70, 98 and 106, 1989; No. 87, 1990; </w:t>
      </w:r>
      <w:r w:rsidRPr="003B34EF">
        <w:t xml:space="preserve">Nos. </w:t>
      </w:r>
      <w:r w:rsidRPr="002B3E18">
        <w:t>48, 100 and 216, 1991; and No. 98, 1992.</w:t>
      </w:r>
    </w:p>
    <w:p w14:paraId="2DE5C519" w14:textId="77777777" w:rsidR="002B3E18" w:rsidRDefault="00B7507E" w:rsidP="002517E1">
      <w:pPr>
        <w:shd w:val="clear" w:color="auto" w:fill="FFFFFF"/>
        <w:spacing w:before="120" w:after="60"/>
        <w:ind w:left="758" w:hanging="739"/>
        <w:rPr>
          <w:rFonts w:eastAsia="Times New Roman"/>
          <w:i/>
          <w:iCs/>
        </w:rPr>
      </w:pPr>
      <w:r w:rsidRPr="002B3E18">
        <w:t>[</w:t>
      </w:r>
      <w:r w:rsidRPr="002B3E18">
        <w:rPr>
          <w:i/>
          <w:iCs/>
        </w:rPr>
        <w:t>Minister's second reading speech made in</w:t>
      </w:r>
      <w:r w:rsidRPr="002B3E18">
        <w:rPr>
          <w:rFonts w:eastAsia="Times New Roman"/>
          <w:i/>
          <w:iCs/>
        </w:rPr>
        <w:t>—</w:t>
      </w:r>
    </w:p>
    <w:p w14:paraId="62C727E5" w14:textId="77777777" w:rsidR="002B3E18" w:rsidRDefault="00B7507E" w:rsidP="00C85B69">
      <w:pPr>
        <w:shd w:val="clear" w:color="auto" w:fill="FFFFFF"/>
        <w:ind w:left="14" w:firstLine="734"/>
        <w:rPr>
          <w:rFonts w:eastAsia="Times New Roman"/>
          <w:i/>
          <w:iCs/>
        </w:rPr>
      </w:pPr>
      <w:r w:rsidRPr="002B3E18">
        <w:rPr>
          <w:rFonts w:eastAsia="Times New Roman"/>
          <w:i/>
          <w:iCs/>
        </w:rPr>
        <w:t>House of Representatives on 16 September 1992</w:t>
      </w:r>
    </w:p>
    <w:p w14:paraId="0D5277E7" w14:textId="77777777" w:rsidR="00B7507E" w:rsidRPr="002B3E18" w:rsidRDefault="00B7507E" w:rsidP="00C85B69">
      <w:pPr>
        <w:shd w:val="clear" w:color="auto" w:fill="FFFFFF"/>
        <w:ind w:left="14" w:firstLine="734"/>
      </w:pPr>
      <w:r w:rsidRPr="002B3E18">
        <w:rPr>
          <w:rFonts w:eastAsia="Times New Roman"/>
          <w:i/>
          <w:iCs/>
        </w:rPr>
        <w:t>Senate on 9 November 1992</w:t>
      </w:r>
      <w:r w:rsidRPr="002B3E18">
        <w:rPr>
          <w:rFonts w:eastAsia="Times New Roman"/>
        </w:rPr>
        <w:t>]</w:t>
      </w:r>
    </w:p>
    <w:sectPr w:rsidR="00B7507E" w:rsidRPr="002B3E18" w:rsidSect="00B7537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9585DD" w15:done="0"/>
  <w15:commentEx w15:paraId="1DD1DDFB" w15:done="0"/>
  <w15:commentEx w15:paraId="7EBAAF7D" w15:done="0"/>
  <w15:commentEx w15:paraId="2BC5C90B" w15:done="0"/>
  <w15:commentEx w15:paraId="02D6E68B" w15:done="0"/>
  <w15:commentEx w15:paraId="6DCB9C30" w15:done="0"/>
  <w15:commentEx w15:paraId="4A5720CB" w15:done="0"/>
  <w15:commentEx w15:paraId="454C2346" w15:done="0"/>
  <w15:commentEx w15:paraId="4D3DC8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585DD" w16cid:durableId="20B4AD32"/>
  <w16cid:commentId w16cid:paraId="1DD1DDFB" w16cid:durableId="20B4AD3F"/>
  <w16cid:commentId w16cid:paraId="7EBAAF7D" w16cid:durableId="20B4AD4C"/>
  <w16cid:commentId w16cid:paraId="2BC5C90B" w16cid:durableId="20B4AD64"/>
  <w16cid:commentId w16cid:paraId="02D6E68B" w16cid:durableId="20B4AD77"/>
  <w16cid:commentId w16cid:paraId="6DCB9C30" w16cid:durableId="20B4AD9C"/>
  <w16cid:commentId w16cid:paraId="4A5720CB" w16cid:durableId="20B4ADB0"/>
  <w16cid:commentId w16cid:paraId="454C2346" w16cid:durableId="20B4ADCD"/>
  <w16cid:commentId w16cid:paraId="4D3DC846" w16cid:durableId="20B4AD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022DB" w14:textId="77777777" w:rsidR="0074736B" w:rsidRDefault="0074736B" w:rsidP="00673A12">
      <w:r>
        <w:separator/>
      </w:r>
    </w:p>
  </w:endnote>
  <w:endnote w:type="continuationSeparator" w:id="0">
    <w:p w14:paraId="0B83D50B" w14:textId="77777777" w:rsidR="0074736B" w:rsidRDefault="0074736B" w:rsidP="006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31A67" w14:textId="77777777" w:rsidR="0074736B" w:rsidRDefault="0074736B" w:rsidP="00673A12">
      <w:r>
        <w:separator/>
      </w:r>
    </w:p>
  </w:footnote>
  <w:footnote w:type="continuationSeparator" w:id="0">
    <w:p w14:paraId="1A532F84" w14:textId="77777777" w:rsidR="0074736B" w:rsidRDefault="0074736B" w:rsidP="0067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C6A4" w14:textId="40F8B32C" w:rsidR="00673A12" w:rsidRPr="00143B00" w:rsidRDefault="00673A12" w:rsidP="00673A12">
    <w:pPr>
      <w:pStyle w:val="Header"/>
      <w:jc w:val="center"/>
      <w:rPr>
        <w:sz w:val="22"/>
        <w:szCs w:val="22"/>
      </w:rPr>
    </w:pPr>
    <w:r w:rsidRPr="00143B00">
      <w:rPr>
        <w:i/>
        <w:iCs/>
        <w:sz w:val="22"/>
        <w:szCs w:val="22"/>
      </w:rPr>
      <w:t xml:space="preserve">Tax Legislation Amendment </w:t>
    </w:r>
    <w:r w:rsidR="00303C14">
      <w:rPr>
        <w:i/>
        <w:iCs/>
        <w:sz w:val="22"/>
        <w:szCs w:val="22"/>
      </w:rPr>
      <w:t xml:space="preserve">   </w:t>
    </w:r>
    <w:r w:rsidRPr="00143B00">
      <w:rPr>
        <w:i/>
        <w:iCs/>
        <w:sz w:val="22"/>
        <w:szCs w:val="22"/>
      </w:rPr>
      <w:t>No. 197,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F4F"/>
    <w:multiLevelType w:val="singleLevel"/>
    <w:tmpl w:val="3D60F83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4"/>
    <w:rsid w:val="000367FC"/>
    <w:rsid w:val="0011374B"/>
    <w:rsid w:val="001175D2"/>
    <w:rsid w:val="00143B00"/>
    <w:rsid w:val="0018168A"/>
    <w:rsid w:val="00195A5B"/>
    <w:rsid w:val="001F6C66"/>
    <w:rsid w:val="002451B5"/>
    <w:rsid w:val="002517E1"/>
    <w:rsid w:val="002B3E18"/>
    <w:rsid w:val="00303C14"/>
    <w:rsid w:val="00316E67"/>
    <w:rsid w:val="003604A4"/>
    <w:rsid w:val="003B34EF"/>
    <w:rsid w:val="003C59D5"/>
    <w:rsid w:val="004504D9"/>
    <w:rsid w:val="004922F0"/>
    <w:rsid w:val="004B01F9"/>
    <w:rsid w:val="005E77EF"/>
    <w:rsid w:val="00603972"/>
    <w:rsid w:val="00604BDD"/>
    <w:rsid w:val="006057A5"/>
    <w:rsid w:val="00641413"/>
    <w:rsid w:val="00673A12"/>
    <w:rsid w:val="00673FA1"/>
    <w:rsid w:val="006870F4"/>
    <w:rsid w:val="00707EA4"/>
    <w:rsid w:val="0074736B"/>
    <w:rsid w:val="007503F4"/>
    <w:rsid w:val="0084288E"/>
    <w:rsid w:val="0085326E"/>
    <w:rsid w:val="008A1B74"/>
    <w:rsid w:val="008B2A36"/>
    <w:rsid w:val="00907082"/>
    <w:rsid w:val="00941910"/>
    <w:rsid w:val="00961A4D"/>
    <w:rsid w:val="00AA0B00"/>
    <w:rsid w:val="00B7507E"/>
    <w:rsid w:val="00B7537D"/>
    <w:rsid w:val="00C64C23"/>
    <w:rsid w:val="00C85B69"/>
    <w:rsid w:val="00CD62D2"/>
    <w:rsid w:val="00D471C0"/>
    <w:rsid w:val="00D72A3B"/>
    <w:rsid w:val="00DB7CAD"/>
    <w:rsid w:val="00DC60DE"/>
    <w:rsid w:val="00DD199A"/>
    <w:rsid w:val="00DF416D"/>
    <w:rsid w:val="00E91CD3"/>
    <w:rsid w:val="00F83E21"/>
    <w:rsid w:val="00F97008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69CB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1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1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E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E2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C1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1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1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E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E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E2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C14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3228</Characters>
  <Application>Microsoft Office Word</Application>
  <DocSecurity>0</DocSecurity>
  <Lines>107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2019-06-19T02:50:00Z</dcterms:created>
  <dcterms:modified xsi:type="dcterms:W3CDTF">2019-10-24T04:47:00Z</dcterms:modified>
</cp:coreProperties>
</file>