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7040A" w14:textId="77777777" w:rsidR="007178EF" w:rsidRPr="002009C1" w:rsidRDefault="00933699" w:rsidP="00E16BBF">
      <w:pPr>
        <w:jc w:val="center"/>
        <w:rPr>
          <w:sz w:val="24"/>
          <w:szCs w:val="24"/>
        </w:rPr>
      </w:pPr>
      <w:r w:rsidRPr="002009C1">
        <w:rPr>
          <w:noProof/>
          <w:sz w:val="24"/>
          <w:szCs w:val="24"/>
          <w:lang w:val="en-AU" w:eastAsia="en-AU"/>
        </w:rPr>
        <w:drawing>
          <wp:inline distT="0" distB="0" distL="0" distR="0" wp14:anchorId="3B1AEA4E" wp14:editId="129B897B">
            <wp:extent cx="150939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9395" cy="1147445"/>
                    </a:xfrm>
                    <a:prstGeom prst="rect">
                      <a:avLst/>
                    </a:prstGeom>
                    <a:noFill/>
                    <a:ln>
                      <a:noFill/>
                    </a:ln>
                  </pic:spPr>
                </pic:pic>
              </a:graphicData>
            </a:graphic>
          </wp:inline>
        </w:drawing>
      </w:r>
    </w:p>
    <w:p w14:paraId="1342DA10" w14:textId="77777777" w:rsidR="001C72C0" w:rsidRDefault="007178EF" w:rsidP="00030A6E">
      <w:pPr>
        <w:shd w:val="clear" w:color="auto" w:fill="FFFFFF"/>
        <w:spacing w:before="1128"/>
        <w:ind w:left="1795" w:hanging="1133"/>
        <w:jc w:val="center"/>
        <w:rPr>
          <w:b/>
          <w:bCs/>
          <w:sz w:val="36"/>
          <w:szCs w:val="38"/>
        </w:rPr>
      </w:pPr>
      <w:r w:rsidRPr="00DA74AB">
        <w:rPr>
          <w:b/>
          <w:bCs/>
          <w:sz w:val="36"/>
          <w:szCs w:val="38"/>
        </w:rPr>
        <w:t>E</w:t>
      </w:r>
      <w:bookmarkStart w:id="0" w:name="_GoBack"/>
      <w:bookmarkEnd w:id="0"/>
      <w:r w:rsidRPr="00DA74AB">
        <w:rPr>
          <w:b/>
          <w:bCs/>
          <w:sz w:val="36"/>
          <w:szCs w:val="38"/>
        </w:rPr>
        <w:t>xport Market Development Grants</w:t>
      </w:r>
    </w:p>
    <w:p w14:paraId="06B456E8" w14:textId="77777777" w:rsidR="007178EF" w:rsidRPr="00DA74AB" w:rsidRDefault="007178EF" w:rsidP="001C72C0">
      <w:pPr>
        <w:shd w:val="clear" w:color="auto" w:fill="FFFFFF"/>
        <w:ind w:left="1795" w:hanging="1133"/>
        <w:jc w:val="center"/>
        <w:rPr>
          <w:sz w:val="36"/>
        </w:rPr>
      </w:pPr>
      <w:r w:rsidRPr="00DA74AB">
        <w:rPr>
          <w:b/>
          <w:bCs/>
          <w:sz w:val="36"/>
          <w:szCs w:val="38"/>
        </w:rPr>
        <w:t>Amendment Act 1992</w:t>
      </w:r>
    </w:p>
    <w:p w14:paraId="4F76B382" w14:textId="77777777" w:rsidR="007178EF" w:rsidRPr="00030A6E" w:rsidRDefault="007178EF" w:rsidP="001C72C0">
      <w:pPr>
        <w:shd w:val="clear" w:color="auto" w:fill="FFFFFF"/>
        <w:spacing w:before="1042"/>
        <w:jc w:val="center"/>
        <w:rPr>
          <w:sz w:val="28"/>
        </w:rPr>
      </w:pPr>
      <w:r w:rsidRPr="00030A6E">
        <w:rPr>
          <w:b/>
          <w:bCs/>
          <w:sz w:val="28"/>
          <w:szCs w:val="24"/>
        </w:rPr>
        <w:t>No. 186 of 1992</w:t>
      </w:r>
    </w:p>
    <w:p w14:paraId="17D16908" w14:textId="77777777" w:rsidR="007178EF" w:rsidRPr="00583F11" w:rsidRDefault="00302F46" w:rsidP="00470868">
      <w:pPr>
        <w:shd w:val="clear" w:color="auto" w:fill="FFFFFF"/>
        <w:spacing w:before="2453"/>
        <w:ind w:left="2890" w:hanging="2890"/>
        <w:jc w:val="center"/>
        <w:rPr>
          <w:sz w:val="26"/>
        </w:rPr>
      </w:pPr>
      <w:r w:rsidRPr="00583F11">
        <w:rPr>
          <w:b/>
          <w:bCs/>
          <w:noProof/>
          <w:sz w:val="26"/>
          <w:szCs w:val="30"/>
          <w:lang w:val="en-AU" w:eastAsia="en-AU"/>
        </w:rPr>
        <mc:AlternateContent>
          <mc:Choice Requires="wps">
            <w:drawing>
              <wp:anchor distT="0" distB="0" distL="114300" distR="114300" simplePos="0" relativeHeight="251659264" behindDoc="0" locked="0" layoutInCell="1" allowOverlap="1" wp14:anchorId="73F5F0AC" wp14:editId="3D1EF124">
                <wp:simplePos x="0" y="0"/>
                <wp:positionH relativeFrom="column">
                  <wp:posOffset>78105</wp:posOffset>
                </wp:positionH>
                <wp:positionV relativeFrom="paragraph">
                  <wp:posOffset>614477</wp:posOffset>
                </wp:positionV>
                <wp:extent cx="60407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040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26B7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48.4pt" to="48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SXtgEAALcDAAAOAAAAZHJzL2Uyb0RvYy54bWysU8GO0zAQvSPxD5bvNGnF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" strokecolor="black [3040]"/>
            </w:pict>
          </mc:Fallback>
        </mc:AlternateContent>
      </w:r>
      <w:r w:rsidR="00061097" w:rsidRPr="00583F11">
        <w:rPr>
          <w:b/>
          <w:bCs/>
          <w:noProof/>
          <w:sz w:val="26"/>
          <w:szCs w:val="30"/>
          <w:lang w:val="en-AU" w:eastAsia="en-AU"/>
        </w:rPr>
        <mc:AlternateContent>
          <mc:Choice Requires="wps">
            <w:drawing>
              <wp:anchor distT="0" distB="0" distL="114300" distR="114300" simplePos="0" relativeHeight="251661312" behindDoc="0" locked="0" layoutInCell="1" allowOverlap="1" wp14:anchorId="6715D941" wp14:editId="4C3C7106">
                <wp:simplePos x="0" y="0"/>
                <wp:positionH relativeFrom="column">
                  <wp:posOffset>76646</wp:posOffset>
                </wp:positionH>
                <wp:positionV relativeFrom="paragraph">
                  <wp:posOffset>587510</wp:posOffset>
                </wp:positionV>
                <wp:extent cx="6040877"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0408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F3AC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pt,46.25pt" to="481.7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" strokecolor="black [3040]"/>
            </w:pict>
          </mc:Fallback>
        </mc:AlternateContent>
      </w:r>
      <w:r w:rsidR="007178EF" w:rsidRPr="00583F11">
        <w:rPr>
          <w:b/>
          <w:bCs/>
          <w:sz w:val="26"/>
          <w:szCs w:val="30"/>
        </w:rPr>
        <w:t xml:space="preserve">An Act to amend the </w:t>
      </w:r>
      <w:r w:rsidR="007178EF" w:rsidRPr="00583F11">
        <w:rPr>
          <w:b/>
          <w:bCs/>
          <w:i/>
          <w:iCs/>
          <w:sz w:val="26"/>
          <w:szCs w:val="30"/>
        </w:rPr>
        <w:t>Export Market Development Grants Act 1974</w:t>
      </w:r>
    </w:p>
    <w:p w14:paraId="57B71379" w14:textId="77777777" w:rsidR="007178EF" w:rsidRPr="00D0724E" w:rsidRDefault="007178EF" w:rsidP="00F47230">
      <w:pPr>
        <w:shd w:val="clear" w:color="auto" w:fill="FFFFFF"/>
        <w:spacing w:before="221"/>
        <w:jc w:val="right"/>
        <w:rPr>
          <w:sz w:val="22"/>
        </w:rPr>
      </w:pPr>
      <w:r w:rsidRPr="00D0724E">
        <w:rPr>
          <w:sz w:val="22"/>
          <w:szCs w:val="24"/>
        </w:rPr>
        <w:t>[</w:t>
      </w:r>
      <w:r w:rsidRPr="00D0724E">
        <w:rPr>
          <w:i/>
          <w:iCs/>
          <w:sz w:val="22"/>
          <w:szCs w:val="24"/>
        </w:rPr>
        <w:t>Assented to 17 December 1992</w:t>
      </w:r>
      <w:r w:rsidRPr="00D0724E">
        <w:rPr>
          <w:sz w:val="22"/>
          <w:szCs w:val="24"/>
        </w:rPr>
        <w:t>]</w:t>
      </w:r>
    </w:p>
    <w:p w14:paraId="2572F24F" w14:textId="77777777" w:rsidR="007178EF" w:rsidRPr="00E86DDC" w:rsidRDefault="007178EF" w:rsidP="0073098F">
      <w:pPr>
        <w:shd w:val="clear" w:color="auto" w:fill="FFFFFF"/>
        <w:spacing w:before="120"/>
        <w:ind w:left="341"/>
        <w:jc w:val="both"/>
        <w:rPr>
          <w:sz w:val="22"/>
        </w:rPr>
      </w:pPr>
      <w:r w:rsidRPr="00E86DDC">
        <w:rPr>
          <w:sz w:val="22"/>
          <w:szCs w:val="24"/>
        </w:rPr>
        <w:t>The Parliament of Australia enacts:</w:t>
      </w:r>
    </w:p>
    <w:p w14:paraId="45C68303" w14:textId="77777777" w:rsidR="007178EF" w:rsidRPr="00E86DDC" w:rsidRDefault="007178EF" w:rsidP="00577F69">
      <w:pPr>
        <w:shd w:val="clear" w:color="auto" w:fill="FFFFFF"/>
        <w:spacing w:before="360" w:after="240"/>
        <w:ind w:left="10"/>
        <w:jc w:val="center"/>
        <w:rPr>
          <w:sz w:val="22"/>
        </w:rPr>
      </w:pPr>
      <w:r w:rsidRPr="00E86DDC">
        <w:rPr>
          <w:b/>
          <w:bCs/>
          <w:sz w:val="22"/>
          <w:szCs w:val="24"/>
        </w:rPr>
        <w:t>PART 1</w:t>
      </w:r>
      <w:r w:rsidRPr="00E86DDC">
        <w:rPr>
          <w:rFonts w:eastAsia="Times New Roman"/>
          <w:b/>
          <w:bCs/>
          <w:sz w:val="22"/>
          <w:szCs w:val="24"/>
        </w:rPr>
        <w:t>—PRELIMINARY</w:t>
      </w:r>
    </w:p>
    <w:p w14:paraId="6B9CDA69" w14:textId="77777777" w:rsidR="007178EF" w:rsidRPr="00E86DDC" w:rsidRDefault="007178EF" w:rsidP="0073098F">
      <w:pPr>
        <w:shd w:val="clear" w:color="auto" w:fill="FFFFFF"/>
        <w:spacing w:before="120"/>
        <w:ind w:left="5"/>
        <w:jc w:val="both"/>
        <w:rPr>
          <w:sz w:val="22"/>
        </w:rPr>
      </w:pPr>
      <w:r w:rsidRPr="00E86DDC">
        <w:rPr>
          <w:b/>
          <w:bCs/>
          <w:sz w:val="22"/>
          <w:szCs w:val="24"/>
        </w:rPr>
        <w:t>Short title etc.</w:t>
      </w:r>
    </w:p>
    <w:p w14:paraId="7B73E38E" w14:textId="77777777" w:rsidR="007178EF" w:rsidRPr="00E86DDC" w:rsidRDefault="007178EF" w:rsidP="0073098F">
      <w:pPr>
        <w:shd w:val="clear" w:color="auto" w:fill="FFFFFF"/>
        <w:spacing w:before="120"/>
        <w:ind w:left="10" w:firstLine="341"/>
        <w:jc w:val="both"/>
        <w:rPr>
          <w:sz w:val="22"/>
        </w:rPr>
      </w:pPr>
      <w:r w:rsidRPr="00E86DDC">
        <w:rPr>
          <w:b/>
          <w:bCs/>
          <w:sz w:val="22"/>
          <w:szCs w:val="24"/>
        </w:rPr>
        <w:t xml:space="preserve">1.(1) </w:t>
      </w:r>
      <w:r w:rsidRPr="00E86DDC">
        <w:rPr>
          <w:sz w:val="22"/>
          <w:szCs w:val="24"/>
        </w:rPr>
        <w:t xml:space="preserve">This Act may be cited as the </w:t>
      </w:r>
      <w:r w:rsidRPr="00E86DDC">
        <w:rPr>
          <w:i/>
          <w:iCs/>
          <w:sz w:val="22"/>
          <w:szCs w:val="24"/>
        </w:rPr>
        <w:t>Export Market Development Grants Amendment Act 1992.</w:t>
      </w:r>
    </w:p>
    <w:p w14:paraId="27EDB0B4" w14:textId="77777777" w:rsidR="007178EF" w:rsidRPr="00E86DDC" w:rsidRDefault="007178EF" w:rsidP="0073098F">
      <w:pPr>
        <w:shd w:val="clear" w:color="auto" w:fill="FFFFFF"/>
        <w:spacing w:before="120"/>
        <w:ind w:firstLine="346"/>
        <w:jc w:val="both"/>
        <w:rPr>
          <w:sz w:val="22"/>
        </w:rPr>
      </w:pPr>
      <w:r w:rsidRPr="00E86DDC">
        <w:rPr>
          <w:b/>
          <w:bCs/>
          <w:sz w:val="22"/>
          <w:szCs w:val="24"/>
        </w:rPr>
        <w:t>(2)</w:t>
      </w:r>
      <w:r w:rsidRPr="00E86DDC">
        <w:rPr>
          <w:sz w:val="22"/>
          <w:szCs w:val="24"/>
        </w:rPr>
        <w:t xml:space="preserve"> In this Act, </w:t>
      </w:r>
      <w:r w:rsidRPr="00E86DDC">
        <w:rPr>
          <w:b/>
          <w:bCs/>
          <w:sz w:val="22"/>
          <w:szCs w:val="24"/>
        </w:rPr>
        <w:t xml:space="preserve">“Principal Act” </w:t>
      </w:r>
      <w:r w:rsidRPr="00E86DDC">
        <w:rPr>
          <w:sz w:val="22"/>
          <w:szCs w:val="24"/>
        </w:rPr>
        <w:t xml:space="preserve">means the </w:t>
      </w:r>
      <w:r w:rsidRPr="00E86DDC">
        <w:rPr>
          <w:i/>
          <w:iCs/>
          <w:sz w:val="22"/>
          <w:szCs w:val="24"/>
        </w:rPr>
        <w:t>Export Market Development Grants Act 1974</w:t>
      </w:r>
      <w:r w:rsidRPr="00E86DDC">
        <w:rPr>
          <w:sz w:val="22"/>
          <w:szCs w:val="24"/>
          <w:vertAlign w:val="superscript"/>
        </w:rPr>
        <w:t>1</w:t>
      </w:r>
      <w:r w:rsidRPr="00E86DDC">
        <w:rPr>
          <w:i/>
          <w:iCs/>
          <w:sz w:val="22"/>
          <w:szCs w:val="24"/>
        </w:rPr>
        <w:t>.</w:t>
      </w:r>
    </w:p>
    <w:p w14:paraId="64A0B571" w14:textId="77777777" w:rsidR="007178EF" w:rsidRPr="00E86DDC" w:rsidRDefault="007178EF" w:rsidP="0073098F">
      <w:pPr>
        <w:shd w:val="clear" w:color="auto" w:fill="FFFFFF"/>
        <w:spacing w:before="120"/>
        <w:ind w:left="5"/>
        <w:jc w:val="both"/>
        <w:rPr>
          <w:sz w:val="22"/>
        </w:rPr>
      </w:pPr>
      <w:r w:rsidRPr="00E86DDC">
        <w:rPr>
          <w:b/>
          <w:bCs/>
          <w:sz w:val="22"/>
          <w:szCs w:val="24"/>
        </w:rPr>
        <w:t>Commencement</w:t>
      </w:r>
    </w:p>
    <w:p w14:paraId="045D97E8" w14:textId="77777777" w:rsidR="007178EF" w:rsidRPr="00E86DDC" w:rsidRDefault="007178EF" w:rsidP="0073098F">
      <w:pPr>
        <w:shd w:val="clear" w:color="auto" w:fill="FFFFFF"/>
        <w:spacing w:before="120"/>
        <w:ind w:left="346"/>
        <w:jc w:val="both"/>
        <w:rPr>
          <w:sz w:val="22"/>
        </w:rPr>
      </w:pPr>
      <w:r w:rsidRPr="00E86DDC">
        <w:rPr>
          <w:b/>
          <w:bCs/>
          <w:sz w:val="22"/>
          <w:szCs w:val="24"/>
        </w:rPr>
        <w:t xml:space="preserve">2. </w:t>
      </w:r>
      <w:r w:rsidRPr="00E86DDC">
        <w:rPr>
          <w:sz w:val="22"/>
          <w:szCs w:val="24"/>
        </w:rPr>
        <w:t>This Act is taken to have commenced on 1 July 1992.</w:t>
      </w:r>
    </w:p>
    <w:p w14:paraId="15994952" w14:textId="77777777" w:rsidR="007178EF" w:rsidRPr="00E86DDC" w:rsidRDefault="007178EF" w:rsidP="0073098F">
      <w:pPr>
        <w:shd w:val="clear" w:color="auto" w:fill="FFFFFF"/>
        <w:spacing w:before="120"/>
        <w:ind w:left="346"/>
        <w:jc w:val="both"/>
        <w:rPr>
          <w:sz w:val="22"/>
        </w:rPr>
        <w:sectPr w:rsidR="007178EF" w:rsidRPr="00E86DDC" w:rsidSect="009C7718">
          <w:headerReference w:type="default" r:id="rId10"/>
          <w:type w:val="nextColumn"/>
          <w:pgSz w:w="12240" w:h="15840" w:code="1"/>
          <w:pgMar w:top="1440" w:right="1440" w:bottom="1440" w:left="1440" w:header="720" w:footer="720" w:gutter="0"/>
          <w:cols w:space="60"/>
          <w:noEndnote/>
          <w:titlePg/>
          <w:docGrid w:linePitch="272"/>
        </w:sectPr>
      </w:pPr>
    </w:p>
    <w:p w14:paraId="349E7E72" w14:textId="77777777" w:rsidR="007178EF" w:rsidRPr="00E86DDC" w:rsidRDefault="007178EF" w:rsidP="0073098F">
      <w:pPr>
        <w:shd w:val="clear" w:color="auto" w:fill="FFFFFF"/>
        <w:spacing w:before="120"/>
        <w:ind w:left="24"/>
        <w:jc w:val="both"/>
        <w:rPr>
          <w:sz w:val="22"/>
        </w:rPr>
      </w:pPr>
      <w:r w:rsidRPr="00E86DDC">
        <w:rPr>
          <w:b/>
          <w:bCs/>
          <w:sz w:val="22"/>
          <w:szCs w:val="24"/>
        </w:rPr>
        <w:lastRenderedPageBreak/>
        <w:t>Interpretation</w:t>
      </w:r>
    </w:p>
    <w:p w14:paraId="3F65A2F9" w14:textId="77777777" w:rsidR="007178EF" w:rsidRPr="00E86DDC" w:rsidRDefault="007178EF" w:rsidP="0073098F">
      <w:pPr>
        <w:shd w:val="clear" w:color="auto" w:fill="FFFFFF"/>
        <w:tabs>
          <w:tab w:val="left" w:pos="648"/>
        </w:tabs>
        <w:spacing w:before="120"/>
        <w:ind w:left="19" w:firstLine="336"/>
        <w:jc w:val="both"/>
        <w:rPr>
          <w:sz w:val="22"/>
        </w:rPr>
      </w:pPr>
      <w:r w:rsidRPr="00E86DDC">
        <w:rPr>
          <w:b/>
          <w:bCs/>
          <w:sz w:val="22"/>
          <w:szCs w:val="24"/>
        </w:rPr>
        <w:t>3.</w:t>
      </w:r>
      <w:r w:rsidRPr="00E86DDC">
        <w:rPr>
          <w:b/>
          <w:bCs/>
          <w:sz w:val="22"/>
          <w:szCs w:val="24"/>
        </w:rPr>
        <w:tab/>
      </w:r>
      <w:r w:rsidRPr="00E86DDC">
        <w:rPr>
          <w:sz w:val="22"/>
          <w:szCs w:val="24"/>
        </w:rPr>
        <w:t>Section 3 of the Principal Act is amended by inserting the</w:t>
      </w:r>
      <w:r w:rsidR="000F7A62">
        <w:rPr>
          <w:sz w:val="22"/>
          <w:szCs w:val="24"/>
        </w:rPr>
        <w:t xml:space="preserve"> </w:t>
      </w:r>
      <w:r w:rsidRPr="00E86DDC">
        <w:rPr>
          <w:sz w:val="22"/>
          <w:szCs w:val="24"/>
        </w:rPr>
        <w:t>following definition in subsection (1):</w:t>
      </w:r>
    </w:p>
    <w:p w14:paraId="3929EFD7" w14:textId="29B9C624" w:rsidR="007178EF" w:rsidRPr="00E86DDC" w:rsidRDefault="007178EF" w:rsidP="0073098F">
      <w:pPr>
        <w:shd w:val="clear" w:color="auto" w:fill="FFFFFF"/>
        <w:spacing w:before="120"/>
        <w:ind w:left="19"/>
        <w:jc w:val="both"/>
        <w:rPr>
          <w:sz w:val="22"/>
        </w:rPr>
      </w:pPr>
      <w:r w:rsidRPr="006720AD">
        <w:rPr>
          <w:bCs/>
          <w:sz w:val="22"/>
          <w:szCs w:val="24"/>
        </w:rPr>
        <w:t>“</w:t>
      </w:r>
      <w:r w:rsidR="006720AD">
        <w:rPr>
          <w:b/>
          <w:bCs/>
          <w:sz w:val="22"/>
          <w:szCs w:val="24"/>
        </w:rPr>
        <w:t xml:space="preserve"> </w:t>
      </w:r>
      <w:r w:rsidR="006720AD" w:rsidRPr="00E86DDC">
        <w:rPr>
          <w:b/>
          <w:bCs/>
          <w:sz w:val="22"/>
          <w:szCs w:val="24"/>
        </w:rPr>
        <w:t>‘</w:t>
      </w:r>
      <w:r w:rsidRPr="00E86DDC">
        <w:rPr>
          <w:b/>
          <w:bCs/>
          <w:sz w:val="22"/>
          <w:szCs w:val="24"/>
        </w:rPr>
        <w:t xml:space="preserve">eligible expenditure for a new market’ </w:t>
      </w:r>
      <w:r w:rsidRPr="00E86DDC">
        <w:rPr>
          <w:sz w:val="22"/>
          <w:szCs w:val="24"/>
        </w:rPr>
        <w:t>has the meaning given by section 15;”.</w:t>
      </w:r>
    </w:p>
    <w:p w14:paraId="18E2EC97" w14:textId="77777777" w:rsidR="007178EF" w:rsidRPr="00E86DDC" w:rsidRDefault="007178EF" w:rsidP="0073098F">
      <w:pPr>
        <w:shd w:val="clear" w:color="auto" w:fill="FFFFFF"/>
        <w:spacing w:before="120"/>
        <w:ind w:left="34"/>
        <w:jc w:val="both"/>
        <w:rPr>
          <w:sz w:val="22"/>
        </w:rPr>
      </w:pPr>
      <w:r w:rsidRPr="00E86DDC">
        <w:rPr>
          <w:b/>
          <w:bCs/>
          <w:sz w:val="22"/>
          <w:szCs w:val="24"/>
        </w:rPr>
        <w:t>Eligibility for grant</w:t>
      </w:r>
    </w:p>
    <w:p w14:paraId="549B1C65" w14:textId="77777777" w:rsidR="007178EF" w:rsidRPr="00E86DDC" w:rsidRDefault="007178EF" w:rsidP="0073098F">
      <w:pPr>
        <w:shd w:val="clear" w:color="auto" w:fill="FFFFFF"/>
        <w:tabs>
          <w:tab w:val="left" w:pos="648"/>
        </w:tabs>
        <w:spacing w:before="120"/>
        <w:ind w:left="355"/>
        <w:jc w:val="both"/>
        <w:rPr>
          <w:sz w:val="22"/>
        </w:rPr>
      </w:pPr>
      <w:r w:rsidRPr="00E86DDC">
        <w:rPr>
          <w:b/>
          <w:bCs/>
          <w:sz w:val="22"/>
          <w:szCs w:val="24"/>
        </w:rPr>
        <w:t>4.</w:t>
      </w:r>
      <w:r w:rsidRPr="00E86DDC">
        <w:rPr>
          <w:b/>
          <w:bCs/>
          <w:sz w:val="22"/>
          <w:szCs w:val="24"/>
        </w:rPr>
        <w:tab/>
      </w:r>
      <w:r w:rsidRPr="00E86DDC">
        <w:rPr>
          <w:sz w:val="22"/>
          <w:szCs w:val="24"/>
        </w:rPr>
        <w:t>Section 14 of the Principal Act is amended:</w:t>
      </w:r>
    </w:p>
    <w:p w14:paraId="5D9D29BA" w14:textId="77777777" w:rsidR="007178EF" w:rsidRPr="00E86DDC" w:rsidRDefault="007178EF" w:rsidP="0073098F">
      <w:pPr>
        <w:numPr>
          <w:ilvl w:val="0"/>
          <w:numId w:val="1"/>
        </w:numPr>
        <w:shd w:val="clear" w:color="auto" w:fill="FFFFFF"/>
        <w:tabs>
          <w:tab w:val="left" w:pos="797"/>
        </w:tabs>
        <w:spacing w:before="120"/>
        <w:ind w:left="413"/>
        <w:jc w:val="both"/>
        <w:rPr>
          <w:b/>
          <w:bCs/>
          <w:sz w:val="22"/>
          <w:szCs w:val="24"/>
        </w:rPr>
      </w:pPr>
      <w:r w:rsidRPr="00E86DDC">
        <w:rPr>
          <w:sz w:val="22"/>
          <w:szCs w:val="24"/>
        </w:rPr>
        <w:t>by inserting in subsection (1) “and section 15” after “and (9)”;</w:t>
      </w:r>
    </w:p>
    <w:p w14:paraId="7156B902" w14:textId="77777777" w:rsidR="007178EF" w:rsidRPr="00E86DDC" w:rsidRDefault="007178EF" w:rsidP="0073098F">
      <w:pPr>
        <w:numPr>
          <w:ilvl w:val="0"/>
          <w:numId w:val="1"/>
        </w:numPr>
        <w:shd w:val="clear" w:color="auto" w:fill="FFFFFF"/>
        <w:tabs>
          <w:tab w:val="left" w:pos="797"/>
        </w:tabs>
        <w:spacing w:before="120"/>
        <w:ind w:left="413"/>
        <w:jc w:val="both"/>
        <w:rPr>
          <w:b/>
          <w:bCs/>
          <w:sz w:val="22"/>
          <w:szCs w:val="24"/>
        </w:rPr>
      </w:pPr>
      <w:r w:rsidRPr="00E86DDC">
        <w:rPr>
          <w:sz w:val="22"/>
          <w:szCs w:val="24"/>
        </w:rPr>
        <w:t>by inserting in subsection (9) “and section 15” after “and (14)”;</w:t>
      </w:r>
    </w:p>
    <w:p w14:paraId="270465E8" w14:textId="77777777" w:rsidR="007178EF" w:rsidRPr="00E86DDC" w:rsidRDefault="007178EF" w:rsidP="0073098F">
      <w:pPr>
        <w:numPr>
          <w:ilvl w:val="0"/>
          <w:numId w:val="1"/>
        </w:numPr>
        <w:shd w:val="clear" w:color="auto" w:fill="FFFFFF"/>
        <w:tabs>
          <w:tab w:val="left" w:pos="797"/>
        </w:tabs>
        <w:spacing w:before="120"/>
        <w:ind w:left="797" w:hanging="384"/>
        <w:jc w:val="both"/>
        <w:rPr>
          <w:b/>
          <w:bCs/>
          <w:sz w:val="22"/>
          <w:szCs w:val="24"/>
        </w:rPr>
      </w:pPr>
      <w:r w:rsidRPr="00E86DDC">
        <w:rPr>
          <w:sz w:val="22"/>
          <w:szCs w:val="24"/>
        </w:rPr>
        <w:t>by adding at the end of subsection (10) the following word and paragraph:</w:t>
      </w:r>
    </w:p>
    <w:p w14:paraId="6EC64993" w14:textId="77777777" w:rsidR="007178EF" w:rsidRPr="00E86DDC" w:rsidRDefault="007178EF" w:rsidP="0073098F">
      <w:pPr>
        <w:shd w:val="clear" w:color="auto" w:fill="FFFFFF"/>
        <w:spacing w:before="120"/>
        <w:ind w:left="802"/>
        <w:jc w:val="both"/>
        <w:rPr>
          <w:sz w:val="22"/>
        </w:rPr>
      </w:pPr>
      <w:r w:rsidRPr="00E86DDC">
        <w:rPr>
          <w:sz w:val="22"/>
          <w:szCs w:val="24"/>
        </w:rPr>
        <w:t>“; or (c) a claimant to whom section 15 applies”.</w:t>
      </w:r>
    </w:p>
    <w:p w14:paraId="48017381" w14:textId="77777777" w:rsidR="007178EF" w:rsidRPr="00E86DDC" w:rsidRDefault="007178EF" w:rsidP="0073098F">
      <w:pPr>
        <w:shd w:val="clear" w:color="auto" w:fill="FFFFFF"/>
        <w:tabs>
          <w:tab w:val="left" w:pos="648"/>
        </w:tabs>
        <w:spacing w:before="120"/>
        <w:ind w:left="19" w:firstLine="336"/>
        <w:jc w:val="both"/>
        <w:rPr>
          <w:sz w:val="22"/>
        </w:rPr>
      </w:pPr>
      <w:r w:rsidRPr="00E86DDC">
        <w:rPr>
          <w:b/>
          <w:bCs/>
          <w:sz w:val="22"/>
          <w:szCs w:val="24"/>
        </w:rPr>
        <w:t>5.</w:t>
      </w:r>
      <w:r w:rsidRPr="00E86DDC">
        <w:rPr>
          <w:sz w:val="22"/>
          <w:szCs w:val="24"/>
        </w:rPr>
        <w:tab/>
        <w:t>After section 14 of the Principal Act the following section is</w:t>
      </w:r>
      <w:r w:rsidR="000F7A62">
        <w:rPr>
          <w:sz w:val="22"/>
          <w:szCs w:val="24"/>
        </w:rPr>
        <w:t xml:space="preserve"> </w:t>
      </w:r>
      <w:r w:rsidRPr="00E86DDC">
        <w:rPr>
          <w:sz w:val="22"/>
          <w:szCs w:val="24"/>
        </w:rPr>
        <w:t>inserted:</w:t>
      </w:r>
    </w:p>
    <w:p w14:paraId="7AB8F34D" w14:textId="77777777" w:rsidR="007178EF" w:rsidRPr="00E86DDC" w:rsidRDefault="007178EF" w:rsidP="0073098F">
      <w:pPr>
        <w:shd w:val="clear" w:color="auto" w:fill="FFFFFF"/>
        <w:spacing w:before="120"/>
        <w:ind w:left="14"/>
        <w:jc w:val="both"/>
        <w:rPr>
          <w:sz w:val="22"/>
        </w:rPr>
      </w:pPr>
      <w:r w:rsidRPr="00E86DDC">
        <w:rPr>
          <w:b/>
          <w:bCs/>
          <w:sz w:val="22"/>
          <w:szCs w:val="24"/>
        </w:rPr>
        <w:t>Grants in relation to new markets</w:t>
      </w:r>
    </w:p>
    <w:p w14:paraId="245AD034" w14:textId="77777777" w:rsidR="007178EF" w:rsidRPr="00E86DDC" w:rsidRDefault="007178EF" w:rsidP="0073098F">
      <w:pPr>
        <w:shd w:val="clear" w:color="auto" w:fill="FFFFFF"/>
        <w:spacing w:before="120"/>
        <w:ind w:left="360"/>
        <w:jc w:val="both"/>
        <w:rPr>
          <w:sz w:val="22"/>
        </w:rPr>
      </w:pPr>
      <w:r w:rsidRPr="00E86DDC">
        <w:rPr>
          <w:sz w:val="22"/>
          <w:szCs w:val="24"/>
        </w:rPr>
        <w:t>“15.(1) If:</w:t>
      </w:r>
    </w:p>
    <w:p w14:paraId="4AF21EDA" w14:textId="71BAEEDC" w:rsidR="007178EF" w:rsidRPr="00E86DDC" w:rsidRDefault="007178EF" w:rsidP="0073098F">
      <w:pPr>
        <w:numPr>
          <w:ilvl w:val="0"/>
          <w:numId w:val="2"/>
        </w:numPr>
        <w:shd w:val="clear" w:color="auto" w:fill="FFFFFF"/>
        <w:tabs>
          <w:tab w:val="left" w:pos="782"/>
        </w:tabs>
        <w:spacing w:before="120"/>
        <w:ind w:left="782" w:hanging="394"/>
        <w:jc w:val="both"/>
        <w:rPr>
          <w:sz w:val="22"/>
          <w:szCs w:val="24"/>
        </w:rPr>
      </w:pPr>
      <w:r w:rsidRPr="00E86DDC">
        <w:rPr>
          <w:sz w:val="22"/>
          <w:szCs w:val="24"/>
        </w:rPr>
        <w:t xml:space="preserve">a claimant (other than an approved body, approved trading house, approved joint venture or approved consortium) </w:t>
      </w:r>
      <w:r w:rsidRPr="006720AD">
        <w:rPr>
          <w:bCs/>
          <w:sz w:val="22"/>
          <w:szCs w:val="24"/>
        </w:rPr>
        <w:t>(</w:t>
      </w:r>
      <w:r w:rsidRPr="00E86DDC">
        <w:rPr>
          <w:b/>
          <w:bCs/>
          <w:sz w:val="22"/>
          <w:szCs w:val="24"/>
        </w:rPr>
        <w:t>‘the claimant’</w:t>
      </w:r>
      <w:r w:rsidRPr="006720AD">
        <w:rPr>
          <w:bCs/>
          <w:sz w:val="22"/>
          <w:szCs w:val="24"/>
        </w:rPr>
        <w:t xml:space="preserve">) </w:t>
      </w:r>
      <w:r w:rsidRPr="00E86DDC">
        <w:rPr>
          <w:sz w:val="22"/>
          <w:szCs w:val="24"/>
        </w:rPr>
        <w:t>has received grants in respect of 8 or more grant years; and</w:t>
      </w:r>
    </w:p>
    <w:p w14:paraId="4596615E" w14:textId="77777777" w:rsidR="007178EF" w:rsidRPr="00E86DDC" w:rsidRDefault="007178EF" w:rsidP="0073098F">
      <w:pPr>
        <w:numPr>
          <w:ilvl w:val="0"/>
          <w:numId w:val="2"/>
        </w:numPr>
        <w:shd w:val="clear" w:color="auto" w:fill="FFFFFF"/>
        <w:tabs>
          <w:tab w:val="left" w:pos="782"/>
        </w:tabs>
        <w:spacing w:before="120"/>
        <w:ind w:left="782" w:hanging="394"/>
        <w:jc w:val="both"/>
        <w:rPr>
          <w:sz w:val="22"/>
          <w:szCs w:val="24"/>
        </w:rPr>
      </w:pPr>
      <w:r w:rsidRPr="00E86DDC">
        <w:rPr>
          <w:sz w:val="22"/>
          <w:szCs w:val="24"/>
        </w:rPr>
        <w:t>in a subsequent grant year, the claimant has incurred eligible expenditure for new markets; and</w:t>
      </w:r>
    </w:p>
    <w:p w14:paraId="35223AA0" w14:textId="77777777" w:rsidR="007178EF" w:rsidRPr="00E86DDC" w:rsidRDefault="007178EF" w:rsidP="0073098F">
      <w:pPr>
        <w:numPr>
          <w:ilvl w:val="0"/>
          <w:numId w:val="3"/>
        </w:numPr>
        <w:shd w:val="clear" w:color="auto" w:fill="FFFFFF"/>
        <w:tabs>
          <w:tab w:val="left" w:pos="782"/>
        </w:tabs>
        <w:spacing w:before="120"/>
        <w:ind w:left="389"/>
        <w:jc w:val="both"/>
        <w:rPr>
          <w:sz w:val="22"/>
          <w:szCs w:val="24"/>
        </w:rPr>
      </w:pPr>
      <w:r w:rsidRPr="00E86DDC">
        <w:rPr>
          <w:sz w:val="22"/>
          <w:szCs w:val="24"/>
        </w:rPr>
        <w:t>the amount of that eligible expenditure is $15,000 or more; and</w:t>
      </w:r>
    </w:p>
    <w:p w14:paraId="7D2FE00B" w14:textId="77777777" w:rsidR="007178EF" w:rsidRPr="00E86DDC" w:rsidRDefault="007178EF" w:rsidP="0073098F">
      <w:pPr>
        <w:numPr>
          <w:ilvl w:val="0"/>
          <w:numId w:val="2"/>
        </w:numPr>
        <w:shd w:val="clear" w:color="auto" w:fill="FFFFFF"/>
        <w:tabs>
          <w:tab w:val="left" w:pos="782"/>
        </w:tabs>
        <w:spacing w:before="120"/>
        <w:ind w:left="782" w:hanging="394"/>
        <w:jc w:val="both"/>
        <w:rPr>
          <w:sz w:val="22"/>
          <w:szCs w:val="24"/>
        </w:rPr>
      </w:pPr>
      <w:r w:rsidRPr="00E86DDC">
        <w:rPr>
          <w:sz w:val="22"/>
          <w:szCs w:val="24"/>
        </w:rPr>
        <w:t>section 14 otherwise applies to the claimant in respect of that grant year;</w:t>
      </w:r>
    </w:p>
    <w:p w14:paraId="30B2F09F" w14:textId="77777777" w:rsidR="007178EF" w:rsidRPr="00E86DDC" w:rsidRDefault="007178EF" w:rsidP="0073098F">
      <w:pPr>
        <w:shd w:val="clear" w:color="auto" w:fill="FFFFFF"/>
        <w:spacing w:before="120"/>
        <w:ind w:left="10"/>
        <w:jc w:val="both"/>
        <w:rPr>
          <w:sz w:val="22"/>
        </w:rPr>
      </w:pPr>
      <w:r w:rsidRPr="00E86DDC">
        <w:rPr>
          <w:sz w:val="22"/>
          <w:szCs w:val="24"/>
        </w:rPr>
        <w:t>then, because of this section, the claimant is eligible for a grant for that grant year under section 14.</w:t>
      </w:r>
    </w:p>
    <w:p w14:paraId="5BC5C985" w14:textId="77777777" w:rsidR="007178EF" w:rsidRPr="00E86DDC" w:rsidRDefault="007178EF" w:rsidP="0073098F">
      <w:pPr>
        <w:shd w:val="clear" w:color="auto" w:fill="FFFFFF"/>
        <w:spacing w:before="120"/>
        <w:ind w:left="5" w:firstLine="341"/>
        <w:jc w:val="both"/>
        <w:rPr>
          <w:sz w:val="22"/>
        </w:rPr>
      </w:pPr>
      <w:r w:rsidRPr="00E86DDC">
        <w:rPr>
          <w:sz w:val="22"/>
          <w:szCs w:val="24"/>
        </w:rPr>
        <w:t xml:space="preserve">“(2) Eligible expenditure is </w:t>
      </w:r>
      <w:r w:rsidRPr="00E86DDC">
        <w:rPr>
          <w:b/>
          <w:bCs/>
          <w:sz w:val="22"/>
          <w:szCs w:val="24"/>
        </w:rPr>
        <w:t xml:space="preserve">eligible expenditure for a new market </w:t>
      </w:r>
      <w:r w:rsidRPr="00E86DDC">
        <w:rPr>
          <w:sz w:val="22"/>
          <w:szCs w:val="24"/>
        </w:rPr>
        <w:t>only if, in the Commission’s opinion, it is directly attributable to expenses incurred by the claimant in the grant year for the purposes of undertaking qualifying export development activities for or in connection with:</w:t>
      </w:r>
    </w:p>
    <w:p w14:paraId="4DD0D147" w14:textId="77777777" w:rsidR="007178EF" w:rsidRPr="00E86DDC" w:rsidRDefault="007178EF" w:rsidP="0073098F">
      <w:pPr>
        <w:numPr>
          <w:ilvl w:val="0"/>
          <w:numId w:val="4"/>
        </w:numPr>
        <w:shd w:val="clear" w:color="auto" w:fill="FFFFFF"/>
        <w:tabs>
          <w:tab w:val="left" w:pos="778"/>
        </w:tabs>
        <w:spacing w:before="120"/>
        <w:ind w:left="778" w:hanging="384"/>
        <w:jc w:val="both"/>
        <w:rPr>
          <w:sz w:val="22"/>
          <w:szCs w:val="24"/>
        </w:rPr>
      </w:pPr>
      <w:r w:rsidRPr="00E86DDC">
        <w:rPr>
          <w:sz w:val="22"/>
          <w:szCs w:val="24"/>
        </w:rPr>
        <w:t>the supply of a particular kind of goods, services, know-how or property rights to a market that is a new market for the claimant in relation to that kind of goods, services, know-how or property rights; or</w:t>
      </w:r>
    </w:p>
    <w:p w14:paraId="5EF96217" w14:textId="77777777" w:rsidR="007178EF" w:rsidRPr="00E86DDC" w:rsidRDefault="007178EF" w:rsidP="0073098F">
      <w:pPr>
        <w:numPr>
          <w:ilvl w:val="0"/>
          <w:numId w:val="4"/>
        </w:numPr>
        <w:shd w:val="clear" w:color="auto" w:fill="FFFFFF"/>
        <w:tabs>
          <w:tab w:val="left" w:pos="778"/>
        </w:tabs>
        <w:spacing w:before="120"/>
        <w:ind w:left="778" w:hanging="384"/>
        <w:jc w:val="both"/>
        <w:rPr>
          <w:sz w:val="22"/>
          <w:szCs w:val="24"/>
        </w:rPr>
      </w:pPr>
      <w:r w:rsidRPr="00E86DDC">
        <w:rPr>
          <w:sz w:val="22"/>
          <w:szCs w:val="24"/>
        </w:rPr>
        <w:t>the supply of a particular kind of technical services to a market that is a new market for the claimant in relation to that kind of technical services.</w:t>
      </w:r>
    </w:p>
    <w:p w14:paraId="2034E945" w14:textId="77777777" w:rsidR="007178EF" w:rsidRPr="00B8585C" w:rsidRDefault="007178EF" w:rsidP="0073098F">
      <w:pPr>
        <w:shd w:val="clear" w:color="auto" w:fill="FFFFFF"/>
        <w:spacing w:before="120"/>
        <w:jc w:val="both"/>
      </w:pPr>
      <w:r w:rsidRPr="00B8585C">
        <w:rPr>
          <w:szCs w:val="18"/>
        </w:rPr>
        <w:t>Note: For the meaning of ‘qualifying export development activities’, see subsection 3(1A).</w:t>
      </w:r>
    </w:p>
    <w:p w14:paraId="28E5B889" w14:textId="77777777" w:rsidR="007178EF" w:rsidRPr="00E86DDC" w:rsidRDefault="007178EF" w:rsidP="0073098F">
      <w:pPr>
        <w:shd w:val="clear" w:color="auto" w:fill="FFFFFF"/>
        <w:spacing w:before="120"/>
        <w:ind w:firstLine="350"/>
        <w:jc w:val="both"/>
        <w:rPr>
          <w:sz w:val="22"/>
        </w:rPr>
      </w:pPr>
      <w:r w:rsidRPr="00E86DDC">
        <w:rPr>
          <w:sz w:val="22"/>
          <w:szCs w:val="24"/>
        </w:rPr>
        <w:t xml:space="preserve">“(3) Subject to subsection (5), a market is </w:t>
      </w:r>
      <w:r w:rsidRPr="00E86DDC">
        <w:rPr>
          <w:b/>
          <w:bCs/>
          <w:sz w:val="22"/>
          <w:szCs w:val="24"/>
        </w:rPr>
        <w:t>a new market for the claimant in relation to a particular kind of goods, services, know-how or</w:t>
      </w:r>
    </w:p>
    <w:p w14:paraId="0FE529A7" w14:textId="77777777" w:rsidR="007178EF" w:rsidRPr="00E86DDC" w:rsidRDefault="007178EF" w:rsidP="0073098F">
      <w:pPr>
        <w:shd w:val="clear" w:color="auto" w:fill="FFFFFF"/>
        <w:spacing w:before="120"/>
        <w:ind w:firstLine="350"/>
        <w:jc w:val="both"/>
        <w:rPr>
          <w:sz w:val="22"/>
        </w:rPr>
        <w:sectPr w:rsidR="007178EF" w:rsidRPr="00E86DDC" w:rsidSect="003153FB">
          <w:headerReference w:type="default" r:id="rId11"/>
          <w:type w:val="nextColumn"/>
          <w:pgSz w:w="12240" w:h="15840" w:code="1"/>
          <w:pgMar w:top="1440" w:right="1440" w:bottom="1440" w:left="1440" w:header="720" w:footer="720" w:gutter="0"/>
          <w:cols w:space="60"/>
          <w:noEndnote/>
        </w:sectPr>
      </w:pPr>
    </w:p>
    <w:p w14:paraId="657BA2E3" w14:textId="77777777" w:rsidR="007178EF" w:rsidRPr="00E86DDC" w:rsidRDefault="007178EF" w:rsidP="0073098F">
      <w:pPr>
        <w:shd w:val="clear" w:color="auto" w:fill="FFFFFF"/>
        <w:spacing w:before="120"/>
        <w:jc w:val="both"/>
        <w:rPr>
          <w:sz w:val="22"/>
        </w:rPr>
      </w:pPr>
      <w:r w:rsidRPr="00E86DDC">
        <w:rPr>
          <w:b/>
          <w:bCs/>
          <w:sz w:val="22"/>
          <w:szCs w:val="24"/>
        </w:rPr>
        <w:lastRenderedPageBreak/>
        <w:t xml:space="preserve">property rights </w:t>
      </w:r>
      <w:r w:rsidRPr="00E86DDC">
        <w:rPr>
          <w:sz w:val="22"/>
          <w:szCs w:val="24"/>
        </w:rPr>
        <w:t>only if, in the Commission’s opinion, the claimant has received export earnings in relation to that kind of goods, services, know-how or property rights:</w:t>
      </w:r>
    </w:p>
    <w:p w14:paraId="5324D9A5" w14:textId="77777777" w:rsidR="007178EF" w:rsidRPr="00E86DDC" w:rsidRDefault="007178EF" w:rsidP="0073098F">
      <w:pPr>
        <w:shd w:val="clear" w:color="auto" w:fill="FFFFFF"/>
        <w:tabs>
          <w:tab w:val="left" w:pos="782"/>
        </w:tabs>
        <w:spacing w:before="120"/>
        <w:ind w:left="782" w:hanging="384"/>
        <w:jc w:val="both"/>
        <w:rPr>
          <w:sz w:val="22"/>
        </w:rPr>
      </w:pPr>
      <w:r w:rsidRPr="00E86DDC">
        <w:rPr>
          <w:sz w:val="22"/>
          <w:szCs w:val="24"/>
        </w:rPr>
        <w:t>(a)</w:t>
      </w:r>
      <w:r w:rsidRPr="00E86DDC">
        <w:rPr>
          <w:sz w:val="22"/>
          <w:szCs w:val="24"/>
        </w:rPr>
        <w:tab/>
        <w:t>of an amount not more than $300,000 or, if the regulations</w:t>
      </w:r>
      <w:r w:rsidR="000F7A62">
        <w:rPr>
          <w:sz w:val="22"/>
          <w:szCs w:val="24"/>
        </w:rPr>
        <w:t xml:space="preserve"> </w:t>
      </w:r>
      <w:r w:rsidRPr="00E86DDC">
        <w:rPr>
          <w:sz w:val="22"/>
          <w:szCs w:val="24"/>
        </w:rPr>
        <w:t>prescribe another amount, not more than that amount; and</w:t>
      </w:r>
    </w:p>
    <w:p w14:paraId="47BE8075" w14:textId="77777777" w:rsidR="007178EF" w:rsidRPr="00E86DDC" w:rsidRDefault="007178EF" w:rsidP="0073098F">
      <w:pPr>
        <w:shd w:val="clear" w:color="auto" w:fill="FFFFFF"/>
        <w:tabs>
          <w:tab w:val="left" w:pos="787"/>
        </w:tabs>
        <w:spacing w:before="120"/>
        <w:ind w:left="389"/>
        <w:jc w:val="both"/>
        <w:rPr>
          <w:sz w:val="22"/>
        </w:rPr>
      </w:pPr>
      <w:r w:rsidRPr="00E86DDC">
        <w:rPr>
          <w:sz w:val="22"/>
          <w:szCs w:val="24"/>
        </w:rPr>
        <w:t>(b)</w:t>
      </w:r>
      <w:r w:rsidRPr="00E86DDC">
        <w:rPr>
          <w:sz w:val="22"/>
          <w:szCs w:val="24"/>
        </w:rPr>
        <w:tab/>
        <w:t>for the prescribed period;</w:t>
      </w:r>
    </w:p>
    <w:p w14:paraId="7252E975" w14:textId="77777777" w:rsidR="007178EF" w:rsidRPr="00E86DDC" w:rsidRDefault="007178EF" w:rsidP="0073098F">
      <w:pPr>
        <w:shd w:val="clear" w:color="auto" w:fill="FFFFFF"/>
        <w:tabs>
          <w:tab w:val="left" w:pos="787"/>
        </w:tabs>
        <w:spacing w:before="120"/>
        <w:ind w:left="5"/>
        <w:jc w:val="both"/>
        <w:rPr>
          <w:sz w:val="22"/>
        </w:rPr>
      </w:pPr>
      <w:r w:rsidRPr="00E86DDC">
        <w:rPr>
          <w:sz w:val="22"/>
          <w:szCs w:val="24"/>
        </w:rPr>
        <w:t>in respect of that market.</w:t>
      </w:r>
    </w:p>
    <w:p w14:paraId="71D32F5A" w14:textId="77777777" w:rsidR="007178EF" w:rsidRPr="00E86DDC" w:rsidRDefault="007178EF" w:rsidP="0073098F">
      <w:pPr>
        <w:shd w:val="clear" w:color="auto" w:fill="FFFFFF"/>
        <w:spacing w:before="120"/>
        <w:ind w:firstLine="346"/>
        <w:jc w:val="both"/>
        <w:rPr>
          <w:sz w:val="22"/>
        </w:rPr>
      </w:pPr>
      <w:r w:rsidRPr="00E86DDC">
        <w:rPr>
          <w:sz w:val="22"/>
          <w:szCs w:val="24"/>
        </w:rPr>
        <w:t xml:space="preserve">“(4) Subject to subsection (5), a market is </w:t>
      </w:r>
      <w:r w:rsidRPr="00E86DDC">
        <w:rPr>
          <w:b/>
          <w:bCs/>
          <w:sz w:val="22"/>
          <w:szCs w:val="24"/>
        </w:rPr>
        <w:t xml:space="preserve">a new market for the claimant in relation to a particular kind of technical services </w:t>
      </w:r>
      <w:r w:rsidRPr="00E86DDC">
        <w:rPr>
          <w:sz w:val="22"/>
          <w:szCs w:val="24"/>
        </w:rPr>
        <w:t>only if, in the Commission’s opinion, the claimant has received export earnings in relation to that kind of technical services:</w:t>
      </w:r>
    </w:p>
    <w:p w14:paraId="4DCC87A8" w14:textId="02EB24CB" w:rsidR="007178EF" w:rsidRPr="00E86DDC" w:rsidRDefault="007178EF" w:rsidP="0073098F">
      <w:pPr>
        <w:shd w:val="clear" w:color="auto" w:fill="FFFFFF"/>
        <w:tabs>
          <w:tab w:val="left" w:pos="787"/>
        </w:tabs>
        <w:spacing w:before="120"/>
        <w:ind w:left="787" w:hanging="384"/>
        <w:jc w:val="both"/>
        <w:rPr>
          <w:sz w:val="22"/>
        </w:rPr>
      </w:pPr>
      <w:r w:rsidRPr="00E86DDC">
        <w:rPr>
          <w:sz w:val="22"/>
          <w:szCs w:val="24"/>
        </w:rPr>
        <w:t>(</w:t>
      </w:r>
      <w:r w:rsidR="006720AD">
        <w:rPr>
          <w:sz w:val="22"/>
          <w:szCs w:val="24"/>
        </w:rPr>
        <w:t>a)</w:t>
      </w:r>
      <w:r w:rsidR="006720AD">
        <w:rPr>
          <w:sz w:val="22"/>
          <w:szCs w:val="24"/>
        </w:rPr>
        <w:tab/>
        <w:t>of an amount not more than $</w:t>
      </w:r>
      <w:r w:rsidRPr="00E86DDC">
        <w:rPr>
          <w:sz w:val="22"/>
          <w:szCs w:val="24"/>
        </w:rPr>
        <w:t>1,000,000 or, if the regulations</w:t>
      </w:r>
      <w:r w:rsidR="000F7A62">
        <w:rPr>
          <w:sz w:val="22"/>
          <w:szCs w:val="24"/>
        </w:rPr>
        <w:t xml:space="preserve"> </w:t>
      </w:r>
      <w:r w:rsidRPr="00E86DDC">
        <w:rPr>
          <w:sz w:val="22"/>
          <w:szCs w:val="24"/>
        </w:rPr>
        <w:t>prescribe another amount, not more than that amount; and</w:t>
      </w:r>
    </w:p>
    <w:p w14:paraId="3A7D0A87" w14:textId="77777777" w:rsidR="007178EF" w:rsidRPr="00E86DDC" w:rsidRDefault="007178EF" w:rsidP="0073098F">
      <w:pPr>
        <w:shd w:val="clear" w:color="auto" w:fill="FFFFFF"/>
        <w:tabs>
          <w:tab w:val="left" w:pos="792"/>
        </w:tabs>
        <w:spacing w:before="120"/>
        <w:ind w:left="394"/>
        <w:jc w:val="both"/>
        <w:rPr>
          <w:sz w:val="22"/>
        </w:rPr>
      </w:pPr>
      <w:r w:rsidRPr="00E86DDC">
        <w:rPr>
          <w:sz w:val="22"/>
          <w:szCs w:val="24"/>
        </w:rPr>
        <w:t>(b)</w:t>
      </w:r>
      <w:r w:rsidRPr="00E86DDC">
        <w:rPr>
          <w:sz w:val="22"/>
          <w:szCs w:val="24"/>
        </w:rPr>
        <w:tab/>
        <w:t>for the prescribed period;</w:t>
      </w:r>
    </w:p>
    <w:p w14:paraId="6A09B65B" w14:textId="77777777" w:rsidR="007178EF" w:rsidRPr="00E86DDC" w:rsidRDefault="007178EF" w:rsidP="0073098F">
      <w:pPr>
        <w:shd w:val="clear" w:color="auto" w:fill="FFFFFF"/>
        <w:tabs>
          <w:tab w:val="left" w:pos="792"/>
        </w:tabs>
        <w:spacing w:before="120"/>
        <w:ind w:left="5"/>
        <w:jc w:val="both"/>
        <w:rPr>
          <w:sz w:val="22"/>
        </w:rPr>
      </w:pPr>
      <w:r w:rsidRPr="00E86DDC">
        <w:rPr>
          <w:sz w:val="22"/>
          <w:szCs w:val="24"/>
        </w:rPr>
        <w:t>in respect of that market.</w:t>
      </w:r>
    </w:p>
    <w:p w14:paraId="11A5AEAF" w14:textId="77777777" w:rsidR="007178EF" w:rsidRPr="00E86DDC" w:rsidRDefault="007178EF" w:rsidP="0073098F">
      <w:pPr>
        <w:shd w:val="clear" w:color="auto" w:fill="FFFFFF"/>
        <w:spacing w:before="120"/>
        <w:ind w:left="5" w:firstLine="346"/>
        <w:jc w:val="both"/>
        <w:rPr>
          <w:sz w:val="22"/>
        </w:rPr>
      </w:pPr>
      <w:r w:rsidRPr="00E86DDC">
        <w:rPr>
          <w:sz w:val="22"/>
          <w:szCs w:val="24"/>
        </w:rPr>
        <w:t>“(5) After the claimant has received grants because of this section for 3 grant years in respect of a new market in relation to a particular kind of goods, services, know-how, property rights or technical services, the market ceases to be a new market for the claimant in relation to that kind of goods, services, know-how, property rights or technical services.</w:t>
      </w:r>
    </w:p>
    <w:p w14:paraId="1C2B1916" w14:textId="77777777" w:rsidR="007178EF" w:rsidRPr="00E86DDC" w:rsidRDefault="007178EF" w:rsidP="0073098F">
      <w:pPr>
        <w:shd w:val="clear" w:color="auto" w:fill="FFFFFF"/>
        <w:spacing w:before="120"/>
        <w:ind w:left="10" w:firstLine="350"/>
        <w:jc w:val="both"/>
        <w:rPr>
          <w:sz w:val="22"/>
        </w:rPr>
      </w:pPr>
      <w:r w:rsidRPr="00E86DDC">
        <w:rPr>
          <w:sz w:val="22"/>
          <w:szCs w:val="24"/>
        </w:rPr>
        <w:t>“(6) Subsection (5) does not preclude the market being, in the Commission’s opinion:</w:t>
      </w:r>
    </w:p>
    <w:p w14:paraId="3C6E2C98" w14:textId="77777777" w:rsidR="007178EF" w:rsidRPr="00E86DDC" w:rsidRDefault="007178EF" w:rsidP="0073098F">
      <w:pPr>
        <w:numPr>
          <w:ilvl w:val="0"/>
          <w:numId w:val="5"/>
        </w:numPr>
        <w:shd w:val="clear" w:color="auto" w:fill="FFFFFF"/>
        <w:tabs>
          <w:tab w:val="left" w:pos="792"/>
        </w:tabs>
        <w:spacing w:before="120"/>
        <w:ind w:left="792" w:hanging="389"/>
        <w:jc w:val="both"/>
        <w:rPr>
          <w:sz w:val="22"/>
          <w:szCs w:val="24"/>
        </w:rPr>
      </w:pPr>
      <w:r w:rsidRPr="00E86DDC">
        <w:rPr>
          <w:sz w:val="22"/>
          <w:szCs w:val="24"/>
        </w:rPr>
        <w:t>a new market for the claimant in relation to other kinds of goods, services, know-how, property rights or technical services; or</w:t>
      </w:r>
    </w:p>
    <w:p w14:paraId="69B1A79F" w14:textId="77777777" w:rsidR="007178EF" w:rsidRPr="00E86DDC" w:rsidRDefault="007178EF" w:rsidP="0073098F">
      <w:pPr>
        <w:numPr>
          <w:ilvl w:val="0"/>
          <w:numId w:val="5"/>
        </w:numPr>
        <w:shd w:val="clear" w:color="auto" w:fill="FFFFFF"/>
        <w:tabs>
          <w:tab w:val="left" w:pos="792"/>
        </w:tabs>
        <w:spacing w:before="120"/>
        <w:ind w:left="403"/>
        <w:jc w:val="both"/>
        <w:rPr>
          <w:sz w:val="22"/>
          <w:szCs w:val="24"/>
        </w:rPr>
      </w:pPr>
      <w:r w:rsidRPr="00E86DDC">
        <w:rPr>
          <w:sz w:val="22"/>
          <w:szCs w:val="24"/>
        </w:rPr>
        <w:t>a new market for another claimant.</w:t>
      </w:r>
    </w:p>
    <w:p w14:paraId="5F7867E2" w14:textId="77777777" w:rsidR="007178EF" w:rsidRPr="00E86DDC" w:rsidRDefault="007178EF" w:rsidP="0073098F">
      <w:pPr>
        <w:shd w:val="clear" w:color="auto" w:fill="FFFFFF"/>
        <w:spacing w:before="120"/>
        <w:ind w:left="14" w:firstLine="350"/>
        <w:jc w:val="both"/>
        <w:rPr>
          <w:sz w:val="22"/>
        </w:rPr>
      </w:pPr>
      <w:r w:rsidRPr="00E86DDC">
        <w:rPr>
          <w:sz w:val="22"/>
          <w:szCs w:val="24"/>
        </w:rPr>
        <w:t>“(7) In applying this section to a particular kind of eligible internal educational services, eligible internal services or eligible tourism services supplied within Australia, the services are taken to have been supplied to a market constituted by a foreign country if, in the Commission’s opinion, the services are services:</w:t>
      </w:r>
    </w:p>
    <w:p w14:paraId="2936433D" w14:textId="77777777" w:rsidR="007178EF" w:rsidRPr="00E86DDC" w:rsidRDefault="007178EF" w:rsidP="0073098F">
      <w:pPr>
        <w:numPr>
          <w:ilvl w:val="0"/>
          <w:numId w:val="6"/>
        </w:numPr>
        <w:shd w:val="clear" w:color="auto" w:fill="FFFFFF"/>
        <w:tabs>
          <w:tab w:val="left" w:pos="797"/>
        </w:tabs>
        <w:spacing w:before="120"/>
        <w:ind w:left="403"/>
        <w:jc w:val="both"/>
        <w:rPr>
          <w:sz w:val="22"/>
          <w:szCs w:val="24"/>
        </w:rPr>
      </w:pPr>
      <w:r w:rsidRPr="00E86DDC">
        <w:rPr>
          <w:sz w:val="22"/>
          <w:szCs w:val="24"/>
        </w:rPr>
        <w:t>supplied to residents of that country; or</w:t>
      </w:r>
    </w:p>
    <w:p w14:paraId="21BE317C" w14:textId="77777777" w:rsidR="007178EF" w:rsidRPr="00E86DDC" w:rsidRDefault="007178EF" w:rsidP="0073098F">
      <w:pPr>
        <w:numPr>
          <w:ilvl w:val="0"/>
          <w:numId w:val="6"/>
        </w:numPr>
        <w:shd w:val="clear" w:color="auto" w:fill="FFFFFF"/>
        <w:tabs>
          <w:tab w:val="left" w:pos="797"/>
        </w:tabs>
        <w:spacing w:before="120"/>
        <w:ind w:left="403"/>
        <w:jc w:val="both"/>
        <w:rPr>
          <w:sz w:val="22"/>
          <w:szCs w:val="24"/>
        </w:rPr>
      </w:pPr>
      <w:r w:rsidRPr="00E86DDC">
        <w:rPr>
          <w:sz w:val="22"/>
          <w:szCs w:val="24"/>
        </w:rPr>
        <w:t>otherwise destined for that market.</w:t>
      </w:r>
    </w:p>
    <w:p w14:paraId="187D2FFA" w14:textId="77777777" w:rsidR="007178EF" w:rsidRPr="00E86DDC" w:rsidRDefault="007178EF" w:rsidP="0073098F">
      <w:pPr>
        <w:shd w:val="clear" w:color="auto" w:fill="FFFFFF"/>
        <w:spacing w:before="120"/>
        <w:ind w:left="360"/>
        <w:jc w:val="both"/>
        <w:rPr>
          <w:sz w:val="22"/>
        </w:rPr>
      </w:pPr>
      <w:r w:rsidRPr="00E86DDC">
        <w:rPr>
          <w:sz w:val="22"/>
          <w:szCs w:val="24"/>
        </w:rPr>
        <w:t>“(8) In this section:</w:t>
      </w:r>
    </w:p>
    <w:p w14:paraId="15A639B4" w14:textId="77777777" w:rsidR="007178EF" w:rsidRPr="00E86DDC" w:rsidRDefault="007178EF" w:rsidP="0073098F">
      <w:pPr>
        <w:shd w:val="clear" w:color="auto" w:fill="FFFFFF"/>
        <w:spacing w:before="120"/>
        <w:ind w:left="14"/>
        <w:jc w:val="both"/>
        <w:rPr>
          <w:sz w:val="22"/>
        </w:rPr>
      </w:pPr>
      <w:r w:rsidRPr="00E86DDC">
        <w:rPr>
          <w:b/>
          <w:bCs/>
          <w:sz w:val="22"/>
          <w:szCs w:val="24"/>
        </w:rPr>
        <w:t xml:space="preserve">‘foreign country’ </w:t>
      </w:r>
      <w:r w:rsidRPr="00E86DDC">
        <w:rPr>
          <w:sz w:val="22"/>
          <w:szCs w:val="24"/>
        </w:rPr>
        <w:t>means a country the territory of which is outside Australia, being a country that is:</w:t>
      </w:r>
    </w:p>
    <w:p w14:paraId="2500647E" w14:textId="77777777" w:rsidR="007178EF" w:rsidRPr="00E86DDC" w:rsidRDefault="007178EF" w:rsidP="0073098F">
      <w:pPr>
        <w:numPr>
          <w:ilvl w:val="0"/>
          <w:numId w:val="7"/>
        </w:numPr>
        <w:shd w:val="clear" w:color="auto" w:fill="FFFFFF"/>
        <w:tabs>
          <w:tab w:val="left" w:pos="802"/>
        </w:tabs>
        <w:spacing w:before="120"/>
        <w:ind w:left="408"/>
        <w:jc w:val="both"/>
        <w:rPr>
          <w:sz w:val="22"/>
          <w:szCs w:val="24"/>
        </w:rPr>
      </w:pPr>
      <w:r w:rsidRPr="00E86DDC">
        <w:rPr>
          <w:sz w:val="22"/>
          <w:szCs w:val="24"/>
        </w:rPr>
        <w:t>an independent sovereign state; or</w:t>
      </w:r>
    </w:p>
    <w:p w14:paraId="1B1BEECC" w14:textId="77777777" w:rsidR="007178EF" w:rsidRPr="00E86DDC" w:rsidRDefault="007178EF" w:rsidP="0073098F">
      <w:pPr>
        <w:numPr>
          <w:ilvl w:val="0"/>
          <w:numId w:val="7"/>
        </w:numPr>
        <w:shd w:val="clear" w:color="auto" w:fill="FFFFFF"/>
        <w:tabs>
          <w:tab w:val="left" w:pos="802"/>
        </w:tabs>
        <w:spacing w:before="120"/>
        <w:ind w:left="802" w:hanging="394"/>
        <w:jc w:val="both"/>
        <w:rPr>
          <w:sz w:val="22"/>
          <w:szCs w:val="24"/>
        </w:rPr>
      </w:pPr>
      <w:r w:rsidRPr="00E86DDC">
        <w:rPr>
          <w:sz w:val="22"/>
          <w:szCs w:val="24"/>
        </w:rPr>
        <w:t>a separate territory (whether or not it is self-governing) that is not part of an independent sovereign state;</w:t>
      </w:r>
    </w:p>
    <w:p w14:paraId="19A4C45B" w14:textId="77777777" w:rsidR="007178EF" w:rsidRPr="00E86DDC" w:rsidRDefault="007178EF" w:rsidP="0073098F">
      <w:pPr>
        <w:shd w:val="clear" w:color="auto" w:fill="FFFFFF"/>
        <w:spacing w:before="120"/>
        <w:ind w:left="38"/>
        <w:jc w:val="both"/>
        <w:rPr>
          <w:sz w:val="22"/>
        </w:rPr>
      </w:pPr>
      <w:r w:rsidRPr="00E86DDC">
        <w:rPr>
          <w:b/>
          <w:bCs/>
          <w:sz w:val="22"/>
          <w:szCs w:val="24"/>
        </w:rPr>
        <w:t xml:space="preserve">‘goods’ </w:t>
      </w:r>
      <w:r w:rsidRPr="00E86DDC">
        <w:rPr>
          <w:sz w:val="22"/>
          <w:szCs w:val="24"/>
        </w:rPr>
        <w:t xml:space="preserve">means eligible goods and </w:t>
      </w:r>
      <w:r w:rsidRPr="00E86DDC">
        <w:rPr>
          <w:b/>
          <w:bCs/>
          <w:sz w:val="22"/>
          <w:szCs w:val="24"/>
        </w:rPr>
        <w:t xml:space="preserve">‘a particular kind of goods’ </w:t>
      </w:r>
      <w:r w:rsidRPr="00E86DDC">
        <w:rPr>
          <w:sz w:val="22"/>
          <w:szCs w:val="24"/>
        </w:rPr>
        <w:t>means a particular kind of eligible goods specified in the regulations for the purposes of this section;</w:t>
      </w:r>
    </w:p>
    <w:p w14:paraId="610D8C08" w14:textId="77777777" w:rsidR="007178EF" w:rsidRPr="00E86DDC" w:rsidRDefault="007178EF" w:rsidP="0073098F">
      <w:pPr>
        <w:shd w:val="clear" w:color="auto" w:fill="FFFFFF"/>
        <w:spacing w:before="120"/>
        <w:ind w:left="38"/>
        <w:jc w:val="both"/>
        <w:rPr>
          <w:sz w:val="22"/>
        </w:rPr>
        <w:sectPr w:rsidR="007178EF" w:rsidRPr="00E86DDC" w:rsidSect="003153FB">
          <w:type w:val="nextColumn"/>
          <w:pgSz w:w="12240" w:h="15840" w:code="1"/>
          <w:pgMar w:top="1440" w:right="1440" w:bottom="1440" w:left="1440" w:header="720" w:footer="720" w:gutter="0"/>
          <w:cols w:space="60"/>
          <w:noEndnote/>
        </w:sectPr>
      </w:pPr>
    </w:p>
    <w:p w14:paraId="5FC1F8DA" w14:textId="77777777" w:rsidR="007178EF" w:rsidRPr="00E86DDC" w:rsidRDefault="007178EF" w:rsidP="0073098F">
      <w:pPr>
        <w:shd w:val="clear" w:color="auto" w:fill="FFFFFF"/>
        <w:spacing w:before="120"/>
        <w:ind w:left="38"/>
        <w:jc w:val="both"/>
        <w:rPr>
          <w:sz w:val="22"/>
        </w:rPr>
      </w:pPr>
      <w:r w:rsidRPr="00E86DDC">
        <w:rPr>
          <w:b/>
          <w:bCs/>
          <w:sz w:val="22"/>
          <w:szCs w:val="24"/>
        </w:rPr>
        <w:lastRenderedPageBreak/>
        <w:t xml:space="preserve">‘know-how’ </w:t>
      </w:r>
      <w:r w:rsidRPr="00E86DDC">
        <w:rPr>
          <w:sz w:val="22"/>
          <w:szCs w:val="24"/>
        </w:rPr>
        <w:t xml:space="preserve">means eligible know-how and </w:t>
      </w:r>
      <w:r w:rsidRPr="00E86DDC">
        <w:rPr>
          <w:b/>
          <w:bCs/>
          <w:sz w:val="22"/>
          <w:szCs w:val="24"/>
        </w:rPr>
        <w:t xml:space="preserve">‘a particular kind of know-how’ </w:t>
      </w:r>
      <w:r w:rsidRPr="00E86DDC">
        <w:rPr>
          <w:sz w:val="22"/>
          <w:szCs w:val="24"/>
        </w:rPr>
        <w:t>means a particular kind of eligible know-how specified in the regulations for the purposes of this section;</w:t>
      </w:r>
    </w:p>
    <w:p w14:paraId="2F74BD41" w14:textId="77777777" w:rsidR="007178EF" w:rsidRPr="00E86DDC" w:rsidRDefault="007178EF" w:rsidP="0073098F">
      <w:pPr>
        <w:shd w:val="clear" w:color="auto" w:fill="FFFFFF"/>
        <w:spacing w:before="120"/>
        <w:ind w:left="38"/>
        <w:jc w:val="both"/>
        <w:rPr>
          <w:sz w:val="22"/>
        </w:rPr>
      </w:pPr>
      <w:r w:rsidRPr="00E86DDC">
        <w:rPr>
          <w:b/>
          <w:bCs/>
          <w:sz w:val="22"/>
          <w:szCs w:val="24"/>
        </w:rPr>
        <w:t xml:space="preserve">‘market’ </w:t>
      </w:r>
      <w:r w:rsidRPr="00E86DDC">
        <w:rPr>
          <w:sz w:val="22"/>
          <w:szCs w:val="24"/>
        </w:rPr>
        <w:t>means a market constituted by a foreign country;</w:t>
      </w:r>
    </w:p>
    <w:p w14:paraId="2C8D3C55" w14:textId="4677EDB2" w:rsidR="007178EF" w:rsidRPr="00E86DDC" w:rsidRDefault="007178EF" w:rsidP="0073098F">
      <w:pPr>
        <w:shd w:val="clear" w:color="auto" w:fill="FFFFFF"/>
        <w:spacing w:before="120"/>
        <w:ind w:left="34"/>
        <w:jc w:val="both"/>
        <w:rPr>
          <w:sz w:val="22"/>
        </w:rPr>
      </w:pPr>
      <w:r w:rsidRPr="00E86DDC">
        <w:rPr>
          <w:b/>
          <w:bCs/>
          <w:sz w:val="22"/>
          <w:szCs w:val="24"/>
        </w:rPr>
        <w:t>‘prescribed period’</w:t>
      </w:r>
      <w:r w:rsidRPr="006720AD">
        <w:rPr>
          <w:bCs/>
          <w:sz w:val="22"/>
          <w:szCs w:val="24"/>
        </w:rPr>
        <w:t>,</w:t>
      </w:r>
      <w:r w:rsidRPr="00E86DDC">
        <w:rPr>
          <w:b/>
          <w:bCs/>
          <w:sz w:val="22"/>
          <w:szCs w:val="24"/>
        </w:rPr>
        <w:t xml:space="preserve"> </w:t>
      </w:r>
      <w:r w:rsidRPr="00E86DDC">
        <w:rPr>
          <w:sz w:val="22"/>
          <w:szCs w:val="24"/>
        </w:rPr>
        <w:t>in relation to a new market for a claimant in respect of a particular kind of goods, services, know-how, property rights or technical services, means:</w:t>
      </w:r>
    </w:p>
    <w:p w14:paraId="41505AED" w14:textId="77777777" w:rsidR="007178EF" w:rsidRPr="00E86DDC" w:rsidRDefault="007178EF" w:rsidP="0073098F">
      <w:pPr>
        <w:shd w:val="clear" w:color="auto" w:fill="FFFFFF"/>
        <w:tabs>
          <w:tab w:val="left" w:pos="802"/>
        </w:tabs>
        <w:spacing w:before="120"/>
        <w:ind w:left="802" w:hanging="374"/>
        <w:jc w:val="both"/>
        <w:rPr>
          <w:sz w:val="22"/>
        </w:rPr>
      </w:pPr>
      <w:r w:rsidRPr="00E86DDC">
        <w:rPr>
          <w:sz w:val="22"/>
          <w:szCs w:val="24"/>
        </w:rPr>
        <w:t>(a)</w:t>
      </w:r>
      <w:r w:rsidRPr="00E86DDC">
        <w:rPr>
          <w:sz w:val="22"/>
          <w:szCs w:val="24"/>
        </w:rPr>
        <w:tab/>
        <w:t>if paragraph (b) does not apply</w:t>
      </w:r>
      <w:r w:rsidRPr="00E86DDC">
        <w:rPr>
          <w:rFonts w:eastAsia="Times New Roman"/>
          <w:sz w:val="22"/>
          <w:szCs w:val="24"/>
        </w:rPr>
        <w:t>—the period of 3 years</w:t>
      </w:r>
      <w:r w:rsidR="000F7A62">
        <w:rPr>
          <w:rFonts w:eastAsia="Times New Roman"/>
          <w:sz w:val="22"/>
          <w:szCs w:val="24"/>
        </w:rPr>
        <w:t xml:space="preserve"> </w:t>
      </w:r>
      <w:r w:rsidRPr="00E86DDC">
        <w:rPr>
          <w:rFonts w:eastAsia="Times New Roman"/>
          <w:sz w:val="22"/>
          <w:szCs w:val="24"/>
        </w:rPr>
        <w:t>immediately before the grant year for which the claimant first</w:t>
      </w:r>
      <w:r w:rsidR="000F7A62">
        <w:rPr>
          <w:rFonts w:eastAsia="Times New Roman"/>
          <w:sz w:val="22"/>
          <w:szCs w:val="24"/>
        </w:rPr>
        <w:t xml:space="preserve"> </w:t>
      </w:r>
      <w:r w:rsidRPr="00E86DDC">
        <w:rPr>
          <w:rFonts w:eastAsia="Times New Roman"/>
          <w:sz w:val="22"/>
          <w:szCs w:val="24"/>
        </w:rPr>
        <w:t>makes the claim in respect of that new market in relation to</w:t>
      </w:r>
      <w:r w:rsidR="000F7A62">
        <w:rPr>
          <w:rFonts w:eastAsia="Times New Roman"/>
          <w:sz w:val="22"/>
          <w:szCs w:val="24"/>
        </w:rPr>
        <w:t xml:space="preserve"> </w:t>
      </w:r>
      <w:r w:rsidRPr="00E86DDC">
        <w:rPr>
          <w:rFonts w:eastAsia="Times New Roman"/>
          <w:sz w:val="22"/>
          <w:szCs w:val="24"/>
        </w:rPr>
        <w:t>that particular kind of goods, services, know-how, property</w:t>
      </w:r>
      <w:r w:rsidR="000F7A62">
        <w:rPr>
          <w:rFonts w:eastAsia="Times New Roman"/>
          <w:sz w:val="22"/>
          <w:szCs w:val="24"/>
        </w:rPr>
        <w:t xml:space="preserve"> </w:t>
      </w:r>
      <w:r w:rsidRPr="00E86DDC">
        <w:rPr>
          <w:rFonts w:eastAsia="Times New Roman"/>
          <w:sz w:val="22"/>
          <w:szCs w:val="24"/>
        </w:rPr>
        <w:t>rights or technical services; or</w:t>
      </w:r>
    </w:p>
    <w:p w14:paraId="42BD0BF7" w14:textId="77777777" w:rsidR="007178EF" w:rsidRPr="00E86DDC" w:rsidRDefault="007178EF" w:rsidP="0073098F">
      <w:pPr>
        <w:shd w:val="clear" w:color="auto" w:fill="FFFFFF"/>
        <w:tabs>
          <w:tab w:val="left" w:pos="806"/>
        </w:tabs>
        <w:spacing w:before="120"/>
        <w:ind w:left="29" w:firstLine="384"/>
        <w:jc w:val="both"/>
        <w:rPr>
          <w:sz w:val="22"/>
        </w:rPr>
      </w:pPr>
      <w:r w:rsidRPr="00E86DDC">
        <w:rPr>
          <w:sz w:val="22"/>
          <w:szCs w:val="24"/>
        </w:rPr>
        <w:t>(b)</w:t>
      </w:r>
      <w:r w:rsidRPr="00E86DDC">
        <w:rPr>
          <w:sz w:val="22"/>
          <w:szCs w:val="24"/>
        </w:rPr>
        <w:tab/>
        <w:t>if the regulations prescribe another period</w:t>
      </w:r>
      <w:r w:rsidRPr="00E86DDC">
        <w:rPr>
          <w:rFonts w:eastAsia="Times New Roman"/>
          <w:sz w:val="22"/>
          <w:szCs w:val="24"/>
        </w:rPr>
        <w:t>—that period;</w:t>
      </w:r>
      <w:r w:rsidR="000F7A62">
        <w:rPr>
          <w:rFonts w:eastAsia="Times New Roman"/>
          <w:sz w:val="22"/>
          <w:szCs w:val="24"/>
        </w:rPr>
        <w:t xml:space="preserve"> </w:t>
      </w:r>
      <w:r w:rsidRPr="00E86DDC">
        <w:rPr>
          <w:rFonts w:eastAsia="Times New Roman"/>
          <w:b/>
          <w:bCs/>
          <w:sz w:val="22"/>
          <w:szCs w:val="24"/>
        </w:rPr>
        <w:t xml:space="preserve">‘property rights’ </w:t>
      </w:r>
      <w:r w:rsidRPr="00E86DDC">
        <w:rPr>
          <w:rFonts w:eastAsia="Times New Roman"/>
          <w:sz w:val="22"/>
          <w:szCs w:val="24"/>
        </w:rPr>
        <w:t xml:space="preserve">means eligible industrial property rights and </w:t>
      </w:r>
      <w:r w:rsidRPr="00E86DDC">
        <w:rPr>
          <w:rFonts w:eastAsia="Times New Roman"/>
          <w:b/>
          <w:bCs/>
          <w:sz w:val="22"/>
          <w:szCs w:val="24"/>
        </w:rPr>
        <w:t>‘a particular</w:t>
      </w:r>
      <w:r w:rsidR="000F7A62">
        <w:rPr>
          <w:rFonts w:eastAsia="Times New Roman"/>
          <w:b/>
          <w:bCs/>
          <w:sz w:val="22"/>
          <w:szCs w:val="24"/>
        </w:rPr>
        <w:t xml:space="preserve"> </w:t>
      </w:r>
      <w:r w:rsidRPr="00E86DDC">
        <w:rPr>
          <w:rFonts w:eastAsia="Times New Roman"/>
          <w:b/>
          <w:bCs/>
          <w:sz w:val="22"/>
          <w:szCs w:val="24"/>
        </w:rPr>
        <w:t xml:space="preserve">kind of property rights’ </w:t>
      </w:r>
      <w:r w:rsidRPr="00E86DDC">
        <w:rPr>
          <w:rFonts w:eastAsia="Times New Roman"/>
          <w:sz w:val="22"/>
          <w:szCs w:val="24"/>
        </w:rPr>
        <w:t>means a particular kind of eligible industrial</w:t>
      </w:r>
      <w:r w:rsidR="000F7A62">
        <w:rPr>
          <w:rFonts w:eastAsia="Times New Roman"/>
          <w:sz w:val="22"/>
          <w:szCs w:val="24"/>
        </w:rPr>
        <w:t xml:space="preserve"> </w:t>
      </w:r>
      <w:r w:rsidRPr="00E86DDC">
        <w:rPr>
          <w:rFonts w:eastAsia="Times New Roman"/>
          <w:sz w:val="22"/>
          <w:szCs w:val="24"/>
        </w:rPr>
        <w:t>property rights specified in the regulations for the purposes of this</w:t>
      </w:r>
      <w:r w:rsidR="000F7A62">
        <w:rPr>
          <w:rFonts w:eastAsia="Times New Roman"/>
          <w:sz w:val="22"/>
          <w:szCs w:val="24"/>
        </w:rPr>
        <w:t xml:space="preserve"> </w:t>
      </w:r>
      <w:r w:rsidRPr="00E86DDC">
        <w:rPr>
          <w:rFonts w:eastAsia="Times New Roman"/>
          <w:sz w:val="22"/>
          <w:szCs w:val="24"/>
        </w:rPr>
        <w:t>section;</w:t>
      </w:r>
    </w:p>
    <w:p w14:paraId="6980E2B6" w14:textId="77777777" w:rsidR="007178EF" w:rsidRPr="00E86DDC" w:rsidRDefault="007178EF" w:rsidP="0073098F">
      <w:pPr>
        <w:shd w:val="clear" w:color="auto" w:fill="FFFFFF"/>
        <w:spacing w:before="120"/>
        <w:ind w:left="29"/>
        <w:jc w:val="both"/>
        <w:rPr>
          <w:sz w:val="22"/>
        </w:rPr>
      </w:pPr>
      <w:r w:rsidRPr="00E86DDC">
        <w:rPr>
          <w:b/>
          <w:bCs/>
          <w:sz w:val="22"/>
          <w:szCs w:val="24"/>
        </w:rPr>
        <w:t xml:space="preserve">‘services’ </w:t>
      </w:r>
      <w:r w:rsidRPr="00E86DDC">
        <w:rPr>
          <w:sz w:val="22"/>
          <w:szCs w:val="24"/>
        </w:rPr>
        <w:t>means any of the following:</w:t>
      </w:r>
    </w:p>
    <w:p w14:paraId="1086541C" w14:textId="77777777" w:rsidR="007178EF" w:rsidRPr="00E86DDC" w:rsidRDefault="007178EF" w:rsidP="0073098F">
      <w:pPr>
        <w:numPr>
          <w:ilvl w:val="0"/>
          <w:numId w:val="8"/>
        </w:numPr>
        <w:shd w:val="clear" w:color="auto" w:fill="FFFFFF"/>
        <w:tabs>
          <w:tab w:val="left" w:pos="787"/>
        </w:tabs>
        <w:spacing w:before="120"/>
        <w:ind w:left="394"/>
        <w:jc w:val="both"/>
        <w:rPr>
          <w:sz w:val="22"/>
          <w:szCs w:val="24"/>
        </w:rPr>
      </w:pPr>
      <w:r w:rsidRPr="00E86DDC">
        <w:rPr>
          <w:sz w:val="22"/>
          <w:szCs w:val="24"/>
        </w:rPr>
        <w:t>eligible services (other than technical services);</w:t>
      </w:r>
    </w:p>
    <w:p w14:paraId="0C55708B" w14:textId="77777777" w:rsidR="007178EF" w:rsidRPr="00E86DDC" w:rsidRDefault="007178EF" w:rsidP="0073098F">
      <w:pPr>
        <w:numPr>
          <w:ilvl w:val="0"/>
          <w:numId w:val="8"/>
        </w:numPr>
        <w:shd w:val="clear" w:color="auto" w:fill="FFFFFF"/>
        <w:tabs>
          <w:tab w:val="left" w:pos="787"/>
        </w:tabs>
        <w:spacing w:before="120"/>
        <w:ind w:left="394"/>
        <w:jc w:val="both"/>
        <w:rPr>
          <w:sz w:val="22"/>
          <w:szCs w:val="24"/>
        </w:rPr>
      </w:pPr>
      <w:r w:rsidRPr="00E86DDC">
        <w:rPr>
          <w:sz w:val="22"/>
          <w:szCs w:val="24"/>
        </w:rPr>
        <w:t>eligible internal educational services;</w:t>
      </w:r>
    </w:p>
    <w:p w14:paraId="44CB4B14" w14:textId="77777777" w:rsidR="007178EF" w:rsidRPr="00E86DDC" w:rsidRDefault="007178EF" w:rsidP="0073098F">
      <w:pPr>
        <w:numPr>
          <w:ilvl w:val="0"/>
          <w:numId w:val="8"/>
        </w:numPr>
        <w:shd w:val="clear" w:color="auto" w:fill="FFFFFF"/>
        <w:tabs>
          <w:tab w:val="left" w:pos="787"/>
        </w:tabs>
        <w:spacing w:before="120"/>
        <w:ind w:left="394"/>
        <w:jc w:val="both"/>
        <w:rPr>
          <w:sz w:val="22"/>
          <w:szCs w:val="24"/>
        </w:rPr>
      </w:pPr>
      <w:r w:rsidRPr="00E86DDC">
        <w:rPr>
          <w:sz w:val="22"/>
          <w:szCs w:val="24"/>
        </w:rPr>
        <w:t>eligible external governmental educational services;</w:t>
      </w:r>
    </w:p>
    <w:p w14:paraId="460C1C27" w14:textId="77777777" w:rsidR="007178EF" w:rsidRPr="00E86DDC" w:rsidRDefault="007178EF" w:rsidP="0073098F">
      <w:pPr>
        <w:numPr>
          <w:ilvl w:val="0"/>
          <w:numId w:val="8"/>
        </w:numPr>
        <w:shd w:val="clear" w:color="auto" w:fill="FFFFFF"/>
        <w:tabs>
          <w:tab w:val="left" w:pos="787"/>
        </w:tabs>
        <w:spacing w:before="120"/>
        <w:ind w:left="394"/>
        <w:jc w:val="both"/>
        <w:rPr>
          <w:sz w:val="22"/>
          <w:szCs w:val="24"/>
        </w:rPr>
      </w:pPr>
      <w:r w:rsidRPr="00E86DDC">
        <w:rPr>
          <w:sz w:val="22"/>
          <w:szCs w:val="24"/>
        </w:rPr>
        <w:t>eligible internal services;</w:t>
      </w:r>
    </w:p>
    <w:p w14:paraId="59A0CE7F" w14:textId="77777777" w:rsidR="007178EF" w:rsidRPr="00E86DDC" w:rsidRDefault="007178EF" w:rsidP="0073098F">
      <w:pPr>
        <w:numPr>
          <w:ilvl w:val="0"/>
          <w:numId w:val="8"/>
        </w:numPr>
        <w:shd w:val="clear" w:color="auto" w:fill="FFFFFF"/>
        <w:tabs>
          <w:tab w:val="left" w:pos="787"/>
        </w:tabs>
        <w:spacing w:before="120"/>
        <w:ind w:left="394"/>
        <w:jc w:val="both"/>
        <w:rPr>
          <w:sz w:val="22"/>
          <w:szCs w:val="24"/>
        </w:rPr>
      </w:pPr>
      <w:r w:rsidRPr="00E86DDC">
        <w:rPr>
          <w:sz w:val="22"/>
          <w:szCs w:val="24"/>
        </w:rPr>
        <w:t>eligible tourism services;</w:t>
      </w:r>
    </w:p>
    <w:p w14:paraId="091EBF2C" w14:textId="77777777" w:rsidR="007178EF" w:rsidRPr="00E86DDC" w:rsidRDefault="007178EF" w:rsidP="0073098F">
      <w:pPr>
        <w:shd w:val="clear" w:color="auto" w:fill="FFFFFF"/>
        <w:spacing w:before="120"/>
        <w:ind w:left="14"/>
        <w:jc w:val="both"/>
        <w:rPr>
          <w:sz w:val="22"/>
        </w:rPr>
      </w:pPr>
      <w:r w:rsidRPr="00E86DDC">
        <w:rPr>
          <w:sz w:val="22"/>
          <w:szCs w:val="24"/>
        </w:rPr>
        <w:t xml:space="preserve">and </w:t>
      </w:r>
      <w:r w:rsidRPr="00E86DDC">
        <w:rPr>
          <w:b/>
          <w:bCs/>
          <w:sz w:val="22"/>
          <w:szCs w:val="24"/>
        </w:rPr>
        <w:t xml:space="preserve">‘a particular kind of services’ </w:t>
      </w:r>
      <w:r w:rsidRPr="00E86DDC">
        <w:rPr>
          <w:sz w:val="22"/>
          <w:szCs w:val="24"/>
        </w:rPr>
        <w:t>means a particular kind of any of those services specified in the regulations for the purposes of this section;</w:t>
      </w:r>
    </w:p>
    <w:p w14:paraId="7B98B713" w14:textId="271FE816" w:rsidR="007178EF" w:rsidRPr="00E86DDC" w:rsidRDefault="007178EF" w:rsidP="0073098F">
      <w:pPr>
        <w:shd w:val="clear" w:color="auto" w:fill="FFFFFF"/>
        <w:spacing w:before="120"/>
        <w:ind w:left="10"/>
        <w:jc w:val="both"/>
        <w:rPr>
          <w:sz w:val="22"/>
        </w:rPr>
      </w:pPr>
      <w:r w:rsidRPr="00E86DDC">
        <w:rPr>
          <w:b/>
          <w:bCs/>
          <w:sz w:val="22"/>
          <w:szCs w:val="24"/>
        </w:rPr>
        <w:t>‘supply’</w:t>
      </w:r>
      <w:r w:rsidRPr="006720AD">
        <w:rPr>
          <w:bCs/>
          <w:sz w:val="22"/>
          <w:szCs w:val="24"/>
        </w:rPr>
        <w:t xml:space="preserve">, </w:t>
      </w:r>
      <w:r w:rsidRPr="00E86DDC">
        <w:rPr>
          <w:sz w:val="22"/>
          <w:szCs w:val="24"/>
        </w:rPr>
        <w:t xml:space="preserve">in relation to the supply of property rights or know-how to a market, means the disposal of the rights or know-how in that market; </w:t>
      </w:r>
      <w:r w:rsidRPr="00E86DDC">
        <w:rPr>
          <w:b/>
          <w:bCs/>
          <w:sz w:val="22"/>
          <w:szCs w:val="24"/>
        </w:rPr>
        <w:t xml:space="preserve">‘technical services’ </w:t>
      </w:r>
      <w:r w:rsidRPr="00E86DDC">
        <w:rPr>
          <w:sz w:val="22"/>
          <w:szCs w:val="24"/>
        </w:rPr>
        <w:t>means eligible services that are technical services in relation to any of the following fields:</w:t>
      </w:r>
    </w:p>
    <w:p w14:paraId="2CB447AB" w14:textId="77777777" w:rsidR="007178EF" w:rsidRPr="00E86DDC" w:rsidRDefault="007178EF" w:rsidP="0073098F">
      <w:pPr>
        <w:numPr>
          <w:ilvl w:val="0"/>
          <w:numId w:val="9"/>
        </w:numPr>
        <w:shd w:val="clear" w:color="auto" w:fill="FFFFFF"/>
        <w:tabs>
          <w:tab w:val="left" w:pos="773"/>
        </w:tabs>
        <w:spacing w:before="120"/>
        <w:ind w:left="379"/>
        <w:jc w:val="both"/>
        <w:rPr>
          <w:sz w:val="22"/>
          <w:szCs w:val="24"/>
        </w:rPr>
      </w:pPr>
      <w:r w:rsidRPr="00E86DDC">
        <w:rPr>
          <w:sz w:val="22"/>
          <w:szCs w:val="24"/>
        </w:rPr>
        <w:t>construction;</w:t>
      </w:r>
    </w:p>
    <w:p w14:paraId="1B2E3707" w14:textId="77777777" w:rsidR="007178EF" w:rsidRPr="00E86DDC" w:rsidRDefault="007178EF" w:rsidP="0073098F">
      <w:pPr>
        <w:numPr>
          <w:ilvl w:val="0"/>
          <w:numId w:val="9"/>
        </w:numPr>
        <w:shd w:val="clear" w:color="auto" w:fill="FFFFFF"/>
        <w:tabs>
          <w:tab w:val="left" w:pos="773"/>
        </w:tabs>
        <w:spacing w:before="120"/>
        <w:ind w:left="379"/>
        <w:jc w:val="both"/>
        <w:rPr>
          <w:sz w:val="22"/>
          <w:szCs w:val="24"/>
        </w:rPr>
      </w:pPr>
      <w:r w:rsidRPr="00E86DDC">
        <w:rPr>
          <w:sz w:val="22"/>
          <w:szCs w:val="24"/>
        </w:rPr>
        <w:t>engineering;</w:t>
      </w:r>
    </w:p>
    <w:p w14:paraId="5701BB18" w14:textId="77777777" w:rsidR="007178EF" w:rsidRPr="00E86DDC" w:rsidRDefault="007178EF" w:rsidP="0073098F">
      <w:pPr>
        <w:numPr>
          <w:ilvl w:val="0"/>
          <w:numId w:val="9"/>
        </w:numPr>
        <w:shd w:val="clear" w:color="auto" w:fill="FFFFFF"/>
        <w:tabs>
          <w:tab w:val="left" w:pos="773"/>
        </w:tabs>
        <w:spacing w:before="120"/>
        <w:ind w:left="379"/>
        <w:jc w:val="both"/>
        <w:rPr>
          <w:sz w:val="22"/>
          <w:szCs w:val="24"/>
        </w:rPr>
      </w:pPr>
      <w:r w:rsidRPr="00E86DDC">
        <w:rPr>
          <w:sz w:val="22"/>
          <w:szCs w:val="24"/>
        </w:rPr>
        <w:t>mining;</w:t>
      </w:r>
    </w:p>
    <w:p w14:paraId="7873605B" w14:textId="77777777" w:rsidR="007178EF" w:rsidRPr="00E86DDC" w:rsidRDefault="007178EF" w:rsidP="0073098F">
      <w:pPr>
        <w:numPr>
          <w:ilvl w:val="0"/>
          <w:numId w:val="9"/>
        </w:numPr>
        <w:shd w:val="clear" w:color="auto" w:fill="FFFFFF"/>
        <w:tabs>
          <w:tab w:val="left" w:pos="773"/>
        </w:tabs>
        <w:spacing w:before="120"/>
        <w:ind w:left="379"/>
        <w:jc w:val="both"/>
        <w:rPr>
          <w:sz w:val="22"/>
          <w:szCs w:val="24"/>
        </w:rPr>
      </w:pPr>
      <w:r w:rsidRPr="00E86DDC">
        <w:rPr>
          <w:sz w:val="22"/>
          <w:szCs w:val="24"/>
        </w:rPr>
        <w:t>protection of the environment;</w:t>
      </w:r>
    </w:p>
    <w:p w14:paraId="7D447EB0" w14:textId="77777777" w:rsidR="007178EF" w:rsidRPr="00E86DDC" w:rsidRDefault="007178EF" w:rsidP="0073098F">
      <w:pPr>
        <w:numPr>
          <w:ilvl w:val="0"/>
          <w:numId w:val="9"/>
        </w:numPr>
        <w:shd w:val="clear" w:color="auto" w:fill="FFFFFF"/>
        <w:tabs>
          <w:tab w:val="left" w:pos="773"/>
        </w:tabs>
        <w:spacing w:before="120"/>
        <w:ind w:left="379"/>
        <w:jc w:val="both"/>
        <w:rPr>
          <w:sz w:val="22"/>
          <w:szCs w:val="24"/>
        </w:rPr>
      </w:pPr>
      <w:r w:rsidRPr="00E86DDC">
        <w:rPr>
          <w:sz w:val="22"/>
          <w:szCs w:val="24"/>
        </w:rPr>
        <w:t>any other fields specified in the regulations;</w:t>
      </w:r>
    </w:p>
    <w:p w14:paraId="47BD1B0D" w14:textId="77777777" w:rsidR="007178EF" w:rsidRPr="00E86DDC" w:rsidRDefault="007178EF" w:rsidP="0073098F">
      <w:pPr>
        <w:shd w:val="clear" w:color="auto" w:fill="FFFFFF"/>
        <w:spacing w:before="120"/>
        <w:jc w:val="both"/>
        <w:rPr>
          <w:sz w:val="22"/>
        </w:rPr>
      </w:pPr>
      <w:r w:rsidRPr="00E86DDC">
        <w:rPr>
          <w:sz w:val="22"/>
          <w:szCs w:val="24"/>
        </w:rPr>
        <w:t xml:space="preserve">and </w:t>
      </w:r>
      <w:r w:rsidRPr="00E86DDC">
        <w:rPr>
          <w:b/>
          <w:bCs/>
          <w:sz w:val="22"/>
          <w:szCs w:val="24"/>
        </w:rPr>
        <w:t xml:space="preserve">‘a particular kind of technical services’ </w:t>
      </w:r>
      <w:r w:rsidRPr="00E86DDC">
        <w:rPr>
          <w:sz w:val="22"/>
          <w:szCs w:val="24"/>
        </w:rPr>
        <w:t>means a particular kind of technical services specified in the regulations for the purposes of this section.”.</w:t>
      </w:r>
    </w:p>
    <w:p w14:paraId="3CC397F7" w14:textId="77777777" w:rsidR="007178EF" w:rsidRPr="00E86DDC" w:rsidRDefault="007178EF" w:rsidP="0073098F">
      <w:pPr>
        <w:shd w:val="clear" w:color="auto" w:fill="FFFFFF"/>
        <w:spacing w:before="120"/>
        <w:jc w:val="both"/>
        <w:rPr>
          <w:sz w:val="22"/>
        </w:rPr>
      </w:pPr>
      <w:r w:rsidRPr="00E86DDC">
        <w:rPr>
          <w:b/>
          <w:bCs/>
          <w:sz w:val="22"/>
          <w:szCs w:val="24"/>
        </w:rPr>
        <w:t>Amount of grant</w:t>
      </w:r>
    </w:p>
    <w:p w14:paraId="36A9BB31" w14:textId="77777777" w:rsidR="007178EF" w:rsidRPr="00E86DDC" w:rsidRDefault="007178EF" w:rsidP="0073098F">
      <w:pPr>
        <w:shd w:val="clear" w:color="auto" w:fill="FFFFFF"/>
        <w:spacing w:before="120"/>
        <w:ind w:left="384"/>
        <w:jc w:val="both"/>
        <w:rPr>
          <w:sz w:val="22"/>
        </w:rPr>
      </w:pPr>
      <w:r w:rsidRPr="00E86DDC">
        <w:rPr>
          <w:b/>
          <w:bCs/>
          <w:sz w:val="22"/>
          <w:szCs w:val="24"/>
        </w:rPr>
        <w:t xml:space="preserve">6. </w:t>
      </w:r>
      <w:r w:rsidRPr="00E86DDC">
        <w:rPr>
          <w:sz w:val="22"/>
          <w:szCs w:val="24"/>
        </w:rPr>
        <w:t>Section 16 of the Principal Act is amended:</w:t>
      </w:r>
    </w:p>
    <w:p w14:paraId="287F2630" w14:textId="77777777" w:rsidR="007178EF" w:rsidRPr="00E86DDC" w:rsidRDefault="007178EF" w:rsidP="0073098F">
      <w:pPr>
        <w:shd w:val="clear" w:color="auto" w:fill="FFFFFF"/>
        <w:spacing w:before="120"/>
        <w:ind w:left="763" w:hanging="379"/>
        <w:jc w:val="both"/>
        <w:rPr>
          <w:sz w:val="22"/>
        </w:rPr>
      </w:pPr>
      <w:r w:rsidRPr="00E86DDC">
        <w:rPr>
          <w:b/>
          <w:bCs/>
          <w:sz w:val="22"/>
          <w:szCs w:val="24"/>
        </w:rPr>
        <w:t>(a)</w:t>
      </w:r>
      <w:r w:rsidRPr="00E86DDC">
        <w:rPr>
          <w:sz w:val="22"/>
          <w:szCs w:val="24"/>
        </w:rPr>
        <w:t xml:space="preserve"> by omitting from subsection (3) “where </w:t>
      </w:r>
      <w:r w:rsidRPr="00E86DDC">
        <w:rPr>
          <w:b/>
          <w:bCs/>
          <w:sz w:val="22"/>
          <w:szCs w:val="24"/>
        </w:rPr>
        <w:t xml:space="preserve">eligible expenditure </w:t>
      </w:r>
      <w:r w:rsidRPr="00E86DDC">
        <w:rPr>
          <w:sz w:val="22"/>
          <w:szCs w:val="24"/>
        </w:rPr>
        <w:t>is the eligible expenditure incurred by the claimant during that grant year.” and substituting the following:</w:t>
      </w:r>
    </w:p>
    <w:p w14:paraId="30E8BBAE" w14:textId="77777777" w:rsidR="007178EF" w:rsidRPr="00E86DDC" w:rsidRDefault="007178EF" w:rsidP="0073098F">
      <w:pPr>
        <w:shd w:val="clear" w:color="auto" w:fill="FFFFFF"/>
        <w:spacing w:before="120"/>
        <w:ind w:left="763" w:hanging="379"/>
        <w:jc w:val="both"/>
        <w:rPr>
          <w:sz w:val="22"/>
        </w:rPr>
        <w:sectPr w:rsidR="007178EF" w:rsidRPr="00E86DDC" w:rsidSect="003153FB">
          <w:type w:val="nextColumn"/>
          <w:pgSz w:w="12240" w:h="15840" w:code="1"/>
          <w:pgMar w:top="1440" w:right="1440" w:bottom="1440" w:left="1440" w:header="720" w:footer="720" w:gutter="0"/>
          <w:cols w:space="60"/>
          <w:noEndnote/>
        </w:sectPr>
      </w:pPr>
    </w:p>
    <w:p w14:paraId="6B74DD8C" w14:textId="77777777" w:rsidR="007178EF" w:rsidRPr="00E86DDC" w:rsidRDefault="007178EF" w:rsidP="0073098F">
      <w:pPr>
        <w:shd w:val="clear" w:color="auto" w:fill="FFFFFF"/>
        <w:spacing w:before="120"/>
        <w:ind w:left="787"/>
        <w:jc w:val="both"/>
        <w:rPr>
          <w:sz w:val="22"/>
        </w:rPr>
      </w:pPr>
      <w:r w:rsidRPr="00E86DDC">
        <w:rPr>
          <w:sz w:val="22"/>
          <w:szCs w:val="24"/>
        </w:rPr>
        <w:lastRenderedPageBreak/>
        <w:t xml:space="preserve">“where </w:t>
      </w:r>
      <w:r w:rsidRPr="00E86DDC">
        <w:rPr>
          <w:b/>
          <w:bCs/>
          <w:sz w:val="22"/>
          <w:szCs w:val="24"/>
        </w:rPr>
        <w:t xml:space="preserve">eligible expenditure </w:t>
      </w:r>
      <w:r w:rsidRPr="00E86DDC">
        <w:rPr>
          <w:sz w:val="22"/>
          <w:szCs w:val="24"/>
        </w:rPr>
        <w:t>is:</w:t>
      </w:r>
    </w:p>
    <w:p w14:paraId="7D642DCE" w14:textId="77777777" w:rsidR="007178EF" w:rsidRPr="00E86DDC" w:rsidRDefault="007178EF" w:rsidP="0073098F">
      <w:pPr>
        <w:numPr>
          <w:ilvl w:val="0"/>
          <w:numId w:val="10"/>
        </w:numPr>
        <w:shd w:val="clear" w:color="auto" w:fill="FFFFFF"/>
        <w:tabs>
          <w:tab w:val="left" w:pos="1430"/>
        </w:tabs>
        <w:spacing w:before="120"/>
        <w:ind w:left="1430" w:hanging="389"/>
        <w:jc w:val="both"/>
        <w:rPr>
          <w:sz w:val="22"/>
          <w:szCs w:val="24"/>
        </w:rPr>
      </w:pPr>
      <w:r w:rsidRPr="00E86DDC">
        <w:rPr>
          <w:sz w:val="22"/>
          <w:szCs w:val="24"/>
        </w:rPr>
        <w:t>if paragraph (b) does not apply</w:t>
      </w:r>
      <w:r w:rsidRPr="00E86DDC">
        <w:rPr>
          <w:rFonts w:eastAsia="Times New Roman"/>
          <w:sz w:val="22"/>
          <w:szCs w:val="24"/>
        </w:rPr>
        <w:t>—the eligible expenditure incurred by the claimant during that grant year; or</w:t>
      </w:r>
    </w:p>
    <w:p w14:paraId="073E320C" w14:textId="77777777" w:rsidR="007178EF" w:rsidRPr="00E86DDC" w:rsidRDefault="007178EF" w:rsidP="0073098F">
      <w:pPr>
        <w:numPr>
          <w:ilvl w:val="0"/>
          <w:numId w:val="10"/>
        </w:numPr>
        <w:shd w:val="clear" w:color="auto" w:fill="FFFFFF"/>
        <w:tabs>
          <w:tab w:val="left" w:pos="1430"/>
        </w:tabs>
        <w:spacing w:before="120"/>
        <w:ind w:left="1430" w:hanging="389"/>
        <w:jc w:val="both"/>
        <w:rPr>
          <w:sz w:val="22"/>
          <w:szCs w:val="24"/>
        </w:rPr>
      </w:pPr>
      <w:r w:rsidRPr="00E86DDC">
        <w:rPr>
          <w:sz w:val="22"/>
          <w:szCs w:val="24"/>
        </w:rPr>
        <w:t>if section 15 applies to the claimant</w:t>
      </w:r>
      <w:r w:rsidRPr="00E86DDC">
        <w:rPr>
          <w:rFonts w:eastAsia="Times New Roman"/>
          <w:sz w:val="22"/>
          <w:szCs w:val="24"/>
        </w:rPr>
        <w:t>—the eligible expenditure in respect of new markets incurred by the claimant during that grant year.”;</w:t>
      </w:r>
    </w:p>
    <w:p w14:paraId="7812B3B9" w14:textId="77777777" w:rsidR="007178EF" w:rsidRPr="00E86DDC" w:rsidRDefault="007178EF" w:rsidP="0073098F">
      <w:pPr>
        <w:shd w:val="clear" w:color="auto" w:fill="FFFFFF"/>
        <w:spacing w:before="120"/>
        <w:ind w:left="778" w:hanging="389"/>
        <w:jc w:val="both"/>
        <w:rPr>
          <w:sz w:val="22"/>
        </w:rPr>
      </w:pPr>
      <w:r w:rsidRPr="00E86DDC">
        <w:rPr>
          <w:b/>
          <w:bCs/>
          <w:sz w:val="22"/>
          <w:szCs w:val="24"/>
        </w:rPr>
        <w:t>(b)</w:t>
      </w:r>
      <w:r w:rsidRPr="00E86DDC">
        <w:rPr>
          <w:sz w:val="22"/>
          <w:szCs w:val="24"/>
        </w:rPr>
        <w:t xml:space="preserve"> by omitting “8” from item 6 in the Table at the end of subsection (6) and substituting “8 or more”.</w:t>
      </w:r>
    </w:p>
    <w:p w14:paraId="0085B759" w14:textId="77777777" w:rsidR="007178EF" w:rsidRPr="00E86DDC" w:rsidRDefault="007178EF" w:rsidP="0073098F">
      <w:pPr>
        <w:shd w:val="clear" w:color="auto" w:fill="FFFFFF"/>
        <w:spacing w:before="120"/>
        <w:ind w:left="5"/>
        <w:jc w:val="both"/>
        <w:rPr>
          <w:sz w:val="22"/>
        </w:rPr>
      </w:pPr>
      <w:r w:rsidRPr="00E86DDC">
        <w:rPr>
          <w:b/>
          <w:bCs/>
          <w:sz w:val="22"/>
          <w:szCs w:val="24"/>
        </w:rPr>
        <w:t>Carry forward of unmatched eligible expenditure</w:t>
      </w:r>
    </w:p>
    <w:p w14:paraId="24D77D9E" w14:textId="77777777" w:rsidR="007178EF" w:rsidRPr="00E86DDC" w:rsidRDefault="007178EF" w:rsidP="0073098F">
      <w:pPr>
        <w:shd w:val="clear" w:color="auto" w:fill="FFFFFF"/>
        <w:spacing w:before="120"/>
        <w:ind w:left="326"/>
        <w:jc w:val="both"/>
        <w:rPr>
          <w:sz w:val="22"/>
        </w:rPr>
      </w:pPr>
      <w:r w:rsidRPr="00E86DDC">
        <w:rPr>
          <w:b/>
          <w:bCs/>
          <w:sz w:val="22"/>
          <w:szCs w:val="24"/>
        </w:rPr>
        <w:t xml:space="preserve">7. </w:t>
      </w:r>
      <w:r w:rsidRPr="00E86DDC">
        <w:rPr>
          <w:sz w:val="22"/>
          <w:szCs w:val="24"/>
        </w:rPr>
        <w:t>Section 16A of the Principal Act is amended:</w:t>
      </w:r>
    </w:p>
    <w:p w14:paraId="79FAD749" w14:textId="77777777" w:rsidR="007178EF" w:rsidRPr="00E86DDC" w:rsidRDefault="007178EF" w:rsidP="0073098F">
      <w:pPr>
        <w:numPr>
          <w:ilvl w:val="0"/>
          <w:numId w:val="11"/>
        </w:numPr>
        <w:shd w:val="clear" w:color="auto" w:fill="FFFFFF"/>
        <w:tabs>
          <w:tab w:val="left" w:pos="754"/>
        </w:tabs>
        <w:spacing w:before="120"/>
        <w:ind w:left="754" w:hanging="384"/>
        <w:jc w:val="both"/>
        <w:rPr>
          <w:b/>
          <w:bCs/>
          <w:sz w:val="22"/>
          <w:szCs w:val="24"/>
        </w:rPr>
      </w:pPr>
      <w:r w:rsidRPr="00E86DDC">
        <w:rPr>
          <w:sz w:val="22"/>
          <w:szCs w:val="24"/>
        </w:rPr>
        <w:t>by omitting “If from subsection (3) and substituting “Subject to subsection (8), if;</w:t>
      </w:r>
    </w:p>
    <w:p w14:paraId="2721FC67" w14:textId="77777777" w:rsidR="007178EF" w:rsidRPr="00E86DDC" w:rsidRDefault="007178EF" w:rsidP="0073098F">
      <w:pPr>
        <w:numPr>
          <w:ilvl w:val="0"/>
          <w:numId w:val="11"/>
        </w:numPr>
        <w:shd w:val="clear" w:color="auto" w:fill="FFFFFF"/>
        <w:tabs>
          <w:tab w:val="left" w:pos="754"/>
        </w:tabs>
        <w:spacing w:before="120"/>
        <w:ind w:left="754" w:hanging="384"/>
        <w:jc w:val="both"/>
        <w:rPr>
          <w:b/>
          <w:bCs/>
          <w:sz w:val="22"/>
          <w:szCs w:val="24"/>
        </w:rPr>
      </w:pPr>
      <w:r w:rsidRPr="00E86DDC">
        <w:rPr>
          <w:sz w:val="22"/>
          <w:szCs w:val="24"/>
        </w:rPr>
        <w:t>by omitting “If from subsection (6) and substituting “Subject to subsection (8), if;</w:t>
      </w:r>
    </w:p>
    <w:p w14:paraId="5DDCB470" w14:textId="77777777" w:rsidR="007178EF" w:rsidRPr="00E86DDC" w:rsidRDefault="007178EF" w:rsidP="0073098F">
      <w:pPr>
        <w:numPr>
          <w:ilvl w:val="0"/>
          <w:numId w:val="11"/>
        </w:numPr>
        <w:shd w:val="clear" w:color="auto" w:fill="FFFFFF"/>
        <w:tabs>
          <w:tab w:val="left" w:pos="754"/>
        </w:tabs>
        <w:spacing w:before="120"/>
        <w:ind w:left="370"/>
        <w:jc w:val="both"/>
        <w:rPr>
          <w:b/>
          <w:bCs/>
          <w:sz w:val="22"/>
          <w:szCs w:val="24"/>
        </w:rPr>
      </w:pPr>
      <w:r w:rsidRPr="00E86DDC">
        <w:rPr>
          <w:sz w:val="22"/>
          <w:szCs w:val="24"/>
        </w:rPr>
        <w:t>by adding at the end of the section the following subsection:</w:t>
      </w:r>
    </w:p>
    <w:p w14:paraId="77030F4A" w14:textId="77777777" w:rsidR="007178EF" w:rsidRPr="00E86DDC" w:rsidRDefault="007178EF" w:rsidP="0073098F">
      <w:pPr>
        <w:shd w:val="clear" w:color="auto" w:fill="FFFFFF"/>
        <w:spacing w:before="120"/>
        <w:ind w:left="782" w:firstLine="197"/>
        <w:jc w:val="both"/>
        <w:rPr>
          <w:sz w:val="22"/>
        </w:rPr>
      </w:pPr>
      <w:r w:rsidRPr="00E86DDC">
        <w:rPr>
          <w:sz w:val="22"/>
          <w:szCs w:val="24"/>
        </w:rPr>
        <w:t>“(8) In applying this section to a claimant to whom section 15 applies:</w:t>
      </w:r>
    </w:p>
    <w:p w14:paraId="4B6E8B95" w14:textId="77777777" w:rsidR="007178EF" w:rsidRPr="00E86DDC" w:rsidRDefault="007178EF" w:rsidP="0073098F">
      <w:pPr>
        <w:numPr>
          <w:ilvl w:val="0"/>
          <w:numId w:val="12"/>
        </w:numPr>
        <w:shd w:val="clear" w:color="auto" w:fill="FFFFFF"/>
        <w:tabs>
          <w:tab w:val="left" w:pos="1402"/>
        </w:tabs>
        <w:spacing w:before="120"/>
        <w:ind w:left="1402" w:hanging="389"/>
        <w:jc w:val="both"/>
        <w:rPr>
          <w:sz w:val="22"/>
          <w:szCs w:val="24"/>
        </w:rPr>
      </w:pPr>
      <w:r w:rsidRPr="00E86DDC">
        <w:rPr>
          <w:sz w:val="22"/>
          <w:szCs w:val="24"/>
        </w:rPr>
        <w:t>if the claimant had unmatched eligible expenditure for a grant year before the claimant’s ninth grant year, that unmatched eligible expenditure has no effect in relation to the claimant’s ninth grant year or any subsequent grant year under this section; and</w:t>
      </w:r>
    </w:p>
    <w:p w14:paraId="6AEDBD26" w14:textId="77777777" w:rsidR="007178EF" w:rsidRPr="00E86DDC" w:rsidRDefault="007178EF" w:rsidP="0073098F">
      <w:pPr>
        <w:numPr>
          <w:ilvl w:val="0"/>
          <w:numId w:val="12"/>
        </w:numPr>
        <w:shd w:val="clear" w:color="auto" w:fill="FFFFFF"/>
        <w:tabs>
          <w:tab w:val="left" w:pos="1402"/>
        </w:tabs>
        <w:spacing w:before="120"/>
        <w:ind w:left="1402" w:hanging="389"/>
        <w:jc w:val="both"/>
        <w:rPr>
          <w:sz w:val="22"/>
          <w:szCs w:val="24"/>
        </w:rPr>
      </w:pPr>
      <w:r w:rsidRPr="00E86DDC">
        <w:rPr>
          <w:sz w:val="22"/>
          <w:szCs w:val="24"/>
        </w:rPr>
        <w:t>the references to the claimant’s eligible expenditure in the following provisions are taken to be references to the claimant’s eligible expenditure in respect of new markets:</w:t>
      </w:r>
    </w:p>
    <w:p w14:paraId="3D7E5BD5" w14:textId="77777777" w:rsidR="007178EF" w:rsidRPr="00E86DDC" w:rsidRDefault="007178EF" w:rsidP="0073098F">
      <w:pPr>
        <w:shd w:val="clear" w:color="auto" w:fill="FFFFFF"/>
        <w:spacing w:before="120"/>
        <w:ind w:left="1651"/>
        <w:jc w:val="both"/>
        <w:rPr>
          <w:sz w:val="22"/>
        </w:rPr>
      </w:pPr>
      <w:r w:rsidRPr="00E86DDC">
        <w:rPr>
          <w:sz w:val="22"/>
          <w:szCs w:val="24"/>
        </w:rPr>
        <w:t>(i) sub-subparagraphs (3)(b)(ii)(A) and (B);</w:t>
      </w:r>
    </w:p>
    <w:p w14:paraId="3395CC20" w14:textId="77777777" w:rsidR="007178EF" w:rsidRPr="00E86DDC" w:rsidRDefault="007178EF" w:rsidP="0073098F">
      <w:pPr>
        <w:shd w:val="clear" w:color="auto" w:fill="FFFFFF"/>
        <w:spacing w:before="120"/>
        <w:ind w:left="2059" w:hanging="408"/>
        <w:jc w:val="both"/>
        <w:rPr>
          <w:sz w:val="22"/>
        </w:rPr>
      </w:pPr>
      <w:r w:rsidRPr="00E86DDC">
        <w:rPr>
          <w:sz w:val="22"/>
          <w:szCs w:val="24"/>
        </w:rPr>
        <w:t>(ii) the definition of ‘threshold shortfall’ in paragraph (4)(b);</w:t>
      </w:r>
    </w:p>
    <w:p w14:paraId="14C4C7FC" w14:textId="77777777" w:rsidR="007178EF" w:rsidRPr="00E86DDC" w:rsidRDefault="007178EF" w:rsidP="0073098F">
      <w:pPr>
        <w:shd w:val="clear" w:color="auto" w:fill="FFFFFF"/>
        <w:spacing w:before="120"/>
        <w:ind w:left="1584"/>
        <w:jc w:val="both"/>
        <w:rPr>
          <w:sz w:val="22"/>
        </w:rPr>
      </w:pPr>
      <w:r w:rsidRPr="00E86DDC">
        <w:rPr>
          <w:sz w:val="22"/>
          <w:szCs w:val="24"/>
        </w:rPr>
        <w:t>(iii) sub-subparagraphs (6)(a)(ii)(A) and (B).”.</w:t>
      </w:r>
    </w:p>
    <w:p w14:paraId="5C38D8A6" w14:textId="77777777" w:rsidR="007178EF" w:rsidRPr="00E86DDC" w:rsidRDefault="00785921" w:rsidP="00EE12DD">
      <w:pPr>
        <w:shd w:val="clear" w:color="auto" w:fill="FFFFFF"/>
        <w:spacing w:before="720"/>
        <w:jc w:val="center"/>
        <w:rPr>
          <w:sz w:val="22"/>
        </w:rPr>
      </w:pPr>
      <w:r>
        <w:rPr>
          <w:b/>
          <w:bCs/>
          <w:noProof/>
          <w:sz w:val="22"/>
          <w:szCs w:val="22"/>
          <w:lang w:val="en-AU" w:eastAsia="en-AU"/>
        </w:rPr>
        <mc:AlternateContent>
          <mc:Choice Requires="wps">
            <w:drawing>
              <wp:anchor distT="0" distB="0" distL="114300" distR="114300" simplePos="0" relativeHeight="251662336" behindDoc="0" locked="0" layoutInCell="1" allowOverlap="1" wp14:anchorId="45C8C7EC" wp14:editId="42AA9348">
                <wp:simplePos x="0" y="0"/>
                <wp:positionH relativeFrom="column">
                  <wp:posOffset>-126365</wp:posOffset>
                </wp:positionH>
                <wp:positionV relativeFrom="paragraph">
                  <wp:posOffset>242367</wp:posOffset>
                </wp:positionV>
                <wp:extent cx="618679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6186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67B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5pt,19.1pt" to="477.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" strokecolor="black [3040]"/>
            </w:pict>
          </mc:Fallback>
        </mc:AlternateContent>
      </w:r>
      <w:r w:rsidR="007178EF" w:rsidRPr="00E86DDC">
        <w:rPr>
          <w:b/>
          <w:bCs/>
          <w:sz w:val="22"/>
          <w:szCs w:val="22"/>
        </w:rPr>
        <w:t>NOTE</w:t>
      </w:r>
    </w:p>
    <w:p w14:paraId="0BDC4ACC" w14:textId="77777777" w:rsidR="007178EF" w:rsidRPr="00CE016C" w:rsidRDefault="007178EF" w:rsidP="0073098F">
      <w:pPr>
        <w:shd w:val="clear" w:color="auto" w:fill="FFFFFF"/>
        <w:spacing w:before="120"/>
        <w:ind w:left="274" w:hanging="274"/>
        <w:jc w:val="both"/>
      </w:pPr>
      <w:r w:rsidRPr="00CE016C">
        <w:rPr>
          <w:szCs w:val="22"/>
        </w:rPr>
        <w:t>1. No. 154, 1974 as amended. For previous amendments, see Nos. 36 and 192, 1978; Nos. 74 and 119, 1981; No. 157, 1982; Nos. 65, 110 and 187, 1985; No. 168, 1986; No. 141, 1987; Nos. 38 and 90, 1988; No. 27, 1990; and Nos. 8 and 66, 1991.</w:t>
      </w:r>
    </w:p>
    <w:p w14:paraId="1D2E3C91" w14:textId="77777777" w:rsidR="007178EF" w:rsidRPr="00CE016C" w:rsidRDefault="007178EF" w:rsidP="0073098F">
      <w:pPr>
        <w:shd w:val="clear" w:color="auto" w:fill="FFFFFF"/>
        <w:spacing w:before="120"/>
        <w:ind w:left="10"/>
        <w:jc w:val="both"/>
      </w:pPr>
      <w:r w:rsidRPr="00CE016C">
        <w:rPr>
          <w:szCs w:val="22"/>
        </w:rPr>
        <w:t>[</w:t>
      </w:r>
      <w:r w:rsidRPr="00CE016C">
        <w:rPr>
          <w:i/>
          <w:iCs/>
          <w:szCs w:val="22"/>
        </w:rPr>
        <w:t>Minister’s second reading speech made in</w:t>
      </w:r>
      <w:r w:rsidRPr="00CE016C">
        <w:rPr>
          <w:rFonts w:eastAsia="Times New Roman"/>
          <w:szCs w:val="22"/>
        </w:rPr>
        <w:t>—</w:t>
      </w:r>
    </w:p>
    <w:p w14:paraId="11D652F5" w14:textId="77777777" w:rsidR="000C58BD" w:rsidRDefault="007178EF" w:rsidP="00A14D18">
      <w:pPr>
        <w:shd w:val="clear" w:color="auto" w:fill="FFFFFF"/>
        <w:ind w:left="749"/>
        <w:jc w:val="both"/>
        <w:rPr>
          <w:i/>
          <w:iCs/>
          <w:szCs w:val="22"/>
        </w:rPr>
      </w:pPr>
      <w:r w:rsidRPr="00CE016C">
        <w:rPr>
          <w:i/>
          <w:iCs/>
          <w:szCs w:val="22"/>
        </w:rPr>
        <w:t>House of Representatives on 4 November 1992</w:t>
      </w:r>
    </w:p>
    <w:p w14:paraId="66393108" w14:textId="77777777" w:rsidR="007178EF" w:rsidRPr="00CE016C" w:rsidRDefault="007178EF" w:rsidP="00A14D18">
      <w:pPr>
        <w:shd w:val="clear" w:color="auto" w:fill="FFFFFF"/>
        <w:ind w:left="749"/>
        <w:jc w:val="both"/>
      </w:pPr>
      <w:r w:rsidRPr="00CE016C">
        <w:rPr>
          <w:i/>
          <w:iCs/>
          <w:szCs w:val="22"/>
        </w:rPr>
        <w:t>Senate on 24 November 1992</w:t>
      </w:r>
      <w:r w:rsidRPr="00CE016C">
        <w:rPr>
          <w:szCs w:val="22"/>
        </w:rPr>
        <w:t>]</w:t>
      </w:r>
    </w:p>
    <w:sectPr w:rsidR="007178EF" w:rsidRPr="00CE016C" w:rsidSect="003153FB">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F301C" w15:done="0"/>
  <w15:commentEx w15:paraId="6F82654D" w15:done="0"/>
  <w15:commentEx w15:paraId="441E225A" w15:done="0"/>
  <w15:commentEx w15:paraId="5556E437" w15:done="0"/>
  <w15:commentEx w15:paraId="65F76D25" w15:done="0"/>
  <w15:commentEx w15:paraId="5ACAA6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F301C" w16cid:durableId="20B32BE3"/>
  <w16cid:commentId w16cid:paraId="6F82654D" w16cid:durableId="20B32C22"/>
  <w16cid:commentId w16cid:paraId="441E225A" w16cid:durableId="20B32C29"/>
  <w16cid:commentId w16cid:paraId="5556E437" w16cid:durableId="20B32C47"/>
  <w16cid:commentId w16cid:paraId="65F76D25" w16cid:durableId="20B32C64"/>
  <w16cid:commentId w16cid:paraId="5ACAA63F" w16cid:durableId="20B32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D0C84" w14:textId="77777777" w:rsidR="009F2920" w:rsidRDefault="009F2920" w:rsidP="009C7718">
      <w:r>
        <w:separator/>
      </w:r>
    </w:p>
  </w:endnote>
  <w:endnote w:type="continuationSeparator" w:id="0">
    <w:p w14:paraId="7A1184CA" w14:textId="77777777" w:rsidR="009F2920" w:rsidRDefault="009F2920" w:rsidP="009C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FD811" w14:textId="77777777" w:rsidR="009F2920" w:rsidRDefault="009F2920" w:rsidP="009C7718">
      <w:r>
        <w:separator/>
      </w:r>
    </w:p>
  </w:footnote>
  <w:footnote w:type="continuationSeparator" w:id="0">
    <w:p w14:paraId="6589D72F" w14:textId="77777777" w:rsidR="009F2920" w:rsidRDefault="009F2920" w:rsidP="009C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2CAAB12C415844769E94D25028806154"/>
      </w:placeholder>
      <w:temporary/>
      <w:showingPlcHdr/>
    </w:sdtPr>
    <w:sdtEndPr/>
    <w:sdtContent>
      <w:p w14:paraId="7AEF7C77" w14:textId="77777777" w:rsidR="009C7718" w:rsidRDefault="009C7718">
        <w:pPr>
          <w:pStyle w:val="Header"/>
        </w:pPr>
        <w:r>
          <w:t>[Type text]</w:t>
        </w:r>
      </w:p>
    </w:sdtContent>
  </w:sdt>
  <w:p w14:paraId="5086EA80" w14:textId="77777777" w:rsidR="009C7718" w:rsidRDefault="009C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38CCC" w14:textId="77777777" w:rsidR="00D2197A" w:rsidRPr="00583F11" w:rsidRDefault="00D2197A" w:rsidP="00D2197A">
    <w:pPr>
      <w:pStyle w:val="Header"/>
      <w:tabs>
        <w:tab w:val="clear" w:pos="4680"/>
        <w:tab w:val="center" w:pos="5040"/>
      </w:tabs>
      <w:jc w:val="center"/>
      <w:rPr>
        <w:sz w:val="22"/>
        <w:szCs w:val="22"/>
      </w:rPr>
    </w:pPr>
    <w:r w:rsidRPr="00583F11">
      <w:rPr>
        <w:i/>
        <w:iCs/>
        <w:sz w:val="22"/>
        <w:szCs w:val="22"/>
      </w:rPr>
      <w:t>Export Market Development Grants Amendment</w:t>
    </w:r>
    <w:r w:rsidRPr="00583F11">
      <w:rPr>
        <w:i/>
        <w:iCs/>
        <w:sz w:val="22"/>
        <w:szCs w:val="22"/>
      </w:rPr>
      <w:tab/>
      <w:t>No. 186,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18C6"/>
    <w:multiLevelType w:val="singleLevel"/>
    <w:tmpl w:val="58368A90"/>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23954B9A"/>
    <w:multiLevelType w:val="singleLevel"/>
    <w:tmpl w:val="3FEEE820"/>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29264B04"/>
    <w:multiLevelType w:val="singleLevel"/>
    <w:tmpl w:val="3FEEE820"/>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31721213"/>
    <w:multiLevelType w:val="singleLevel"/>
    <w:tmpl w:val="58368A90"/>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33E337D3"/>
    <w:multiLevelType w:val="singleLevel"/>
    <w:tmpl w:val="91BE9E50"/>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3F1417F5"/>
    <w:multiLevelType w:val="singleLevel"/>
    <w:tmpl w:val="3FEEE820"/>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49173D9B"/>
    <w:multiLevelType w:val="singleLevel"/>
    <w:tmpl w:val="58368A90"/>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4A4915B4"/>
    <w:multiLevelType w:val="singleLevel"/>
    <w:tmpl w:val="91BE9E50"/>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4C7455FF"/>
    <w:multiLevelType w:val="singleLevel"/>
    <w:tmpl w:val="3FEEE820"/>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5076766C"/>
    <w:multiLevelType w:val="singleLevel"/>
    <w:tmpl w:val="91BE9E50"/>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730D0985"/>
    <w:multiLevelType w:val="singleLevel"/>
    <w:tmpl w:val="3FEEE820"/>
    <w:lvl w:ilvl="0">
      <w:start w:val="1"/>
      <w:numFmt w:val="lowerLetter"/>
      <w:lvlText w:val="(%1)"/>
      <w:legacy w:legacy="1" w:legacySpace="0" w:legacyIndent="393"/>
      <w:lvlJc w:val="left"/>
      <w:rPr>
        <w:rFonts w:ascii="Times New Roman" w:hAnsi="Times New Roman" w:cs="Times New Roman" w:hint="default"/>
      </w:rPr>
    </w:lvl>
  </w:abstractNum>
  <w:num w:numId="1">
    <w:abstractNumId w:val="7"/>
  </w:num>
  <w:num w:numId="2">
    <w:abstractNumId w:val="2"/>
  </w:num>
  <w:num w:numId="3">
    <w:abstractNumId w:val="2"/>
    <w:lvlOverride w:ilvl="0">
      <w:lvl w:ilvl="0">
        <w:start w:val="1"/>
        <w:numFmt w:val="lowerLetter"/>
        <w:lvlText w:val="(%1)"/>
        <w:legacy w:legacy="1" w:legacySpace="0" w:legacyIndent="393"/>
        <w:lvlJc w:val="left"/>
        <w:rPr>
          <w:rFonts w:ascii="Times New Roman" w:hAnsi="Times New Roman" w:cs="Times New Roman" w:hint="default"/>
        </w:rPr>
      </w:lvl>
    </w:lvlOverride>
  </w:num>
  <w:num w:numId="4">
    <w:abstractNumId w:val="9"/>
  </w:num>
  <w:num w:numId="5">
    <w:abstractNumId w:val="6"/>
  </w:num>
  <w:num w:numId="6">
    <w:abstractNumId w:val="1"/>
  </w:num>
  <w:num w:numId="7">
    <w:abstractNumId w:val="5"/>
  </w:num>
  <w:num w:numId="8">
    <w:abstractNumId w:val="10"/>
  </w:num>
  <w:num w:numId="9">
    <w:abstractNumId w:val="8"/>
  </w:num>
  <w:num w:numId="10">
    <w:abstractNumId w:val="0"/>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56"/>
    <w:rsid w:val="00030A6E"/>
    <w:rsid w:val="00061097"/>
    <w:rsid w:val="00064415"/>
    <w:rsid w:val="00065A3E"/>
    <w:rsid w:val="000C58BD"/>
    <w:rsid w:val="000F7A62"/>
    <w:rsid w:val="001C72C0"/>
    <w:rsid w:val="002009C1"/>
    <w:rsid w:val="00302F46"/>
    <w:rsid w:val="003153FB"/>
    <w:rsid w:val="00470868"/>
    <w:rsid w:val="004A1E4B"/>
    <w:rsid w:val="004A35B8"/>
    <w:rsid w:val="00534ED1"/>
    <w:rsid w:val="00577F69"/>
    <w:rsid w:val="00583F11"/>
    <w:rsid w:val="005F3E13"/>
    <w:rsid w:val="006720AD"/>
    <w:rsid w:val="00683572"/>
    <w:rsid w:val="00685356"/>
    <w:rsid w:val="006A705A"/>
    <w:rsid w:val="007178EF"/>
    <w:rsid w:val="0073098F"/>
    <w:rsid w:val="00785921"/>
    <w:rsid w:val="007B1D68"/>
    <w:rsid w:val="00874092"/>
    <w:rsid w:val="00930338"/>
    <w:rsid w:val="00933699"/>
    <w:rsid w:val="009C7718"/>
    <w:rsid w:val="009F2920"/>
    <w:rsid w:val="00A14D18"/>
    <w:rsid w:val="00B8585C"/>
    <w:rsid w:val="00CE016C"/>
    <w:rsid w:val="00D0724E"/>
    <w:rsid w:val="00D2197A"/>
    <w:rsid w:val="00D573D1"/>
    <w:rsid w:val="00DA74AB"/>
    <w:rsid w:val="00E15128"/>
    <w:rsid w:val="00E16BBF"/>
    <w:rsid w:val="00E86DDC"/>
    <w:rsid w:val="00EA26BB"/>
    <w:rsid w:val="00EE12DD"/>
    <w:rsid w:val="00EF7D72"/>
    <w:rsid w:val="00F0446B"/>
    <w:rsid w:val="00F4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30EC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092"/>
    <w:rPr>
      <w:rFonts w:ascii="Tahoma" w:hAnsi="Tahoma" w:cs="Tahoma"/>
      <w:sz w:val="16"/>
      <w:szCs w:val="16"/>
    </w:rPr>
  </w:style>
  <w:style w:type="character" w:customStyle="1" w:styleId="BalloonTextChar">
    <w:name w:val="Balloon Text Char"/>
    <w:basedOn w:val="DefaultParagraphFont"/>
    <w:link w:val="BalloonText"/>
    <w:uiPriority w:val="99"/>
    <w:semiHidden/>
    <w:rsid w:val="00874092"/>
    <w:rPr>
      <w:rFonts w:ascii="Tahoma" w:hAnsi="Tahoma" w:cs="Tahoma"/>
      <w:sz w:val="16"/>
      <w:szCs w:val="16"/>
    </w:rPr>
  </w:style>
  <w:style w:type="paragraph" w:styleId="Header">
    <w:name w:val="header"/>
    <w:basedOn w:val="Normal"/>
    <w:link w:val="HeaderChar"/>
    <w:uiPriority w:val="99"/>
    <w:unhideWhenUsed/>
    <w:rsid w:val="009C7718"/>
    <w:pPr>
      <w:tabs>
        <w:tab w:val="center" w:pos="4680"/>
        <w:tab w:val="right" w:pos="9360"/>
      </w:tabs>
    </w:pPr>
  </w:style>
  <w:style w:type="character" w:customStyle="1" w:styleId="HeaderChar">
    <w:name w:val="Header Char"/>
    <w:basedOn w:val="DefaultParagraphFont"/>
    <w:link w:val="Header"/>
    <w:uiPriority w:val="99"/>
    <w:rsid w:val="009C7718"/>
    <w:rPr>
      <w:rFonts w:ascii="Times New Roman" w:hAnsi="Times New Roman"/>
      <w:sz w:val="20"/>
      <w:szCs w:val="20"/>
    </w:rPr>
  </w:style>
  <w:style w:type="paragraph" w:styleId="Footer">
    <w:name w:val="footer"/>
    <w:basedOn w:val="Normal"/>
    <w:link w:val="FooterChar"/>
    <w:uiPriority w:val="99"/>
    <w:unhideWhenUsed/>
    <w:rsid w:val="009C7718"/>
    <w:pPr>
      <w:tabs>
        <w:tab w:val="center" w:pos="4680"/>
        <w:tab w:val="right" w:pos="9360"/>
      </w:tabs>
    </w:pPr>
  </w:style>
  <w:style w:type="character" w:customStyle="1" w:styleId="FooterChar">
    <w:name w:val="Footer Char"/>
    <w:basedOn w:val="DefaultParagraphFont"/>
    <w:link w:val="Footer"/>
    <w:uiPriority w:val="99"/>
    <w:rsid w:val="009C7718"/>
    <w:rPr>
      <w:rFonts w:ascii="Times New Roman" w:hAnsi="Times New Roman"/>
      <w:sz w:val="20"/>
      <w:szCs w:val="20"/>
    </w:rPr>
  </w:style>
  <w:style w:type="character" w:styleId="CommentReference">
    <w:name w:val="annotation reference"/>
    <w:basedOn w:val="DefaultParagraphFont"/>
    <w:uiPriority w:val="99"/>
    <w:semiHidden/>
    <w:unhideWhenUsed/>
    <w:rsid w:val="00EF7D72"/>
    <w:rPr>
      <w:sz w:val="16"/>
      <w:szCs w:val="16"/>
    </w:rPr>
  </w:style>
  <w:style w:type="paragraph" w:styleId="CommentText">
    <w:name w:val="annotation text"/>
    <w:basedOn w:val="Normal"/>
    <w:link w:val="CommentTextChar"/>
    <w:uiPriority w:val="99"/>
    <w:semiHidden/>
    <w:unhideWhenUsed/>
    <w:rsid w:val="00EF7D72"/>
  </w:style>
  <w:style w:type="character" w:customStyle="1" w:styleId="CommentTextChar">
    <w:name w:val="Comment Text Char"/>
    <w:basedOn w:val="DefaultParagraphFont"/>
    <w:link w:val="CommentText"/>
    <w:uiPriority w:val="99"/>
    <w:semiHidden/>
    <w:rsid w:val="00EF7D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7D72"/>
    <w:rPr>
      <w:b/>
      <w:bCs/>
    </w:rPr>
  </w:style>
  <w:style w:type="character" w:customStyle="1" w:styleId="CommentSubjectChar">
    <w:name w:val="Comment Subject Char"/>
    <w:basedOn w:val="CommentTextChar"/>
    <w:link w:val="CommentSubject"/>
    <w:uiPriority w:val="99"/>
    <w:semiHidden/>
    <w:rsid w:val="00EF7D72"/>
    <w:rPr>
      <w:rFonts w:ascii="Times New Roman" w:hAnsi="Times New Roman"/>
      <w:b/>
      <w:bCs/>
      <w:sz w:val="20"/>
      <w:szCs w:val="20"/>
    </w:rPr>
  </w:style>
  <w:style w:type="paragraph" w:styleId="Revision">
    <w:name w:val="Revision"/>
    <w:hidden/>
    <w:uiPriority w:val="99"/>
    <w:semiHidden/>
    <w:rsid w:val="006720AD"/>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092"/>
    <w:rPr>
      <w:rFonts w:ascii="Tahoma" w:hAnsi="Tahoma" w:cs="Tahoma"/>
      <w:sz w:val="16"/>
      <w:szCs w:val="16"/>
    </w:rPr>
  </w:style>
  <w:style w:type="character" w:customStyle="1" w:styleId="BalloonTextChar">
    <w:name w:val="Balloon Text Char"/>
    <w:basedOn w:val="DefaultParagraphFont"/>
    <w:link w:val="BalloonText"/>
    <w:uiPriority w:val="99"/>
    <w:semiHidden/>
    <w:rsid w:val="00874092"/>
    <w:rPr>
      <w:rFonts w:ascii="Tahoma" w:hAnsi="Tahoma" w:cs="Tahoma"/>
      <w:sz w:val="16"/>
      <w:szCs w:val="16"/>
    </w:rPr>
  </w:style>
  <w:style w:type="paragraph" w:styleId="Header">
    <w:name w:val="header"/>
    <w:basedOn w:val="Normal"/>
    <w:link w:val="HeaderChar"/>
    <w:uiPriority w:val="99"/>
    <w:unhideWhenUsed/>
    <w:rsid w:val="009C7718"/>
    <w:pPr>
      <w:tabs>
        <w:tab w:val="center" w:pos="4680"/>
        <w:tab w:val="right" w:pos="9360"/>
      </w:tabs>
    </w:pPr>
  </w:style>
  <w:style w:type="character" w:customStyle="1" w:styleId="HeaderChar">
    <w:name w:val="Header Char"/>
    <w:basedOn w:val="DefaultParagraphFont"/>
    <w:link w:val="Header"/>
    <w:uiPriority w:val="99"/>
    <w:rsid w:val="009C7718"/>
    <w:rPr>
      <w:rFonts w:ascii="Times New Roman" w:hAnsi="Times New Roman"/>
      <w:sz w:val="20"/>
      <w:szCs w:val="20"/>
    </w:rPr>
  </w:style>
  <w:style w:type="paragraph" w:styleId="Footer">
    <w:name w:val="footer"/>
    <w:basedOn w:val="Normal"/>
    <w:link w:val="FooterChar"/>
    <w:uiPriority w:val="99"/>
    <w:unhideWhenUsed/>
    <w:rsid w:val="009C7718"/>
    <w:pPr>
      <w:tabs>
        <w:tab w:val="center" w:pos="4680"/>
        <w:tab w:val="right" w:pos="9360"/>
      </w:tabs>
    </w:pPr>
  </w:style>
  <w:style w:type="character" w:customStyle="1" w:styleId="FooterChar">
    <w:name w:val="Footer Char"/>
    <w:basedOn w:val="DefaultParagraphFont"/>
    <w:link w:val="Footer"/>
    <w:uiPriority w:val="99"/>
    <w:rsid w:val="009C7718"/>
    <w:rPr>
      <w:rFonts w:ascii="Times New Roman" w:hAnsi="Times New Roman"/>
      <w:sz w:val="20"/>
      <w:szCs w:val="20"/>
    </w:rPr>
  </w:style>
  <w:style w:type="character" w:styleId="CommentReference">
    <w:name w:val="annotation reference"/>
    <w:basedOn w:val="DefaultParagraphFont"/>
    <w:uiPriority w:val="99"/>
    <w:semiHidden/>
    <w:unhideWhenUsed/>
    <w:rsid w:val="00EF7D72"/>
    <w:rPr>
      <w:sz w:val="16"/>
      <w:szCs w:val="16"/>
    </w:rPr>
  </w:style>
  <w:style w:type="paragraph" w:styleId="CommentText">
    <w:name w:val="annotation text"/>
    <w:basedOn w:val="Normal"/>
    <w:link w:val="CommentTextChar"/>
    <w:uiPriority w:val="99"/>
    <w:semiHidden/>
    <w:unhideWhenUsed/>
    <w:rsid w:val="00EF7D72"/>
  </w:style>
  <w:style w:type="character" w:customStyle="1" w:styleId="CommentTextChar">
    <w:name w:val="Comment Text Char"/>
    <w:basedOn w:val="DefaultParagraphFont"/>
    <w:link w:val="CommentText"/>
    <w:uiPriority w:val="99"/>
    <w:semiHidden/>
    <w:rsid w:val="00EF7D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7D72"/>
    <w:rPr>
      <w:b/>
      <w:bCs/>
    </w:rPr>
  </w:style>
  <w:style w:type="character" w:customStyle="1" w:styleId="CommentSubjectChar">
    <w:name w:val="Comment Subject Char"/>
    <w:basedOn w:val="CommentTextChar"/>
    <w:link w:val="CommentSubject"/>
    <w:uiPriority w:val="99"/>
    <w:semiHidden/>
    <w:rsid w:val="00EF7D72"/>
    <w:rPr>
      <w:rFonts w:ascii="Times New Roman" w:hAnsi="Times New Roman"/>
      <w:b/>
      <w:bCs/>
      <w:sz w:val="20"/>
      <w:szCs w:val="20"/>
    </w:rPr>
  </w:style>
  <w:style w:type="paragraph" w:styleId="Revision">
    <w:name w:val="Revision"/>
    <w:hidden/>
    <w:uiPriority w:val="99"/>
    <w:semiHidden/>
    <w:rsid w:val="006720AD"/>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AAB12C415844769E94D25028806154"/>
        <w:category>
          <w:name w:val="General"/>
          <w:gallery w:val="placeholder"/>
        </w:category>
        <w:types>
          <w:type w:val="bbPlcHdr"/>
        </w:types>
        <w:behaviors>
          <w:behavior w:val="content"/>
        </w:behaviors>
        <w:guid w:val="{4B922711-CC03-4D0C-A3C5-25B876707FB0}"/>
      </w:docPartPr>
      <w:docPartBody>
        <w:p w:rsidR="00EB2CD3" w:rsidRDefault="00BE48B6" w:rsidP="00BE48B6">
          <w:pPr>
            <w:pStyle w:val="2CAAB12C415844769E94D250288061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B6"/>
    <w:rsid w:val="00165CB8"/>
    <w:rsid w:val="00A91C5F"/>
    <w:rsid w:val="00BE48B6"/>
    <w:rsid w:val="00E36AC5"/>
    <w:rsid w:val="00EB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AB12C415844769E94D25028806154">
    <w:name w:val="2CAAB12C415844769E94D25028806154"/>
    <w:rsid w:val="00BE48B6"/>
  </w:style>
  <w:style w:type="paragraph" w:customStyle="1" w:styleId="91F4691A2F614284A3A69314EEA15CF5">
    <w:name w:val="91F4691A2F614284A3A69314EEA15CF5"/>
    <w:rsid w:val="00BE48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AB12C415844769E94D25028806154">
    <w:name w:val="2CAAB12C415844769E94D25028806154"/>
    <w:rsid w:val="00BE48B6"/>
  </w:style>
  <w:style w:type="paragraph" w:customStyle="1" w:styleId="91F4691A2F614284A3A69314EEA15CF5">
    <w:name w:val="91F4691A2F614284A3A69314EEA15CF5"/>
    <w:rsid w:val="00BE4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2C5E-D5F2-4387-BAC7-E9172712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7214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Pettingill, Tia</cp:lastModifiedBy>
  <cp:revision>3</cp:revision>
  <dcterms:created xsi:type="dcterms:W3CDTF">2019-06-17T23:25:00Z</dcterms:created>
  <dcterms:modified xsi:type="dcterms:W3CDTF">2019-10-23T22:54:00Z</dcterms:modified>
</cp:coreProperties>
</file>