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381E3" w14:textId="77777777" w:rsidR="004C0CAF" w:rsidRPr="00771619" w:rsidRDefault="00A52F3F" w:rsidP="00771619">
      <w:pPr>
        <w:jc w:val="center"/>
        <w:rPr>
          <w:sz w:val="22"/>
          <w:szCs w:val="24"/>
        </w:rPr>
      </w:pPr>
      <w:r w:rsidRPr="00771619">
        <w:rPr>
          <w:noProof/>
          <w:sz w:val="22"/>
          <w:szCs w:val="24"/>
          <w:lang w:val="en-AU" w:eastAsia="en-AU"/>
        </w:rPr>
        <w:drawing>
          <wp:inline distT="0" distB="0" distL="0" distR="0" wp14:anchorId="1183DC33" wp14:editId="0AA33E9D">
            <wp:extent cx="2085975" cy="1181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1181100"/>
                    </a:xfrm>
                    <a:prstGeom prst="rect">
                      <a:avLst/>
                    </a:prstGeom>
                    <a:noFill/>
                    <a:ln>
                      <a:noFill/>
                    </a:ln>
                  </pic:spPr>
                </pic:pic>
              </a:graphicData>
            </a:graphic>
          </wp:inline>
        </w:drawing>
      </w:r>
    </w:p>
    <w:p w14:paraId="3B8A8E1F" w14:textId="77777777" w:rsidR="0071796C" w:rsidRDefault="0071796C" w:rsidP="0071796C">
      <w:pPr>
        <w:shd w:val="clear" w:color="auto" w:fill="FFFFFF"/>
        <w:ind w:left="2698" w:hanging="2698"/>
        <w:jc w:val="center"/>
        <w:rPr>
          <w:b/>
          <w:bCs/>
          <w:sz w:val="36"/>
          <w:szCs w:val="36"/>
          <w:lang w:val="en-US"/>
        </w:rPr>
      </w:pPr>
    </w:p>
    <w:p w14:paraId="4D7B1EFE" w14:textId="77777777" w:rsidR="0071796C" w:rsidRDefault="0071796C" w:rsidP="0071796C">
      <w:pPr>
        <w:shd w:val="clear" w:color="auto" w:fill="FFFFFF"/>
        <w:ind w:left="2698" w:hanging="2698"/>
        <w:jc w:val="center"/>
        <w:rPr>
          <w:b/>
          <w:bCs/>
          <w:sz w:val="36"/>
          <w:szCs w:val="36"/>
          <w:lang w:val="en-US"/>
        </w:rPr>
      </w:pPr>
    </w:p>
    <w:p w14:paraId="0760DE0E" w14:textId="77777777" w:rsidR="0071796C" w:rsidRDefault="004C0CAF" w:rsidP="0071796C">
      <w:pPr>
        <w:shd w:val="clear" w:color="auto" w:fill="FFFFFF"/>
        <w:ind w:left="2698" w:hanging="2698"/>
        <w:jc w:val="center"/>
        <w:rPr>
          <w:b/>
          <w:bCs/>
          <w:sz w:val="36"/>
          <w:szCs w:val="36"/>
          <w:lang w:val="en-US"/>
        </w:rPr>
      </w:pPr>
      <w:r w:rsidRPr="00270788">
        <w:rPr>
          <w:b/>
          <w:bCs/>
          <w:sz w:val="36"/>
          <w:szCs w:val="36"/>
          <w:lang w:val="en-US"/>
        </w:rPr>
        <w:t xml:space="preserve">Migration </w:t>
      </w:r>
      <w:r w:rsidRPr="00693D76">
        <w:rPr>
          <w:b/>
          <w:bCs/>
          <w:sz w:val="36"/>
          <w:szCs w:val="36"/>
          <w:lang w:val="en-US"/>
        </w:rPr>
        <w:t xml:space="preserve">(Delayed </w:t>
      </w:r>
      <w:r w:rsidRPr="00270788">
        <w:rPr>
          <w:b/>
          <w:bCs/>
          <w:sz w:val="36"/>
          <w:szCs w:val="36"/>
          <w:lang w:val="en-US"/>
        </w:rPr>
        <w:t xml:space="preserve">Visa Applications) </w:t>
      </w:r>
      <w:r w:rsidRPr="00693D76">
        <w:rPr>
          <w:b/>
          <w:bCs/>
          <w:sz w:val="36"/>
          <w:szCs w:val="36"/>
          <w:lang w:val="en-US"/>
        </w:rPr>
        <w:t xml:space="preserve">Tax </w:t>
      </w:r>
    </w:p>
    <w:p w14:paraId="2A336227" w14:textId="77777777" w:rsidR="004C0CAF" w:rsidRPr="00693D76" w:rsidRDefault="004C0CAF" w:rsidP="0071796C">
      <w:pPr>
        <w:shd w:val="clear" w:color="auto" w:fill="FFFFFF"/>
        <w:ind w:left="2698" w:hanging="2698"/>
        <w:jc w:val="center"/>
        <w:rPr>
          <w:sz w:val="36"/>
          <w:szCs w:val="36"/>
        </w:rPr>
      </w:pPr>
      <w:r w:rsidRPr="00693D76">
        <w:rPr>
          <w:b/>
          <w:bCs/>
          <w:sz w:val="36"/>
          <w:szCs w:val="36"/>
          <w:lang w:val="en-US"/>
        </w:rPr>
        <w:t>Act 1992</w:t>
      </w:r>
    </w:p>
    <w:p w14:paraId="10494C4F" w14:textId="77777777" w:rsidR="004C0CAF" w:rsidRPr="00693D76" w:rsidRDefault="004C0CAF" w:rsidP="00771619">
      <w:pPr>
        <w:shd w:val="clear" w:color="auto" w:fill="FFFFFF"/>
        <w:spacing w:before="979"/>
        <w:jc w:val="center"/>
        <w:rPr>
          <w:sz w:val="24"/>
          <w:szCs w:val="24"/>
        </w:rPr>
      </w:pPr>
      <w:r w:rsidRPr="00693D76">
        <w:rPr>
          <w:b/>
          <w:bCs/>
          <w:sz w:val="24"/>
          <w:szCs w:val="24"/>
          <w:lang w:val="en-US"/>
        </w:rPr>
        <w:t>No. 178 of 1992</w:t>
      </w:r>
    </w:p>
    <w:p w14:paraId="670139E1" w14:textId="77777777" w:rsidR="004C0CAF" w:rsidRPr="00270788" w:rsidRDefault="00775FAE" w:rsidP="00771619">
      <w:pPr>
        <w:shd w:val="clear" w:color="auto" w:fill="FFFFFF"/>
        <w:spacing w:before="2309"/>
        <w:jc w:val="center"/>
        <w:rPr>
          <w:sz w:val="26"/>
          <w:szCs w:val="24"/>
        </w:rPr>
      </w:pPr>
      <w:r w:rsidRPr="00270788">
        <w:rPr>
          <w:b/>
          <w:bCs/>
          <w:noProof/>
          <w:sz w:val="26"/>
          <w:szCs w:val="24"/>
          <w:lang w:val="en-AU" w:eastAsia="en-AU"/>
        </w:rPr>
        <mc:AlternateContent>
          <mc:Choice Requires="wps">
            <w:drawing>
              <wp:anchor distT="0" distB="0" distL="114300" distR="114300" simplePos="0" relativeHeight="251665408" behindDoc="0" locked="0" layoutInCell="1" allowOverlap="1" wp14:anchorId="33A5B559" wp14:editId="772AE687">
                <wp:simplePos x="0" y="0"/>
                <wp:positionH relativeFrom="column">
                  <wp:posOffset>85090</wp:posOffset>
                </wp:positionH>
                <wp:positionV relativeFrom="paragraph">
                  <wp:posOffset>688340</wp:posOffset>
                </wp:positionV>
                <wp:extent cx="56864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568642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66CE07"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7pt,54.2pt" to="454.4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" strokecolor="black [3040]" strokeweight=".5pt"/>
            </w:pict>
          </mc:Fallback>
        </mc:AlternateContent>
      </w:r>
      <w:r w:rsidR="00A425F5" w:rsidRPr="00270788">
        <w:rPr>
          <w:b/>
          <w:bCs/>
          <w:noProof/>
          <w:sz w:val="26"/>
          <w:szCs w:val="24"/>
          <w:lang w:val="en-AU" w:eastAsia="en-AU"/>
        </w:rPr>
        <mc:AlternateContent>
          <mc:Choice Requires="wps">
            <w:drawing>
              <wp:anchor distT="0" distB="0" distL="114300" distR="114300" simplePos="0" relativeHeight="251661312" behindDoc="0" locked="0" layoutInCell="1" allowOverlap="1" wp14:anchorId="43DAC905" wp14:editId="3B5EA7F2">
                <wp:simplePos x="0" y="0"/>
                <wp:positionH relativeFrom="column">
                  <wp:posOffset>94615</wp:posOffset>
                </wp:positionH>
                <wp:positionV relativeFrom="paragraph">
                  <wp:posOffset>716915</wp:posOffset>
                </wp:positionV>
                <wp:extent cx="5686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6864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811B6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45pt,56.45pt" to="455.2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" strokecolor="black [3040]" strokeweight="1.5pt"/>
            </w:pict>
          </mc:Fallback>
        </mc:AlternateContent>
      </w:r>
      <w:r w:rsidR="004C0CAF" w:rsidRPr="00270788">
        <w:rPr>
          <w:b/>
          <w:bCs/>
          <w:sz w:val="26"/>
          <w:szCs w:val="24"/>
          <w:lang w:val="en-US"/>
        </w:rPr>
        <w:t>An Act to impose a tax on certain delayed applications for visas</w:t>
      </w:r>
    </w:p>
    <w:p w14:paraId="35165C02" w14:textId="77777777" w:rsidR="004C0CAF" w:rsidRPr="00771619" w:rsidRDefault="004C0CAF" w:rsidP="00771619">
      <w:pPr>
        <w:shd w:val="clear" w:color="auto" w:fill="FFFFFF"/>
        <w:spacing w:before="240" w:after="240"/>
        <w:jc w:val="right"/>
        <w:rPr>
          <w:sz w:val="22"/>
        </w:rPr>
      </w:pPr>
      <w:r w:rsidRPr="00771619">
        <w:rPr>
          <w:sz w:val="22"/>
          <w:szCs w:val="24"/>
          <w:lang w:val="en-US"/>
        </w:rPr>
        <w:t>[</w:t>
      </w:r>
      <w:r w:rsidRPr="00771619">
        <w:rPr>
          <w:i/>
          <w:iCs/>
          <w:sz w:val="22"/>
          <w:szCs w:val="24"/>
          <w:lang w:val="en-US"/>
        </w:rPr>
        <w:t>Assented to 16 December 1992</w:t>
      </w:r>
      <w:r w:rsidRPr="00771619">
        <w:rPr>
          <w:sz w:val="22"/>
          <w:szCs w:val="24"/>
          <w:lang w:val="en-US"/>
        </w:rPr>
        <w:t>]</w:t>
      </w:r>
    </w:p>
    <w:p w14:paraId="35D48874" w14:textId="77777777" w:rsidR="004C0CAF" w:rsidRPr="00771619" w:rsidRDefault="004C0CAF" w:rsidP="00771619">
      <w:pPr>
        <w:shd w:val="clear" w:color="auto" w:fill="FFFFFF"/>
        <w:spacing w:before="120"/>
        <w:ind w:left="336"/>
        <w:jc w:val="both"/>
        <w:rPr>
          <w:sz w:val="22"/>
        </w:rPr>
      </w:pPr>
      <w:r w:rsidRPr="00771619">
        <w:rPr>
          <w:sz w:val="22"/>
          <w:szCs w:val="24"/>
          <w:lang w:val="en-US"/>
        </w:rPr>
        <w:t>The Parliament of Australia enacts:</w:t>
      </w:r>
    </w:p>
    <w:p w14:paraId="358387CF" w14:textId="77777777" w:rsidR="004C0CAF" w:rsidRPr="00771619" w:rsidRDefault="004C0CAF" w:rsidP="00771619">
      <w:pPr>
        <w:shd w:val="clear" w:color="auto" w:fill="FFFFFF"/>
        <w:spacing w:before="120"/>
        <w:ind w:left="5"/>
        <w:jc w:val="both"/>
        <w:rPr>
          <w:sz w:val="22"/>
        </w:rPr>
      </w:pPr>
      <w:r w:rsidRPr="00771619">
        <w:rPr>
          <w:b/>
          <w:bCs/>
          <w:sz w:val="22"/>
          <w:szCs w:val="24"/>
          <w:lang w:val="en-US"/>
        </w:rPr>
        <w:t>Short title</w:t>
      </w:r>
    </w:p>
    <w:p w14:paraId="11FDD67C" w14:textId="77777777" w:rsidR="004C0CAF" w:rsidRPr="00771619" w:rsidRDefault="004C0CAF" w:rsidP="00771619">
      <w:pPr>
        <w:shd w:val="clear" w:color="auto" w:fill="FFFFFF"/>
        <w:tabs>
          <w:tab w:val="left" w:pos="614"/>
        </w:tabs>
        <w:spacing w:before="120"/>
        <w:ind w:left="24" w:firstLine="307"/>
        <w:jc w:val="both"/>
        <w:rPr>
          <w:sz w:val="22"/>
        </w:rPr>
      </w:pPr>
      <w:r w:rsidRPr="00771619">
        <w:rPr>
          <w:b/>
          <w:bCs/>
          <w:sz w:val="22"/>
          <w:szCs w:val="24"/>
          <w:lang w:val="en-US"/>
        </w:rPr>
        <w:t>1.</w:t>
      </w:r>
      <w:r w:rsidRPr="00771619">
        <w:rPr>
          <w:sz w:val="22"/>
          <w:szCs w:val="24"/>
          <w:lang w:val="en-US"/>
        </w:rPr>
        <w:tab/>
        <w:t xml:space="preserve">This Act may be cited as the </w:t>
      </w:r>
      <w:r w:rsidRPr="00771619">
        <w:rPr>
          <w:i/>
          <w:iCs/>
          <w:sz w:val="22"/>
          <w:szCs w:val="24"/>
          <w:lang w:val="en-US"/>
        </w:rPr>
        <w:t>Migration (Delayed Visa Applications)</w:t>
      </w:r>
      <w:r w:rsidR="00771619" w:rsidRPr="00771619">
        <w:rPr>
          <w:i/>
          <w:iCs/>
          <w:sz w:val="22"/>
          <w:szCs w:val="24"/>
          <w:lang w:val="en-US"/>
        </w:rPr>
        <w:t xml:space="preserve"> </w:t>
      </w:r>
      <w:r w:rsidRPr="00771619">
        <w:rPr>
          <w:i/>
          <w:iCs/>
          <w:sz w:val="22"/>
          <w:szCs w:val="24"/>
          <w:lang w:val="en-US"/>
        </w:rPr>
        <w:t>Tax Act 1992.</w:t>
      </w:r>
    </w:p>
    <w:p w14:paraId="521A150F" w14:textId="77777777" w:rsidR="004C0CAF" w:rsidRPr="00771619" w:rsidRDefault="004C0CAF" w:rsidP="00771619">
      <w:pPr>
        <w:shd w:val="clear" w:color="auto" w:fill="FFFFFF"/>
        <w:spacing w:before="120"/>
        <w:jc w:val="both"/>
        <w:rPr>
          <w:sz w:val="22"/>
        </w:rPr>
      </w:pPr>
      <w:r w:rsidRPr="00771619">
        <w:rPr>
          <w:b/>
          <w:bCs/>
          <w:sz w:val="22"/>
          <w:szCs w:val="24"/>
          <w:lang w:val="en-US"/>
        </w:rPr>
        <w:t>Commencement</w:t>
      </w:r>
    </w:p>
    <w:p w14:paraId="4DA6BB43" w14:textId="77777777" w:rsidR="004C0CAF" w:rsidRPr="00771619" w:rsidRDefault="004C0CAF" w:rsidP="00771619">
      <w:pPr>
        <w:shd w:val="clear" w:color="auto" w:fill="FFFFFF"/>
        <w:tabs>
          <w:tab w:val="left" w:pos="614"/>
        </w:tabs>
        <w:spacing w:before="120"/>
        <w:ind w:left="331"/>
        <w:jc w:val="both"/>
        <w:rPr>
          <w:sz w:val="22"/>
        </w:rPr>
      </w:pPr>
      <w:r w:rsidRPr="00771619">
        <w:rPr>
          <w:b/>
          <w:bCs/>
          <w:sz w:val="22"/>
          <w:szCs w:val="24"/>
          <w:lang w:val="en-US"/>
        </w:rPr>
        <w:t>2.</w:t>
      </w:r>
      <w:r w:rsidRPr="00771619">
        <w:rPr>
          <w:sz w:val="22"/>
          <w:szCs w:val="24"/>
          <w:lang w:val="en-US"/>
        </w:rPr>
        <w:tab/>
        <w:t>This Act commences on 1 November 1993.</w:t>
      </w:r>
    </w:p>
    <w:p w14:paraId="106AD8E0" w14:textId="77777777" w:rsidR="004C0CAF" w:rsidRPr="00771619" w:rsidRDefault="004C0CAF" w:rsidP="00771619">
      <w:pPr>
        <w:shd w:val="clear" w:color="auto" w:fill="FFFFFF"/>
        <w:spacing w:before="120"/>
        <w:ind w:left="5"/>
        <w:jc w:val="both"/>
        <w:rPr>
          <w:sz w:val="22"/>
        </w:rPr>
      </w:pPr>
      <w:r w:rsidRPr="00771619">
        <w:rPr>
          <w:b/>
          <w:bCs/>
          <w:sz w:val="22"/>
          <w:szCs w:val="24"/>
          <w:lang w:val="en-US"/>
        </w:rPr>
        <w:t>Interpretation</w:t>
      </w:r>
    </w:p>
    <w:p w14:paraId="6E0ED38D" w14:textId="77777777" w:rsidR="004C0CAF" w:rsidRPr="00771619" w:rsidRDefault="004C0CAF" w:rsidP="00771619">
      <w:pPr>
        <w:shd w:val="clear" w:color="auto" w:fill="FFFFFF"/>
        <w:spacing w:before="120"/>
        <w:ind w:left="5" w:firstLine="326"/>
        <w:jc w:val="both"/>
        <w:rPr>
          <w:sz w:val="22"/>
        </w:rPr>
      </w:pPr>
      <w:r w:rsidRPr="00771619">
        <w:rPr>
          <w:b/>
          <w:bCs/>
          <w:sz w:val="22"/>
          <w:szCs w:val="24"/>
          <w:lang w:val="en-US"/>
        </w:rPr>
        <w:t xml:space="preserve">3.(1) </w:t>
      </w:r>
      <w:r w:rsidRPr="00771619">
        <w:rPr>
          <w:sz w:val="22"/>
          <w:szCs w:val="24"/>
          <w:lang w:val="en-US"/>
        </w:rPr>
        <w:t xml:space="preserve">In this Act, unless the contrary intention appears, expressions have the same meanings as in the </w:t>
      </w:r>
      <w:r w:rsidRPr="00771619">
        <w:rPr>
          <w:i/>
          <w:iCs/>
          <w:sz w:val="22"/>
          <w:szCs w:val="24"/>
          <w:lang w:val="en-US"/>
        </w:rPr>
        <w:t>Migration Act 1958.</w:t>
      </w:r>
    </w:p>
    <w:p w14:paraId="49D6C1AE" w14:textId="1BCDE95F" w:rsidR="00775FAE" w:rsidRDefault="004C0CAF" w:rsidP="00771619">
      <w:pPr>
        <w:shd w:val="clear" w:color="auto" w:fill="FFFFFF"/>
        <w:spacing w:before="120"/>
        <w:ind w:left="5" w:firstLine="326"/>
        <w:jc w:val="both"/>
        <w:rPr>
          <w:sz w:val="22"/>
          <w:szCs w:val="24"/>
          <w:lang w:val="en-US"/>
        </w:rPr>
        <w:sectPr w:rsidR="00775FAE" w:rsidSect="00E324AE">
          <w:headerReference w:type="default" r:id="rId9"/>
          <w:type w:val="continuous"/>
          <w:pgSz w:w="12240" w:h="15840"/>
          <w:pgMar w:top="1440" w:right="1440" w:bottom="1440" w:left="1440" w:header="720" w:footer="720" w:gutter="0"/>
          <w:cols w:space="60"/>
          <w:noEndnote/>
          <w:titlePg/>
          <w:docGrid w:linePitch="272"/>
        </w:sectPr>
      </w:pPr>
      <w:r w:rsidRPr="00771619">
        <w:rPr>
          <w:b/>
          <w:bCs/>
          <w:sz w:val="22"/>
          <w:szCs w:val="24"/>
          <w:lang w:val="en-US"/>
        </w:rPr>
        <w:t>(2)</w:t>
      </w:r>
      <w:r w:rsidRPr="00771619">
        <w:rPr>
          <w:sz w:val="22"/>
          <w:szCs w:val="24"/>
          <w:lang w:val="en-US"/>
        </w:rPr>
        <w:t xml:space="preserve"> In this Act, </w:t>
      </w:r>
      <w:r w:rsidRPr="00055ACD">
        <w:rPr>
          <w:bCs/>
          <w:sz w:val="22"/>
          <w:szCs w:val="24"/>
          <w:lang w:val="en-US"/>
        </w:rPr>
        <w:t>“</w:t>
      </w:r>
      <w:r w:rsidRPr="00771619">
        <w:rPr>
          <w:b/>
          <w:bCs/>
          <w:sz w:val="22"/>
          <w:szCs w:val="24"/>
          <w:lang w:val="en-US"/>
        </w:rPr>
        <w:t>entry permit</w:t>
      </w:r>
      <w:r w:rsidRPr="00055ACD">
        <w:rPr>
          <w:bCs/>
          <w:sz w:val="22"/>
          <w:szCs w:val="24"/>
          <w:lang w:val="en-US"/>
        </w:rPr>
        <w:t>”,</w:t>
      </w:r>
      <w:r w:rsidRPr="00771619">
        <w:rPr>
          <w:b/>
          <w:bCs/>
          <w:sz w:val="22"/>
          <w:szCs w:val="24"/>
          <w:lang w:val="en-US"/>
        </w:rPr>
        <w:t xml:space="preserve"> </w:t>
      </w:r>
      <w:r w:rsidRPr="00055ACD">
        <w:rPr>
          <w:bCs/>
          <w:sz w:val="22"/>
          <w:szCs w:val="24"/>
          <w:lang w:val="en-US"/>
        </w:rPr>
        <w:t>“</w:t>
      </w:r>
      <w:r w:rsidRPr="00771619">
        <w:rPr>
          <w:b/>
          <w:bCs/>
          <w:sz w:val="22"/>
          <w:szCs w:val="24"/>
          <w:lang w:val="en-US"/>
        </w:rPr>
        <w:t>entry visa</w:t>
      </w:r>
      <w:r w:rsidRPr="00055ACD">
        <w:rPr>
          <w:bCs/>
          <w:sz w:val="22"/>
          <w:szCs w:val="24"/>
          <w:lang w:val="en-US"/>
        </w:rPr>
        <w:t>”,</w:t>
      </w:r>
      <w:r w:rsidRPr="00771619">
        <w:rPr>
          <w:b/>
          <w:bCs/>
          <w:sz w:val="22"/>
          <w:szCs w:val="24"/>
          <w:lang w:val="en-US"/>
        </w:rPr>
        <w:t xml:space="preserve"> </w:t>
      </w:r>
      <w:r w:rsidRPr="00055ACD">
        <w:rPr>
          <w:bCs/>
          <w:sz w:val="22"/>
          <w:szCs w:val="24"/>
          <w:lang w:val="en-US"/>
        </w:rPr>
        <w:t>“</w:t>
      </w:r>
      <w:r w:rsidRPr="00771619">
        <w:rPr>
          <w:b/>
          <w:bCs/>
          <w:sz w:val="22"/>
          <w:szCs w:val="24"/>
          <w:lang w:val="en-US"/>
        </w:rPr>
        <w:t>illegal entrant</w:t>
      </w:r>
      <w:r w:rsidRPr="00055ACD">
        <w:rPr>
          <w:bCs/>
          <w:sz w:val="22"/>
          <w:szCs w:val="24"/>
          <w:lang w:val="en-US"/>
        </w:rPr>
        <w:t>”,</w:t>
      </w:r>
      <w:r w:rsidRPr="00771619">
        <w:rPr>
          <w:b/>
          <w:bCs/>
          <w:sz w:val="22"/>
          <w:szCs w:val="24"/>
          <w:lang w:val="en-US"/>
        </w:rPr>
        <w:t xml:space="preserve"> </w:t>
      </w:r>
      <w:r w:rsidRPr="00055ACD">
        <w:rPr>
          <w:bCs/>
          <w:sz w:val="22"/>
          <w:szCs w:val="24"/>
          <w:lang w:val="en-US"/>
        </w:rPr>
        <w:t>“</w:t>
      </w:r>
      <w:r w:rsidRPr="00771619">
        <w:rPr>
          <w:b/>
          <w:bCs/>
          <w:sz w:val="22"/>
          <w:szCs w:val="24"/>
          <w:lang w:val="en-US"/>
        </w:rPr>
        <w:t>prohibited immigrant</w:t>
      </w:r>
      <w:r w:rsidRPr="00055ACD">
        <w:rPr>
          <w:bCs/>
          <w:sz w:val="22"/>
          <w:szCs w:val="24"/>
          <w:lang w:val="en-US"/>
        </w:rPr>
        <w:t>”</w:t>
      </w:r>
      <w:r w:rsidRPr="00771619">
        <w:rPr>
          <w:b/>
          <w:bCs/>
          <w:sz w:val="22"/>
          <w:szCs w:val="24"/>
          <w:lang w:val="en-US"/>
        </w:rPr>
        <w:t xml:space="preserve"> </w:t>
      </w:r>
      <w:r w:rsidRPr="00771619">
        <w:rPr>
          <w:sz w:val="22"/>
          <w:szCs w:val="24"/>
          <w:lang w:val="en-US"/>
        </w:rPr>
        <w:t xml:space="preserve">and </w:t>
      </w:r>
      <w:r w:rsidRPr="00055ACD">
        <w:rPr>
          <w:bCs/>
          <w:sz w:val="22"/>
          <w:szCs w:val="24"/>
          <w:lang w:val="en-US"/>
        </w:rPr>
        <w:t>“</w:t>
      </w:r>
      <w:r w:rsidRPr="00771619">
        <w:rPr>
          <w:b/>
          <w:bCs/>
          <w:sz w:val="22"/>
          <w:szCs w:val="24"/>
          <w:lang w:val="en-US"/>
        </w:rPr>
        <w:t>prohibited non-citizen</w:t>
      </w:r>
      <w:r w:rsidRPr="00055ACD">
        <w:rPr>
          <w:bCs/>
          <w:sz w:val="22"/>
          <w:szCs w:val="24"/>
          <w:lang w:val="en-US"/>
        </w:rPr>
        <w:t>”</w:t>
      </w:r>
      <w:r w:rsidRPr="00771619">
        <w:rPr>
          <w:b/>
          <w:bCs/>
          <w:sz w:val="22"/>
          <w:szCs w:val="24"/>
          <w:lang w:val="en-US"/>
        </w:rPr>
        <w:t xml:space="preserve"> </w:t>
      </w:r>
      <w:r w:rsidRPr="00771619">
        <w:rPr>
          <w:sz w:val="22"/>
          <w:szCs w:val="24"/>
          <w:lang w:val="en-US"/>
        </w:rPr>
        <w:t>have the meanings</w:t>
      </w:r>
    </w:p>
    <w:p w14:paraId="4ED11AFC" w14:textId="22A21EA5" w:rsidR="004C0CAF" w:rsidRPr="00771619" w:rsidRDefault="004C0CAF" w:rsidP="00771619">
      <w:pPr>
        <w:shd w:val="clear" w:color="auto" w:fill="FFFFFF"/>
        <w:spacing w:before="120"/>
        <w:jc w:val="both"/>
        <w:rPr>
          <w:sz w:val="22"/>
        </w:rPr>
      </w:pPr>
      <w:r w:rsidRPr="00771619">
        <w:rPr>
          <w:sz w:val="22"/>
          <w:szCs w:val="24"/>
          <w:lang w:val="en-US"/>
        </w:rPr>
        <w:lastRenderedPageBreak/>
        <w:t xml:space="preserve">they had in the </w:t>
      </w:r>
      <w:r w:rsidRPr="00771619">
        <w:rPr>
          <w:i/>
          <w:iCs/>
          <w:sz w:val="22"/>
          <w:szCs w:val="24"/>
          <w:lang w:val="en-US"/>
        </w:rPr>
        <w:t xml:space="preserve">Migration Act 1958 </w:t>
      </w:r>
      <w:r w:rsidRPr="00771619">
        <w:rPr>
          <w:sz w:val="22"/>
          <w:szCs w:val="24"/>
          <w:lang w:val="en-US"/>
        </w:rPr>
        <w:t>as in force at any time before the commencement of this Act.</w:t>
      </w:r>
    </w:p>
    <w:p w14:paraId="4705092B" w14:textId="77777777" w:rsidR="004C0CAF" w:rsidRPr="00771619" w:rsidRDefault="004C0CAF" w:rsidP="00771619">
      <w:pPr>
        <w:shd w:val="clear" w:color="auto" w:fill="FFFFFF"/>
        <w:spacing w:before="120"/>
        <w:ind w:left="341"/>
        <w:jc w:val="both"/>
        <w:rPr>
          <w:sz w:val="22"/>
        </w:rPr>
      </w:pPr>
      <w:r w:rsidRPr="00771619">
        <w:rPr>
          <w:b/>
          <w:bCs/>
          <w:sz w:val="22"/>
          <w:szCs w:val="24"/>
          <w:lang w:val="en-US"/>
        </w:rPr>
        <w:t>(3)</w:t>
      </w:r>
      <w:r w:rsidRPr="00771619">
        <w:rPr>
          <w:sz w:val="22"/>
          <w:szCs w:val="24"/>
          <w:lang w:val="en-US"/>
        </w:rPr>
        <w:t xml:space="preserve"> In this Act:</w:t>
      </w:r>
    </w:p>
    <w:p w14:paraId="273D855F" w14:textId="24E7E6E5" w:rsidR="004C0CAF" w:rsidRPr="00771619" w:rsidRDefault="004C0CAF" w:rsidP="00771619">
      <w:pPr>
        <w:shd w:val="clear" w:color="auto" w:fill="FFFFFF"/>
        <w:spacing w:before="120"/>
        <w:ind w:left="5"/>
        <w:jc w:val="both"/>
        <w:rPr>
          <w:sz w:val="22"/>
        </w:rPr>
      </w:pPr>
      <w:r w:rsidRPr="00771619">
        <w:rPr>
          <w:b/>
          <w:bCs/>
          <w:sz w:val="22"/>
          <w:szCs w:val="24"/>
          <w:lang w:val="en-US"/>
        </w:rPr>
        <w:t>“unlawful presence period”</w:t>
      </w:r>
      <w:r w:rsidRPr="00055ACD">
        <w:rPr>
          <w:bCs/>
          <w:sz w:val="22"/>
          <w:szCs w:val="24"/>
          <w:lang w:val="en-US"/>
        </w:rPr>
        <w:t xml:space="preserve">, </w:t>
      </w:r>
      <w:r w:rsidRPr="00771619">
        <w:rPr>
          <w:sz w:val="22"/>
          <w:szCs w:val="24"/>
          <w:lang w:val="en-US"/>
        </w:rPr>
        <w:t>in relation to a non-citizen who applies for a visa, means a period before the application when he or she was an unlawful non-citizen, illegal entrant, prohibited immigrant or prohibited non-citizen, not being:</w:t>
      </w:r>
    </w:p>
    <w:p w14:paraId="7E3263AD" w14:textId="77777777" w:rsidR="004C0CAF" w:rsidRPr="00771619" w:rsidRDefault="004C0CAF" w:rsidP="00771619">
      <w:pPr>
        <w:numPr>
          <w:ilvl w:val="0"/>
          <w:numId w:val="1"/>
        </w:numPr>
        <w:shd w:val="clear" w:color="auto" w:fill="FFFFFF"/>
        <w:tabs>
          <w:tab w:val="left" w:pos="787"/>
        </w:tabs>
        <w:spacing w:before="120"/>
        <w:ind w:left="787" w:hanging="398"/>
        <w:jc w:val="both"/>
        <w:rPr>
          <w:sz w:val="22"/>
          <w:szCs w:val="24"/>
          <w:lang w:val="en-US"/>
        </w:rPr>
      </w:pPr>
      <w:r w:rsidRPr="00771619">
        <w:rPr>
          <w:sz w:val="22"/>
          <w:szCs w:val="24"/>
          <w:lang w:val="en-US"/>
        </w:rPr>
        <w:t>any period before the non-citizen was granted another visa on the application for which visa tax was paid; or</w:t>
      </w:r>
    </w:p>
    <w:p w14:paraId="6E26DFB4" w14:textId="77777777" w:rsidR="004C0CAF" w:rsidRPr="00771619" w:rsidRDefault="004C0CAF" w:rsidP="00771619">
      <w:pPr>
        <w:numPr>
          <w:ilvl w:val="0"/>
          <w:numId w:val="1"/>
        </w:numPr>
        <w:shd w:val="clear" w:color="auto" w:fill="FFFFFF"/>
        <w:tabs>
          <w:tab w:val="left" w:pos="787"/>
        </w:tabs>
        <w:spacing w:before="120"/>
        <w:ind w:left="787" w:hanging="398"/>
        <w:jc w:val="both"/>
        <w:rPr>
          <w:sz w:val="22"/>
          <w:szCs w:val="24"/>
          <w:lang w:val="en-US"/>
        </w:rPr>
      </w:pPr>
      <w:r w:rsidRPr="00771619">
        <w:rPr>
          <w:sz w:val="22"/>
          <w:szCs w:val="24"/>
          <w:lang w:val="en-US"/>
        </w:rPr>
        <w:t>any period before the non-citizen was granted another visa on the application for which visa tax was not imposed other than a bridging visa; or</w:t>
      </w:r>
    </w:p>
    <w:p w14:paraId="6460DFF8" w14:textId="77777777" w:rsidR="004C0CAF" w:rsidRPr="00771619" w:rsidRDefault="004C0CAF" w:rsidP="00771619">
      <w:pPr>
        <w:numPr>
          <w:ilvl w:val="0"/>
          <w:numId w:val="1"/>
        </w:numPr>
        <w:shd w:val="clear" w:color="auto" w:fill="FFFFFF"/>
        <w:tabs>
          <w:tab w:val="left" w:pos="787"/>
        </w:tabs>
        <w:spacing w:before="120"/>
        <w:ind w:left="787" w:hanging="398"/>
        <w:jc w:val="both"/>
        <w:rPr>
          <w:sz w:val="22"/>
          <w:szCs w:val="24"/>
          <w:lang w:val="en-US"/>
        </w:rPr>
      </w:pPr>
      <w:r w:rsidRPr="00771619">
        <w:rPr>
          <w:sz w:val="22"/>
          <w:szCs w:val="24"/>
          <w:lang w:val="en-US"/>
        </w:rPr>
        <w:t>any period between the non-citizen making an unsuccessful application for a visa and the final determination of the unsuccessful application; or</w:t>
      </w:r>
    </w:p>
    <w:p w14:paraId="737D165D" w14:textId="77777777" w:rsidR="004C0CAF" w:rsidRPr="00771619" w:rsidRDefault="004C0CAF" w:rsidP="00771619">
      <w:pPr>
        <w:numPr>
          <w:ilvl w:val="0"/>
          <w:numId w:val="1"/>
        </w:numPr>
        <w:shd w:val="clear" w:color="auto" w:fill="FFFFFF"/>
        <w:tabs>
          <w:tab w:val="left" w:pos="787"/>
        </w:tabs>
        <w:spacing w:before="120"/>
        <w:ind w:left="787" w:hanging="398"/>
        <w:jc w:val="both"/>
        <w:rPr>
          <w:sz w:val="22"/>
          <w:szCs w:val="24"/>
          <w:lang w:val="en-US"/>
        </w:rPr>
      </w:pPr>
      <w:r w:rsidRPr="00771619">
        <w:rPr>
          <w:sz w:val="22"/>
          <w:szCs w:val="24"/>
          <w:lang w:val="en-US"/>
        </w:rPr>
        <w:t>any period before the grant to the non-citizen of an entry visa or entry permit; or</w:t>
      </w:r>
    </w:p>
    <w:p w14:paraId="20CFF5DB" w14:textId="77777777" w:rsidR="004C0CAF" w:rsidRPr="00771619" w:rsidRDefault="004C0CAF" w:rsidP="00771619">
      <w:pPr>
        <w:numPr>
          <w:ilvl w:val="0"/>
          <w:numId w:val="1"/>
        </w:numPr>
        <w:shd w:val="clear" w:color="auto" w:fill="FFFFFF"/>
        <w:tabs>
          <w:tab w:val="left" w:pos="787"/>
        </w:tabs>
        <w:spacing w:before="120"/>
        <w:ind w:left="787" w:hanging="398"/>
        <w:jc w:val="both"/>
        <w:rPr>
          <w:sz w:val="22"/>
          <w:szCs w:val="24"/>
          <w:lang w:val="en-US"/>
        </w:rPr>
      </w:pPr>
      <w:r w:rsidRPr="00771619">
        <w:rPr>
          <w:sz w:val="22"/>
          <w:szCs w:val="24"/>
          <w:lang w:val="en-US"/>
        </w:rPr>
        <w:t>any period between the non-citizen making an unsuccessful application for an entry visa or entry permit and the final determination of the unsuccessful application;</w:t>
      </w:r>
    </w:p>
    <w:p w14:paraId="6517A700" w14:textId="77777777" w:rsidR="004C0CAF" w:rsidRPr="00771619" w:rsidRDefault="004C0CAF" w:rsidP="00771619">
      <w:pPr>
        <w:shd w:val="clear" w:color="auto" w:fill="FFFFFF"/>
        <w:spacing w:before="120"/>
        <w:ind w:left="14"/>
        <w:jc w:val="both"/>
        <w:rPr>
          <w:sz w:val="22"/>
        </w:rPr>
      </w:pPr>
      <w:r w:rsidRPr="00771619">
        <w:rPr>
          <w:b/>
          <w:bCs/>
          <w:sz w:val="22"/>
          <w:szCs w:val="24"/>
          <w:lang w:val="en-US"/>
        </w:rPr>
        <w:t xml:space="preserve">“visa tax” </w:t>
      </w:r>
      <w:r w:rsidRPr="00771619">
        <w:rPr>
          <w:sz w:val="22"/>
          <w:szCs w:val="24"/>
          <w:lang w:val="en-US"/>
        </w:rPr>
        <w:t>means the tax imposed by this Act.</w:t>
      </w:r>
    </w:p>
    <w:p w14:paraId="576EA009" w14:textId="77777777" w:rsidR="004C0CAF" w:rsidRPr="00771619" w:rsidRDefault="004C0CAF" w:rsidP="00771619">
      <w:pPr>
        <w:shd w:val="clear" w:color="auto" w:fill="FFFFFF"/>
        <w:spacing w:before="120"/>
        <w:ind w:left="19"/>
        <w:jc w:val="both"/>
        <w:rPr>
          <w:sz w:val="22"/>
        </w:rPr>
      </w:pPr>
      <w:r w:rsidRPr="00771619">
        <w:rPr>
          <w:b/>
          <w:bCs/>
          <w:sz w:val="22"/>
          <w:szCs w:val="24"/>
          <w:lang w:val="en-US"/>
        </w:rPr>
        <w:t>Imposition of visa tax</w:t>
      </w:r>
    </w:p>
    <w:p w14:paraId="49FE6ED5" w14:textId="77777777" w:rsidR="004C0CAF" w:rsidRPr="00771619" w:rsidRDefault="004C0CAF" w:rsidP="00771619">
      <w:pPr>
        <w:shd w:val="clear" w:color="auto" w:fill="FFFFFF"/>
        <w:spacing w:before="120"/>
        <w:ind w:left="10" w:firstLine="336"/>
        <w:jc w:val="both"/>
        <w:rPr>
          <w:sz w:val="22"/>
        </w:rPr>
      </w:pPr>
      <w:r w:rsidRPr="00771619">
        <w:rPr>
          <w:b/>
          <w:bCs/>
          <w:sz w:val="22"/>
          <w:szCs w:val="24"/>
          <w:lang w:val="en-US"/>
        </w:rPr>
        <w:t xml:space="preserve">4. </w:t>
      </w:r>
      <w:r w:rsidRPr="00771619">
        <w:rPr>
          <w:sz w:val="22"/>
          <w:szCs w:val="24"/>
          <w:lang w:val="en-US"/>
        </w:rPr>
        <w:t>Tax is imposed on an application for a visa by a non-citizen with:</w:t>
      </w:r>
    </w:p>
    <w:p w14:paraId="40EEBAFE" w14:textId="77777777" w:rsidR="004C0CAF" w:rsidRPr="00771619" w:rsidRDefault="004C0CAF" w:rsidP="00771619">
      <w:pPr>
        <w:numPr>
          <w:ilvl w:val="0"/>
          <w:numId w:val="2"/>
        </w:numPr>
        <w:shd w:val="clear" w:color="auto" w:fill="FFFFFF"/>
        <w:tabs>
          <w:tab w:val="left" w:pos="792"/>
        </w:tabs>
        <w:spacing w:before="120"/>
        <w:ind w:left="792" w:hanging="389"/>
        <w:jc w:val="both"/>
        <w:rPr>
          <w:sz w:val="22"/>
          <w:szCs w:val="24"/>
          <w:lang w:val="en-US"/>
        </w:rPr>
      </w:pPr>
      <w:r w:rsidRPr="00771619">
        <w:rPr>
          <w:sz w:val="22"/>
          <w:szCs w:val="24"/>
          <w:lang w:val="en-US"/>
        </w:rPr>
        <w:t>a continuous unlawful presence period of at least 12 months; or</w:t>
      </w:r>
    </w:p>
    <w:p w14:paraId="21888568" w14:textId="77777777" w:rsidR="004C0CAF" w:rsidRPr="00771619" w:rsidRDefault="004C0CAF" w:rsidP="00771619">
      <w:pPr>
        <w:numPr>
          <w:ilvl w:val="0"/>
          <w:numId w:val="2"/>
        </w:numPr>
        <w:shd w:val="clear" w:color="auto" w:fill="FFFFFF"/>
        <w:tabs>
          <w:tab w:val="left" w:pos="792"/>
        </w:tabs>
        <w:spacing w:before="120"/>
        <w:ind w:left="403"/>
        <w:jc w:val="both"/>
        <w:rPr>
          <w:sz w:val="22"/>
          <w:szCs w:val="24"/>
          <w:lang w:val="en-US"/>
        </w:rPr>
      </w:pPr>
      <w:r w:rsidRPr="00771619">
        <w:rPr>
          <w:sz w:val="22"/>
          <w:szCs w:val="24"/>
          <w:lang w:val="en-US"/>
        </w:rPr>
        <w:t>unlawful presence periods adding up to at least 12 months.</w:t>
      </w:r>
    </w:p>
    <w:p w14:paraId="0D72A62D" w14:textId="77777777" w:rsidR="004C0CAF" w:rsidRPr="00771619" w:rsidRDefault="004C0CAF" w:rsidP="00771619">
      <w:pPr>
        <w:shd w:val="clear" w:color="auto" w:fill="FFFFFF"/>
        <w:spacing w:before="120"/>
        <w:ind w:left="14"/>
        <w:jc w:val="both"/>
        <w:rPr>
          <w:sz w:val="22"/>
        </w:rPr>
      </w:pPr>
      <w:r w:rsidRPr="00771619">
        <w:rPr>
          <w:b/>
          <w:bCs/>
          <w:sz w:val="22"/>
          <w:szCs w:val="24"/>
          <w:lang w:val="en-US"/>
        </w:rPr>
        <w:t>Exemptions</w:t>
      </w:r>
    </w:p>
    <w:p w14:paraId="025DB317" w14:textId="77777777" w:rsidR="004C0CAF" w:rsidRPr="00771619" w:rsidRDefault="004C0CAF" w:rsidP="00771619">
      <w:pPr>
        <w:shd w:val="clear" w:color="auto" w:fill="FFFFFF"/>
        <w:spacing w:before="120"/>
        <w:ind w:left="19" w:firstLine="331"/>
        <w:jc w:val="both"/>
        <w:rPr>
          <w:sz w:val="22"/>
        </w:rPr>
      </w:pPr>
      <w:r w:rsidRPr="00771619">
        <w:rPr>
          <w:b/>
          <w:bCs/>
          <w:sz w:val="22"/>
          <w:szCs w:val="24"/>
          <w:lang w:val="en-US"/>
        </w:rPr>
        <w:t xml:space="preserve">5.(1) </w:t>
      </w:r>
      <w:r w:rsidRPr="00771619">
        <w:rPr>
          <w:sz w:val="22"/>
          <w:szCs w:val="24"/>
          <w:lang w:val="en-US"/>
        </w:rPr>
        <w:t>Visa tax is not imposed on an application for a protection visa or a bridging visa.</w:t>
      </w:r>
    </w:p>
    <w:p w14:paraId="5FAC294F" w14:textId="77777777" w:rsidR="004C0CAF" w:rsidRPr="00771619" w:rsidRDefault="004C0CAF" w:rsidP="00771619">
      <w:pPr>
        <w:numPr>
          <w:ilvl w:val="0"/>
          <w:numId w:val="3"/>
        </w:numPr>
        <w:shd w:val="clear" w:color="auto" w:fill="FFFFFF"/>
        <w:tabs>
          <w:tab w:val="left" w:pos="749"/>
        </w:tabs>
        <w:spacing w:before="120"/>
        <w:ind w:left="10" w:firstLine="341"/>
        <w:jc w:val="both"/>
        <w:rPr>
          <w:b/>
          <w:bCs/>
          <w:sz w:val="22"/>
          <w:szCs w:val="24"/>
          <w:lang w:val="en-US"/>
        </w:rPr>
      </w:pPr>
      <w:r w:rsidRPr="00771619">
        <w:rPr>
          <w:sz w:val="22"/>
          <w:szCs w:val="24"/>
          <w:lang w:val="en-US"/>
        </w:rPr>
        <w:t>Visa tax is not imposed on an application for a visa to be granted when the applicant is outside Australia.</w:t>
      </w:r>
    </w:p>
    <w:p w14:paraId="6AB99F21" w14:textId="77777777" w:rsidR="004C0CAF" w:rsidRPr="00771619" w:rsidRDefault="004C0CAF" w:rsidP="00771619">
      <w:pPr>
        <w:numPr>
          <w:ilvl w:val="0"/>
          <w:numId w:val="4"/>
        </w:numPr>
        <w:shd w:val="clear" w:color="auto" w:fill="FFFFFF"/>
        <w:tabs>
          <w:tab w:val="left" w:pos="749"/>
        </w:tabs>
        <w:spacing w:before="120"/>
        <w:ind w:left="350"/>
        <w:jc w:val="both"/>
        <w:rPr>
          <w:b/>
          <w:bCs/>
          <w:sz w:val="22"/>
          <w:szCs w:val="24"/>
          <w:lang w:val="en-US"/>
        </w:rPr>
      </w:pPr>
      <w:r w:rsidRPr="00771619">
        <w:rPr>
          <w:sz w:val="22"/>
          <w:szCs w:val="24"/>
          <w:lang w:val="en-US"/>
        </w:rPr>
        <w:t>Visa tax is not imposed on an application that is not approved.</w:t>
      </w:r>
    </w:p>
    <w:p w14:paraId="6E1AA740" w14:textId="77777777" w:rsidR="004C0CAF" w:rsidRPr="00771619" w:rsidRDefault="004C0CAF" w:rsidP="00771619">
      <w:pPr>
        <w:numPr>
          <w:ilvl w:val="0"/>
          <w:numId w:val="4"/>
        </w:numPr>
        <w:shd w:val="clear" w:color="auto" w:fill="FFFFFF"/>
        <w:tabs>
          <w:tab w:val="left" w:pos="749"/>
        </w:tabs>
        <w:spacing w:before="120"/>
        <w:ind w:left="350"/>
        <w:jc w:val="both"/>
        <w:rPr>
          <w:b/>
          <w:bCs/>
          <w:sz w:val="22"/>
          <w:szCs w:val="24"/>
          <w:lang w:val="en-US"/>
        </w:rPr>
      </w:pPr>
      <w:r w:rsidRPr="00771619">
        <w:rPr>
          <w:sz w:val="22"/>
          <w:szCs w:val="24"/>
          <w:lang w:val="en-US"/>
        </w:rPr>
        <w:t>Visa tax is not imposed on an application for a visa if:</w:t>
      </w:r>
    </w:p>
    <w:p w14:paraId="0F8F4288" w14:textId="77777777" w:rsidR="004C0CAF" w:rsidRPr="00771619" w:rsidRDefault="004C0CAF" w:rsidP="00771619">
      <w:pPr>
        <w:numPr>
          <w:ilvl w:val="0"/>
          <w:numId w:val="5"/>
        </w:numPr>
        <w:shd w:val="clear" w:color="auto" w:fill="FFFFFF"/>
        <w:tabs>
          <w:tab w:val="left" w:pos="792"/>
        </w:tabs>
        <w:spacing w:before="120"/>
        <w:ind w:left="792" w:hanging="389"/>
        <w:jc w:val="both"/>
        <w:rPr>
          <w:sz w:val="22"/>
          <w:szCs w:val="24"/>
          <w:lang w:val="en-US"/>
        </w:rPr>
      </w:pPr>
      <w:r w:rsidRPr="00771619">
        <w:rPr>
          <w:sz w:val="22"/>
          <w:szCs w:val="24"/>
          <w:lang w:val="en-US"/>
        </w:rPr>
        <w:t>the applicant leaves Australia without the visa being granted; and</w:t>
      </w:r>
    </w:p>
    <w:p w14:paraId="05F80DB0" w14:textId="77777777" w:rsidR="004C0CAF" w:rsidRPr="00771619" w:rsidRDefault="004C0CAF" w:rsidP="00771619">
      <w:pPr>
        <w:numPr>
          <w:ilvl w:val="0"/>
          <w:numId w:val="5"/>
        </w:numPr>
        <w:shd w:val="clear" w:color="auto" w:fill="FFFFFF"/>
        <w:tabs>
          <w:tab w:val="left" w:pos="792"/>
        </w:tabs>
        <w:spacing w:before="120"/>
        <w:ind w:left="403"/>
        <w:jc w:val="both"/>
        <w:rPr>
          <w:sz w:val="22"/>
          <w:szCs w:val="24"/>
          <w:lang w:val="en-US"/>
        </w:rPr>
      </w:pPr>
      <w:r w:rsidRPr="00771619">
        <w:rPr>
          <w:sz w:val="22"/>
          <w:szCs w:val="24"/>
          <w:lang w:val="en-US"/>
        </w:rPr>
        <w:t>the leaving is recorded in movement records; and</w:t>
      </w:r>
    </w:p>
    <w:p w14:paraId="1831C7D8" w14:textId="77777777" w:rsidR="004C0CAF" w:rsidRPr="00771619" w:rsidRDefault="004C0CAF" w:rsidP="00771619">
      <w:pPr>
        <w:numPr>
          <w:ilvl w:val="0"/>
          <w:numId w:val="5"/>
        </w:numPr>
        <w:shd w:val="clear" w:color="auto" w:fill="FFFFFF"/>
        <w:tabs>
          <w:tab w:val="left" w:pos="792"/>
        </w:tabs>
        <w:spacing w:before="120"/>
        <w:ind w:left="403"/>
        <w:jc w:val="both"/>
        <w:rPr>
          <w:sz w:val="22"/>
          <w:szCs w:val="24"/>
          <w:lang w:val="en-US"/>
        </w:rPr>
      </w:pPr>
      <w:r w:rsidRPr="00771619">
        <w:rPr>
          <w:sz w:val="22"/>
          <w:szCs w:val="24"/>
          <w:lang w:val="en-US"/>
        </w:rPr>
        <w:t>the visa is not granted after the leaving.</w:t>
      </w:r>
    </w:p>
    <w:p w14:paraId="48CC7811" w14:textId="77777777" w:rsidR="004C0CAF" w:rsidRPr="00771619" w:rsidRDefault="004C0CAF" w:rsidP="00771619">
      <w:pPr>
        <w:shd w:val="clear" w:color="auto" w:fill="FFFFFF"/>
        <w:tabs>
          <w:tab w:val="left" w:pos="749"/>
        </w:tabs>
        <w:spacing w:before="120"/>
        <w:ind w:left="10" w:firstLine="341"/>
        <w:jc w:val="both"/>
        <w:rPr>
          <w:sz w:val="22"/>
        </w:rPr>
      </w:pPr>
      <w:r w:rsidRPr="00771619">
        <w:rPr>
          <w:b/>
          <w:bCs/>
          <w:sz w:val="22"/>
          <w:szCs w:val="24"/>
          <w:lang w:val="en-US"/>
        </w:rPr>
        <w:t>(5)</w:t>
      </w:r>
      <w:r w:rsidRPr="00771619">
        <w:rPr>
          <w:sz w:val="22"/>
          <w:szCs w:val="24"/>
          <w:lang w:val="en-US"/>
        </w:rPr>
        <w:tab/>
        <w:t>Visa tax is not imposed on an application if the Minister</w:t>
      </w:r>
      <w:r w:rsidR="00771619" w:rsidRPr="00771619">
        <w:rPr>
          <w:sz w:val="22"/>
          <w:szCs w:val="24"/>
          <w:lang w:val="en-US"/>
        </w:rPr>
        <w:t xml:space="preserve"> </w:t>
      </w:r>
      <w:r w:rsidRPr="00771619">
        <w:rPr>
          <w:sz w:val="22"/>
          <w:szCs w:val="24"/>
          <w:lang w:val="en-US"/>
        </w:rPr>
        <w:t>determines, in writing, that its payment would cause the applicant</w:t>
      </w:r>
      <w:r w:rsidR="00771619" w:rsidRPr="00771619">
        <w:rPr>
          <w:sz w:val="22"/>
          <w:szCs w:val="24"/>
          <w:lang w:val="en-US"/>
        </w:rPr>
        <w:t xml:space="preserve"> </w:t>
      </w:r>
      <w:r w:rsidRPr="00771619">
        <w:rPr>
          <w:sz w:val="22"/>
          <w:szCs w:val="24"/>
          <w:lang w:val="en-US"/>
        </w:rPr>
        <w:t>extreme hardship.</w:t>
      </w:r>
    </w:p>
    <w:p w14:paraId="672712C5" w14:textId="77777777" w:rsidR="00AF0477" w:rsidRDefault="00AF0477" w:rsidP="00A425F5">
      <w:pPr>
        <w:shd w:val="clear" w:color="auto" w:fill="FFFFFF"/>
        <w:spacing w:before="120"/>
        <w:jc w:val="both"/>
        <w:rPr>
          <w:b/>
          <w:bCs/>
          <w:sz w:val="22"/>
          <w:szCs w:val="24"/>
          <w:lang w:val="en-US"/>
        </w:rPr>
        <w:sectPr w:rsidR="00AF0477" w:rsidSect="00775FAE">
          <w:pgSz w:w="12240" w:h="15840"/>
          <w:pgMar w:top="1440" w:right="1440" w:bottom="1440" w:left="1440" w:header="720" w:footer="720" w:gutter="0"/>
          <w:cols w:space="60"/>
          <w:noEndnote/>
          <w:docGrid w:linePitch="272"/>
        </w:sectPr>
      </w:pPr>
    </w:p>
    <w:p w14:paraId="6107ED4D" w14:textId="77777777" w:rsidR="004C0CAF" w:rsidRPr="00771619" w:rsidRDefault="004C0CAF" w:rsidP="00A425F5">
      <w:pPr>
        <w:shd w:val="clear" w:color="auto" w:fill="FFFFFF"/>
        <w:spacing w:before="120"/>
        <w:jc w:val="both"/>
        <w:rPr>
          <w:sz w:val="22"/>
        </w:rPr>
      </w:pPr>
      <w:r w:rsidRPr="00771619">
        <w:rPr>
          <w:b/>
          <w:bCs/>
          <w:sz w:val="22"/>
          <w:szCs w:val="24"/>
          <w:lang w:val="en-US"/>
        </w:rPr>
        <w:lastRenderedPageBreak/>
        <w:t>Amount of visa tax</w:t>
      </w:r>
    </w:p>
    <w:p w14:paraId="082785BB" w14:textId="26137C8E" w:rsidR="004C0CAF" w:rsidRDefault="004C0CAF" w:rsidP="00771619">
      <w:pPr>
        <w:shd w:val="clear" w:color="auto" w:fill="FFFFFF"/>
        <w:spacing w:before="120"/>
        <w:ind w:left="5" w:firstLine="336"/>
        <w:jc w:val="both"/>
        <w:rPr>
          <w:sz w:val="22"/>
          <w:szCs w:val="24"/>
          <w:lang w:val="en-US"/>
        </w:rPr>
      </w:pPr>
      <w:r w:rsidRPr="00771619">
        <w:rPr>
          <w:b/>
          <w:bCs/>
          <w:sz w:val="22"/>
          <w:szCs w:val="24"/>
          <w:lang w:val="en-US"/>
        </w:rPr>
        <w:t xml:space="preserve">6.(1) </w:t>
      </w:r>
      <w:r w:rsidRPr="00771619">
        <w:rPr>
          <w:sz w:val="22"/>
          <w:szCs w:val="24"/>
          <w:lang w:val="en-US"/>
        </w:rPr>
        <w:t>The amount of visa tax on an application is the amount calculated using the formula:</w:t>
      </w:r>
    </w:p>
    <w:p w14:paraId="549E1A64" w14:textId="41B230D4" w:rsidR="00DF34E6" w:rsidRPr="00771619" w:rsidRDefault="00DF34E6" w:rsidP="00DF34E6">
      <w:pPr>
        <w:shd w:val="clear" w:color="auto" w:fill="FFFFFF"/>
        <w:spacing w:before="120"/>
        <w:ind w:left="5" w:firstLine="336"/>
        <w:jc w:val="center"/>
        <w:rPr>
          <w:sz w:val="22"/>
        </w:rPr>
      </w:pPr>
      <w:r w:rsidRPr="00DF34E6">
        <w:drawing>
          <wp:inline distT="0" distB="0" distL="0" distR="0" wp14:anchorId="0900A58C" wp14:editId="7F9CEA81">
            <wp:extent cx="2417327" cy="2121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7358" cy="212144"/>
                    </a:xfrm>
                    <a:prstGeom prst="rect">
                      <a:avLst/>
                    </a:prstGeom>
                    <a:noFill/>
                    <a:ln>
                      <a:noFill/>
                    </a:ln>
                  </pic:spPr>
                </pic:pic>
              </a:graphicData>
            </a:graphic>
          </wp:inline>
        </w:drawing>
      </w:r>
    </w:p>
    <w:p w14:paraId="55E6552D" w14:textId="77777777" w:rsidR="004C0CAF" w:rsidRPr="00771619" w:rsidRDefault="004C0CAF" w:rsidP="00771619">
      <w:pPr>
        <w:shd w:val="clear" w:color="auto" w:fill="FFFFFF"/>
        <w:spacing w:before="120"/>
        <w:ind w:left="5"/>
        <w:jc w:val="both"/>
        <w:rPr>
          <w:sz w:val="22"/>
        </w:rPr>
      </w:pPr>
      <w:r w:rsidRPr="00771619">
        <w:rPr>
          <w:sz w:val="22"/>
          <w:szCs w:val="24"/>
          <w:lang w:val="en-US"/>
        </w:rPr>
        <w:t>where:</w:t>
      </w:r>
    </w:p>
    <w:p w14:paraId="005E73CC" w14:textId="77777777" w:rsidR="004C0CAF" w:rsidRPr="00771619" w:rsidRDefault="004C0CAF" w:rsidP="00771619">
      <w:pPr>
        <w:shd w:val="clear" w:color="auto" w:fill="FFFFFF"/>
        <w:spacing w:before="120"/>
        <w:ind w:left="10"/>
        <w:jc w:val="both"/>
        <w:rPr>
          <w:sz w:val="22"/>
        </w:rPr>
      </w:pPr>
      <w:r w:rsidRPr="00771619">
        <w:rPr>
          <w:b/>
          <w:bCs/>
          <w:sz w:val="22"/>
          <w:szCs w:val="24"/>
          <w:lang w:val="en-US"/>
        </w:rPr>
        <w:t xml:space="preserve">“unlawful years” </w:t>
      </w:r>
      <w:r w:rsidRPr="00771619">
        <w:rPr>
          <w:sz w:val="22"/>
          <w:szCs w:val="24"/>
          <w:lang w:val="en-US"/>
        </w:rPr>
        <w:t>means:</w:t>
      </w:r>
    </w:p>
    <w:p w14:paraId="428D016C" w14:textId="77777777" w:rsidR="004C0CAF" w:rsidRPr="00771619" w:rsidRDefault="004C0CAF" w:rsidP="00771619">
      <w:pPr>
        <w:numPr>
          <w:ilvl w:val="0"/>
          <w:numId w:val="6"/>
        </w:numPr>
        <w:shd w:val="clear" w:color="auto" w:fill="FFFFFF"/>
        <w:tabs>
          <w:tab w:val="left" w:pos="778"/>
        </w:tabs>
        <w:spacing w:before="120"/>
        <w:ind w:left="782" w:hanging="394"/>
        <w:jc w:val="both"/>
        <w:rPr>
          <w:sz w:val="22"/>
          <w:szCs w:val="24"/>
          <w:lang w:val="en-US"/>
        </w:rPr>
      </w:pPr>
      <w:r w:rsidRPr="00771619">
        <w:rPr>
          <w:sz w:val="22"/>
          <w:szCs w:val="24"/>
          <w:lang w:val="en-US"/>
        </w:rPr>
        <w:t>if the number calculated by dividing by 12 the number of months in the unlawful presence period, or sum of such periods, of the applicant is a whole number</w:t>
      </w:r>
      <w:r w:rsidRPr="00771619">
        <w:rPr>
          <w:rFonts w:eastAsia="Times New Roman"/>
          <w:sz w:val="22"/>
          <w:szCs w:val="24"/>
          <w:lang w:val="en-US"/>
        </w:rPr>
        <w:t>—the number calculated; or</w:t>
      </w:r>
    </w:p>
    <w:p w14:paraId="367C5B70" w14:textId="77777777" w:rsidR="004C0CAF" w:rsidRPr="00771619" w:rsidRDefault="004C0CAF" w:rsidP="00771619">
      <w:pPr>
        <w:numPr>
          <w:ilvl w:val="0"/>
          <w:numId w:val="6"/>
        </w:numPr>
        <w:shd w:val="clear" w:color="auto" w:fill="FFFFFF"/>
        <w:tabs>
          <w:tab w:val="left" w:pos="778"/>
        </w:tabs>
        <w:spacing w:before="120"/>
        <w:ind w:left="782" w:hanging="394"/>
        <w:jc w:val="both"/>
        <w:rPr>
          <w:sz w:val="22"/>
          <w:szCs w:val="24"/>
          <w:lang w:val="en-US"/>
        </w:rPr>
      </w:pPr>
      <w:r w:rsidRPr="00771619">
        <w:rPr>
          <w:sz w:val="22"/>
          <w:szCs w:val="24"/>
          <w:lang w:val="en-US"/>
        </w:rPr>
        <w:t>if the number calculated is not a whole number</w:t>
      </w:r>
      <w:r w:rsidRPr="00771619">
        <w:rPr>
          <w:rFonts w:eastAsia="Times New Roman"/>
          <w:sz w:val="22"/>
          <w:szCs w:val="24"/>
          <w:lang w:val="en-US"/>
        </w:rPr>
        <w:t>—the next whole number lower than the number calculated;</w:t>
      </w:r>
    </w:p>
    <w:p w14:paraId="5BCC9953" w14:textId="77777777" w:rsidR="004C0CAF" w:rsidRPr="00771619" w:rsidRDefault="004C0CAF" w:rsidP="00771619">
      <w:pPr>
        <w:shd w:val="clear" w:color="auto" w:fill="FFFFFF"/>
        <w:spacing w:before="120"/>
        <w:ind w:left="5"/>
        <w:jc w:val="both"/>
        <w:rPr>
          <w:sz w:val="22"/>
        </w:rPr>
      </w:pPr>
      <w:r w:rsidRPr="00771619">
        <w:rPr>
          <w:b/>
          <w:bCs/>
          <w:sz w:val="22"/>
          <w:szCs w:val="24"/>
          <w:lang w:val="en-US"/>
        </w:rPr>
        <w:t xml:space="preserve">“visa year amount” </w:t>
      </w:r>
      <w:r w:rsidRPr="00771619">
        <w:rPr>
          <w:sz w:val="22"/>
          <w:szCs w:val="24"/>
          <w:lang w:val="en-US"/>
        </w:rPr>
        <w:t>means the year amount for the financial year in which the application is made.</w:t>
      </w:r>
    </w:p>
    <w:p w14:paraId="5322E37C" w14:textId="77777777" w:rsidR="004C0CAF" w:rsidRPr="00771619" w:rsidRDefault="004C0CAF" w:rsidP="00771619">
      <w:pPr>
        <w:shd w:val="clear" w:color="auto" w:fill="FFFFFF"/>
        <w:tabs>
          <w:tab w:val="left" w:pos="725"/>
        </w:tabs>
        <w:spacing w:before="120"/>
        <w:ind w:left="331"/>
        <w:jc w:val="both"/>
        <w:rPr>
          <w:sz w:val="22"/>
        </w:rPr>
      </w:pPr>
      <w:r w:rsidRPr="00771619">
        <w:rPr>
          <w:b/>
          <w:bCs/>
          <w:sz w:val="22"/>
          <w:szCs w:val="24"/>
          <w:lang w:val="en-US"/>
        </w:rPr>
        <w:t>(2)</w:t>
      </w:r>
      <w:r w:rsidRPr="00771619">
        <w:rPr>
          <w:sz w:val="22"/>
          <w:szCs w:val="24"/>
          <w:lang w:val="en-US"/>
        </w:rPr>
        <w:tab/>
        <w:t>The year amount is:</w:t>
      </w:r>
    </w:p>
    <w:p w14:paraId="7C7E002F" w14:textId="77777777" w:rsidR="004C0CAF" w:rsidRPr="00771619" w:rsidRDefault="004C0CAF" w:rsidP="00771619">
      <w:pPr>
        <w:numPr>
          <w:ilvl w:val="0"/>
          <w:numId w:val="7"/>
        </w:numPr>
        <w:shd w:val="clear" w:color="auto" w:fill="FFFFFF"/>
        <w:tabs>
          <w:tab w:val="left" w:pos="778"/>
        </w:tabs>
        <w:spacing w:before="120"/>
        <w:ind w:left="389"/>
        <w:jc w:val="both"/>
        <w:rPr>
          <w:sz w:val="22"/>
          <w:szCs w:val="24"/>
          <w:lang w:val="en-US"/>
        </w:rPr>
      </w:pPr>
      <w:r w:rsidRPr="00771619">
        <w:rPr>
          <w:sz w:val="22"/>
          <w:szCs w:val="24"/>
          <w:lang w:val="en-US"/>
        </w:rPr>
        <w:t>for the financial year 1993-94</w:t>
      </w:r>
      <w:r w:rsidRPr="00771619">
        <w:rPr>
          <w:rFonts w:eastAsia="Times New Roman"/>
          <w:sz w:val="22"/>
          <w:szCs w:val="24"/>
          <w:lang w:val="en-US"/>
        </w:rPr>
        <w:t>—$3,000; or</w:t>
      </w:r>
    </w:p>
    <w:p w14:paraId="08D9F9BF" w14:textId="4171648E" w:rsidR="004C0CAF" w:rsidRPr="00771619" w:rsidRDefault="004C0CAF" w:rsidP="00771619">
      <w:pPr>
        <w:numPr>
          <w:ilvl w:val="0"/>
          <w:numId w:val="8"/>
        </w:numPr>
        <w:shd w:val="clear" w:color="auto" w:fill="FFFFFF"/>
        <w:tabs>
          <w:tab w:val="left" w:pos="778"/>
        </w:tabs>
        <w:spacing w:before="120"/>
        <w:ind w:left="782" w:hanging="394"/>
        <w:jc w:val="both"/>
        <w:rPr>
          <w:sz w:val="22"/>
          <w:szCs w:val="24"/>
          <w:lang w:val="en-US"/>
        </w:rPr>
      </w:pPr>
      <w:r w:rsidRPr="00771619">
        <w:rPr>
          <w:sz w:val="22"/>
          <w:szCs w:val="24"/>
          <w:lang w:val="en-US"/>
        </w:rPr>
        <w:t xml:space="preserve">for a later financial year </w:t>
      </w:r>
      <w:r w:rsidRPr="00055ACD">
        <w:rPr>
          <w:bCs/>
          <w:sz w:val="22"/>
          <w:szCs w:val="24"/>
          <w:lang w:val="en-US"/>
        </w:rPr>
        <w:t>(</w:t>
      </w:r>
      <w:r w:rsidRPr="00771619">
        <w:rPr>
          <w:b/>
          <w:bCs/>
          <w:sz w:val="22"/>
          <w:szCs w:val="24"/>
          <w:lang w:val="en-US"/>
        </w:rPr>
        <w:t>“later year”</w:t>
      </w:r>
      <w:r w:rsidRPr="00055ACD">
        <w:rPr>
          <w:bCs/>
          <w:sz w:val="22"/>
          <w:szCs w:val="24"/>
          <w:lang w:val="en-US"/>
        </w:rPr>
        <w:t>)</w:t>
      </w:r>
      <w:r w:rsidRPr="00771619">
        <w:rPr>
          <w:rFonts w:eastAsia="Times New Roman"/>
          <w:sz w:val="22"/>
          <w:szCs w:val="24"/>
          <w:lang w:val="en-US"/>
        </w:rPr>
        <w:t>—the amount calculated by:</w:t>
      </w:r>
    </w:p>
    <w:p w14:paraId="2D4ED2CE" w14:textId="77777777" w:rsidR="004C0CAF" w:rsidRPr="00771619" w:rsidRDefault="004C0CAF" w:rsidP="00771619">
      <w:pPr>
        <w:shd w:val="clear" w:color="auto" w:fill="FFFFFF"/>
        <w:spacing w:before="120"/>
        <w:ind w:left="1430" w:hanging="341"/>
        <w:jc w:val="both"/>
        <w:rPr>
          <w:sz w:val="22"/>
        </w:rPr>
      </w:pPr>
      <w:r w:rsidRPr="00771619">
        <w:rPr>
          <w:sz w:val="22"/>
          <w:szCs w:val="24"/>
          <w:lang w:val="en-US"/>
        </w:rPr>
        <w:t>(i) taking the year amount fo</w:t>
      </w:r>
      <w:bookmarkStart w:id="0" w:name="_GoBack"/>
      <w:bookmarkEnd w:id="0"/>
      <w:r w:rsidRPr="00771619">
        <w:rPr>
          <w:sz w:val="22"/>
          <w:szCs w:val="24"/>
          <w:lang w:val="en-US"/>
        </w:rPr>
        <w:t>r the financial year just before the later year; and</w:t>
      </w:r>
    </w:p>
    <w:p w14:paraId="43F9E813" w14:textId="77777777" w:rsidR="004C0CAF" w:rsidRPr="00771619" w:rsidRDefault="004C0CAF" w:rsidP="00771619">
      <w:pPr>
        <w:shd w:val="clear" w:color="auto" w:fill="FFFFFF"/>
        <w:spacing w:before="120"/>
        <w:ind w:left="1430" w:hanging="408"/>
        <w:jc w:val="both"/>
        <w:rPr>
          <w:sz w:val="22"/>
        </w:rPr>
      </w:pPr>
      <w:r w:rsidRPr="00771619">
        <w:rPr>
          <w:sz w:val="22"/>
          <w:szCs w:val="24"/>
          <w:lang w:val="en-US"/>
        </w:rPr>
        <w:t>(ii) multiplying that amount taken by the indexation factor for the later year.</w:t>
      </w:r>
    </w:p>
    <w:p w14:paraId="6549066E" w14:textId="41DD465B" w:rsidR="004C0CAF" w:rsidRDefault="004C0CAF" w:rsidP="003C3A4A">
      <w:pPr>
        <w:shd w:val="clear" w:color="auto" w:fill="FFFFFF"/>
        <w:spacing w:before="120" w:after="120"/>
        <w:ind w:firstLine="336"/>
        <w:jc w:val="both"/>
        <w:rPr>
          <w:sz w:val="22"/>
          <w:szCs w:val="24"/>
          <w:lang w:val="en-US"/>
        </w:rPr>
      </w:pPr>
      <w:r w:rsidRPr="00771619">
        <w:rPr>
          <w:b/>
          <w:bCs/>
          <w:sz w:val="22"/>
          <w:szCs w:val="24"/>
          <w:lang w:val="en-US"/>
        </w:rPr>
        <w:t>(3)</w:t>
      </w:r>
      <w:r w:rsidRPr="00771619">
        <w:rPr>
          <w:sz w:val="22"/>
          <w:szCs w:val="24"/>
          <w:lang w:val="en-US"/>
        </w:rPr>
        <w:tab/>
        <w:t>The indexation factor for a later year is calculated using the formula:</w:t>
      </w:r>
    </w:p>
    <w:p w14:paraId="60E0F5B0" w14:textId="70FAD960" w:rsidR="00DF34E6" w:rsidRDefault="00DF34E6" w:rsidP="00DF34E6">
      <w:pPr>
        <w:shd w:val="clear" w:color="auto" w:fill="FFFFFF"/>
        <w:spacing w:before="120" w:after="120"/>
        <w:ind w:firstLine="336"/>
        <w:jc w:val="center"/>
        <w:rPr>
          <w:sz w:val="22"/>
          <w:szCs w:val="24"/>
          <w:lang w:val="en-US"/>
        </w:rPr>
      </w:pPr>
      <w:r w:rsidRPr="00DF34E6">
        <w:drawing>
          <wp:inline distT="0" distB="0" distL="0" distR="0" wp14:anchorId="780136B1" wp14:editId="04440C8F">
            <wp:extent cx="4643835" cy="826618"/>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4732" cy="826778"/>
                    </a:xfrm>
                    <a:prstGeom prst="rect">
                      <a:avLst/>
                    </a:prstGeom>
                    <a:noFill/>
                    <a:ln>
                      <a:noFill/>
                    </a:ln>
                  </pic:spPr>
                </pic:pic>
              </a:graphicData>
            </a:graphic>
          </wp:inline>
        </w:drawing>
      </w:r>
    </w:p>
    <w:p w14:paraId="03846450" w14:textId="77777777" w:rsidR="00AF0477" w:rsidRPr="00771619" w:rsidRDefault="00AF0477" w:rsidP="00AF0477">
      <w:pPr>
        <w:numPr>
          <w:ilvl w:val="0"/>
          <w:numId w:val="9"/>
        </w:numPr>
        <w:shd w:val="clear" w:color="auto" w:fill="FFFFFF"/>
        <w:tabs>
          <w:tab w:val="left" w:pos="730"/>
        </w:tabs>
        <w:spacing w:before="120"/>
        <w:ind w:firstLine="331"/>
        <w:jc w:val="both"/>
        <w:rPr>
          <w:b/>
          <w:bCs/>
          <w:sz w:val="22"/>
          <w:szCs w:val="24"/>
          <w:lang w:val="en-US"/>
        </w:rPr>
      </w:pPr>
      <w:r w:rsidRPr="00771619">
        <w:rPr>
          <w:sz w:val="22"/>
          <w:szCs w:val="24"/>
          <w:lang w:val="en-US"/>
        </w:rPr>
        <w:t xml:space="preserve">The indexation factor is to be calculated to 3 decimal places, but increased by .001 if the 4th </w:t>
      </w:r>
      <w:r w:rsidR="0071796C" w:rsidRPr="00771619">
        <w:rPr>
          <w:sz w:val="22"/>
          <w:szCs w:val="24"/>
          <w:lang w:val="en-US"/>
        </w:rPr>
        <w:t>decimal</w:t>
      </w:r>
      <w:r w:rsidRPr="00771619">
        <w:rPr>
          <w:sz w:val="22"/>
          <w:szCs w:val="24"/>
          <w:lang w:val="en-US"/>
        </w:rPr>
        <w:t xml:space="preserve"> place would have been more than 4.</w:t>
      </w:r>
    </w:p>
    <w:p w14:paraId="0908FCE6" w14:textId="77777777" w:rsidR="00AF0477" w:rsidRPr="00771619" w:rsidRDefault="00AF0477" w:rsidP="00AF0477">
      <w:pPr>
        <w:numPr>
          <w:ilvl w:val="0"/>
          <w:numId w:val="9"/>
        </w:numPr>
        <w:shd w:val="clear" w:color="auto" w:fill="FFFFFF"/>
        <w:tabs>
          <w:tab w:val="left" w:pos="730"/>
        </w:tabs>
        <w:spacing w:before="120"/>
        <w:ind w:left="331"/>
        <w:jc w:val="both"/>
        <w:rPr>
          <w:b/>
          <w:bCs/>
          <w:sz w:val="22"/>
          <w:szCs w:val="24"/>
          <w:lang w:val="en-US"/>
        </w:rPr>
      </w:pPr>
      <w:r w:rsidRPr="00771619">
        <w:rPr>
          <w:sz w:val="22"/>
          <w:szCs w:val="24"/>
          <w:lang w:val="en-US"/>
        </w:rPr>
        <w:t>Calculations under subsection (3):</w:t>
      </w:r>
    </w:p>
    <w:p w14:paraId="38DAC0FF" w14:textId="77777777" w:rsidR="00AF0477" w:rsidRPr="00771619" w:rsidRDefault="00AF0477" w:rsidP="00AF0477">
      <w:pPr>
        <w:numPr>
          <w:ilvl w:val="0"/>
          <w:numId w:val="10"/>
        </w:numPr>
        <w:shd w:val="clear" w:color="auto" w:fill="FFFFFF"/>
        <w:tabs>
          <w:tab w:val="left" w:pos="773"/>
        </w:tabs>
        <w:spacing w:before="120"/>
        <w:ind w:left="773" w:hanging="394"/>
        <w:jc w:val="both"/>
        <w:rPr>
          <w:sz w:val="22"/>
          <w:szCs w:val="24"/>
          <w:lang w:val="en-US"/>
        </w:rPr>
      </w:pPr>
      <w:r w:rsidRPr="00771619">
        <w:rPr>
          <w:sz w:val="22"/>
          <w:szCs w:val="24"/>
          <w:lang w:val="en-US"/>
        </w:rPr>
        <w:t>are to be made using only the index numbers published in terms of the most recently published reference base for the Consumer Price Index; and</w:t>
      </w:r>
    </w:p>
    <w:p w14:paraId="3B2ACE61" w14:textId="77777777" w:rsidR="00AF0477" w:rsidRPr="00771619" w:rsidRDefault="00AF0477" w:rsidP="00AF0477">
      <w:pPr>
        <w:numPr>
          <w:ilvl w:val="0"/>
          <w:numId w:val="10"/>
        </w:numPr>
        <w:shd w:val="clear" w:color="auto" w:fill="FFFFFF"/>
        <w:tabs>
          <w:tab w:val="left" w:pos="773"/>
        </w:tabs>
        <w:spacing w:before="120"/>
        <w:ind w:left="773" w:hanging="394"/>
        <w:jc w:val="both"/>
        <w:rPr>
          <w:sz w:val="22"/>
          <w:szCs w:val="24"/>
          <w:lang w:val="en-US"/>
        </w:rPr>
      </w:pPr>
      <w:r w:rsidRPr="00771619">
        <w:rPr>
          <w:sz w:val="22"/>
          <w:szCs w:val="24"/>
          <w:lang w:val="en-US"/>
        </w:rPr>
        <w:t>are to disregard indexation numbers that are published in substitution for previously published index numbers (except where the substituted numbers are published to take account of changes in the reference base).</w:t>
      </w:r>
    </w:p>
    <w:p w14:paraId="743C2D9C" w14:textId="77777777" w:rsidR="00AF0477" w:rsidRPr="00771619" w:rsidRDefault="00AF0477" w:rsidP="00AF0477">
      <w:pPr>
        <w:shd w:val="clear" w:color="auto" w:fill="FFFFFF"/>
        <w:tabs>
          <w:tab w:val="left" w:pos="730"/>
        </w:tabs>
        <w:spacing w:before="120"/>
        <w:ind w:left="331"/>
        <w:jc w:val="both"/>
        <w:rPr>
          <w:sz w:val="22"/>
        </w:rPr>
      </w:pPr>
      <w:r w:rsidRPr="00771619">
        <w:rPr>
          <w:b/>
          <w:bCs/>
          <w:sz w:val="22"/>
          <w:szCs w:val="24"/>
          <w:lang w:val="en-US"/>
        </w:rPr>
        <w:t>(6)</w:t>
      </w:r>
      <w:r w:rsidRPr="00771619">
        <w:rPr>
          <w:sz w:val="22"/>
          <w:szCs w:val="24"/>
          <w:lang w:val="en-US"/>
        </w:rPr>
        <w:tab/>
        <w:t>In subsections (3) and (5):</w:t>
      </w:r>
    </w:p>
    <w:p w14:paraId="43AEB9B9" w14:textId="77777777" w:rsidR="00AF0477" w:rsidRPr="00771619" w:rsidRDefault="00AF0477" w:rsidP="00AF0477">
      <w:pPr>
        <w:shd w:val="clear" w:color="auto" w:fill="FFFFFF"/>
        <w:spacing w:before="120"/>
        <w:ind w:left="10"/>
        <w:jc w:val="both"/>
        <w:rPr>
          <w:sz w:val="22"/>
        </w:rPr>
      </w:pPr>
      <w:r w:rsidRPr="00771619">
        <w:rPr>
          <w:b/>
          <w:bCs/>
          <w:sz w:val="22"/>
          <w:szCs w:val="24"/>
          <w:lang w:val="en-US"/>
        </w:rPr>
        <w:t xml:space="preserve">“CPI quarter” </w:t>
      </w:r>
      <w:r w:rsidRPr="00771619">
        <w:rPr>
          <w:sz w:val="22"/>
          <w:szCs w:val="24"/>
          <w:lang w:val="en-US"/>
        </w:rPr>
        <w:t>means a period of 3 months ending on 31 March, 30 June, 30 September or 31 December;</w:t>
      </w:r>
    </w:p>
    <w:p w14:paraId="2117D862" w14:textId="77777777" w:rsidR="00AF0477" w:rsidRPr="00771619" w:rsidRDefault="00AF0477" w:rsidP="00AF0477">
      <w:pPr>
        <w:shd w:val="clear" w:color="auto" w:fill="FFFFFF"/>
        <w:spacing w:before="120"/>
        <w:jc w:val="both"/>
        <w:rPr>
          <w:sz w:val="22"/>
        </w:rPr>
      </w:pPr>
    </w:p>
    <w:p w14:paraId="2AD4E9D7" w14:textId="77777777" w:rsidR="004C0CAF" w:rsidRPr="00771619" w:rsidRDefault="004C0CAF" w:rsidP="00771619">
      <w:pPr>
        <w:shd w:val="clear" w:color="auto" w:fill="FFFFFF"/>
        <w:spacing w:before="120"/>
        <w:ind w:firstLine="336"/>
        <w:jc w:val="both"/>
        <w:rPr>
          <w:sz w:val="22"/>
        </w:rPr>
        <w:sectPr w:rsidR="004C0CAF" w:rsidRPr="00771619" w:rsidSect="00AF0477">
          <w:headerReference w:type="default" r:id="rId12"/>
          <w:pgSz w:w="12240" w:h="15840"/>
          <w:pgMar w:top="1440" w:right="1440" w:bottom="1440" w:left="1440" w:header="720" w:footer="720" w:gutter="0"/>
          <w:cols w:space="60"/>
          <w:noEndnote/>
          <w:docGrid w:linePitch="272"/>
        </w:sectPr>
      </w:pPr>
    </w:p>
    <w:p w14:paraId="451BA676" w14:textId="77777777" w:rsidR="004C0CAF" w:rsidRPr="00771619" w:rsidRDefault="004C0CAF" w:rsidP="00771619">
      <w:pPr>
        <w:shd w:val="clear" w:color="auto" w:fill="FFFFFF"/>
        <w:spacing w:before="120"/>
        <w:jc w:val="both"/>
        <w:rPr>
          <w:sz w:val="22"/>
        </w:rPr>
      </w:pPr>
      <w:r w:rsidRPr="00270788">
        <w:rPr>
          <w:b/>
          <w:bCs/>
          <w:sz w:val="22"/>
          <w:szCs w:val="24"/>
          <w:lang w:val="en-US"/>
        </w:rPr>
        <w:lastRenderedPageBreak/>
        <w:t xml:space="preserve">“index </w:t>
      </w:r>
      <w:r w:rsidRPr="00771619">
        <w:rPr>
          <w:b/>
          <w:bCs/>
          <w:sz w:val="22"/>
          <w:szCs w:val="24"/>
          <w:lang w:val="en-US"/>
        </w:rPr>
        <w:t xml:space="preserve">number” </w:t>
      </w:r>
      <w:r w:rsidRPr="00771619">
        <w:rPr>
          <w:sz w:val="22"/>
          <w:szCs w:val="24"/>
          <w:lang w:val="en-US"/>
        </w:rPr>
        <w:t>means the All Groups Consumer Price Index number (being the weighted average of the 8 capital cities) published by the Australian Statistician.</w:t>
      </w:r>
    </w:p>
    <w:p w14:paraId="50CDD009" w14:textId="77777777" w:rsidR="004C0CAF" w:rsidRPr="00771619" w:rsidRDefault="004C0CAF" w:rsidP="00771619">
      <w:pPr>
        <w:shd w:val="clear" w:color="auto" w:fill="FFFFFF"/>
        <w:spacing w:before="120"/>
        <w:ind w:left="14"/>
        <w:jc w:val="both"/>
        <w:rPr>
          <w:sz w:val="22"/>
        </w:rPr>
      </w:pPr>
      <w:r w:rsidRPr="00771619">
        <w:rPr>
          <w:b/>
          <w:bCs/>
          <w:sz w:val="22"/>
          <w:szCs w:val="24"/>
          <w:lang w:val="en-US"/>
        </w:rPr>
        <w:t>Who pays visa tax</w:t>
      </w:r>
    </w:p>
    <w:p w14:paraId="02B2DAF1" w14:textId="77777777" w:rsidR="004C0CAF" w:rsidRPr="00771619" w:rsidRDefault="004C0CAF" w:rsidP="00771619">
      <w:pPr>
        <w:shd w:val="clear" w:color="auto" w:fill="FFFFFF"/>
        <w:spacing w:before="120"/>
        <w:ind w:left="19" w:firstLine="331"/>
        <w:jc w:val="both"/>
        <w:rPr>
          <w:sz w:val="22"/>
        </w:rPr>
      </w:pPr>
      <w:r w:rsidRPr="00771619">
        <w:rPr>
          <w:b/>
          <w:bCs/>
          <w:sz w:val="22"/>
          <w:szCs w:val="24"/>
          <w:lang w:val="en-US"/>
        </w:rPr>
        <w:t>7.</w:t>
      </w:r>
      <w:r w:rsidRPr="00771619">
        <w:rPr>
          <w:sz w:val="22"/>
          <w:szCs w:val="24"/>
          <w:lang w:val="en-US"/>
        </w:rPr>
        <w:t xml:space="preserve"> Visa tax on an application for a visa is payable by the applicant for the visa.</w:t>
      </w:r>
    </w:p>
    <w:p w14:paraId="2285F1B8" w14:textId="77777777" w:rsidR="004C0CAF" w:rsidRPr="00270788" w:rsidRDefault="009165FA" w:rsidP="009165FA">
      <w:pPr>
        <w:shd w:val="clear" w:color="auto" w:fill="FFFFFF"/>
        <w:spacing w:before="480"/>
        <w:ind w:left="19"/>
        <w:jc w:val="both"/>
      </w:pPr>
      <w:r w:rsidRPr="00270788">
        <w:rPr>
          <w:noProof/>
          <w:szCs w:val="22"/>
          <w:lang w:val="en-AU" w:eastAsia="en-AU"/>
        </w:rPr>
        <mc:AlternateContent>
          <mc:Choice Requires="wps">
            <w:drawing>
              <wp:anchor distT="0" distB="0" distL="114300" distR="114300" simplePos="0" relativeHeight="251663360" behindDoc="0" locked="0" layoutInCell="1" allowOverlap="1" wp14:anchorId="28686E07" wp14:editId="4951BF9C">
                <wp:simplePos x="0" y="0"/>
                <wp:positionH relativeFrom="column">
                  <wp:posOffset>-47626</wp:posOffset>
                </wp:positionH>
                <wp:positionV relativeFrom="paragraph">
                  <wp:posOffset>109855</wp:posOffset>
                </wp:positionV>
                <wp:extent cx="60864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3EB7F8"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75pt,8.65pt" to="47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" strokecolor="black [3040]"/>
            </w:pict>
          </mc:Fallback>
        </mc:AlternateContent>
      </w:r>
      <w:r w:rsidR="004C0CAF" w:rsidRPr="00270788">
        <w:rPr>
          <w:szCs w:val="22"/>
          <w:lang w:val="en-US"/>
        </w:rPr>
        <w:t>[</w:t>
      </w:r>
      <w:r w:rsidR="004C0CAF" w:rsidRPr="00270788">
        <w:rPr>
          <w:i/>
          <w:iCs/>
          <w:szCs w:val="22"/>
          <w:lang w:val="en-US"/>
        </w:rPr>
        <w:t>Minister’s second reading speech made in</w:t>
      </w:r>
      <w:r w:rsidR="004C0CAF" w:rsidRPr="00270788">
        <w:rPr>
          <w:rFonts w:eastAsia="Times New Roman"/>
          <w:szCs w:val="22"/>
          <w:lang w:val="en-US"/>
        </w:rPr>
        <w:t>—</w:t>
      </w:r>
    </w:p>
    <w:p w14:paraId="0796F318" w14:textId="77777777" w:rsidR="004C0CAF" w:rsidRPr="00270788" w:rsidRDefault="004C0CAF" w:rsidP="009165FA">
      <w:pPr>
        <w:shd w:val="clear" w:color="auto" w:fill="FFFFFF"/>
        <w:ind w:left="768"/>
        <w:jc w:val="both"/>
      </w:pPr>
      <w:r w:rsidRPr="00270788">
        <w:rPr>
          <w:i/>
          <w:iCs/>
          <w:szCs w:val="22"/>
          <w:lang w:val="en-US"/>
        </w:rPr>
        <w:t>House of Representatives on 4 November 1992</w:t>
      </w:r>
    </w:p>
    <w:p w14:paraId="44F8A2A1" w14:textId="77777777" w:rsidR="004C0CAF" w:rsidRPr="00270788" w:rsidRDefault="004C0CAF" w:rsidP="009165FA">
      <w:pPr>
        <w:shd w:val="clear" w:color="auto" w:fill="FFFFFF"/>
        <w:ind w:left="768"/>
        <w:jc w:val="both"/>
      </w:pPr>
      <w:r w:rsidRPr="00270788">
        <w:rPr>
          <w:i/>
          <w:iCs/>
          <w:szCs w:val="22"/>
          <w:lang w:val="en-US"/>
        </w:rPr>
        <w:t>Senate on 12 November 1992</w:t>
      </w:r>
      <w:r w:rsidRPr="00270788">
        <w:rPr>
          <w:szCs w:val="22"/>
          <w:lang w:val="en-US"/>
        </w:rPr>
        <w:t>]</w:t>
      </w:r>
    </w:p>
    <w:sectPr w:rsidR="004C0CAF" w:rsidRPr="00270788" w:rsidSect="00771619">
      <w:headerReference w:type="default" r:id="rId13"/>
      <w:pgSz w:w="12240" w:h="15840"/>
      <w:pgMar w:top="1440" w:right="1440" w:bottom="1440" w:left="1440" w:header="720" w:footer="720" w:gutter="0"/>
      <w:cols w:space="6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B33178" w15:done="0"/>
  <w15:commentEx w15:paraId="65325A65" w15:done="0"/>
  <w15:commentEx w15:paraId="15AC84D4" w15:done="0"/>
  <w15:commentEx w15:paraId="1EDCCD9E" w15:done="0"/>
  <w15:commentEx w15:paraId="19FC275F" w15:done="0"/>
  <w15:commentEx w15:paraId="233096A4" w15:done="0"/>
  <w15:commentEx w15:paraId="26D88891" w15:done="0"/>
  <w15:commentEx w15:paraId="35DABBCC" w15:done="0"/>
  <w15:commentEx w15:paraId="5EFFD266" w15:done="0"/>
  <w15:commentEx w15:paraId="59FEBCBB" w15:done="0"/>
  <w15:commentEx w15:paraId="374037C8" w15:done="0"/>
  <w15:commentEx w15:paraId="234390C8" w15:done="0"/>
  <w15:commentEx w15:paraId="5FF74D10" w15:done="0"/>
  <w15:commentEx w15:paraId="6A9DE3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B33178" w16cid:durableId="20B08AE7"/>
  <w16cid:commentId w16cid:paraId="65325A65" w16cid:durableId="20B08AF0"/>
  <w16cid:commentId w16cid:paraId="15AC84D4" w16cid:durableId="20B08AF5"/>
  <w16cid:commentId w16cid:paraId="1EDCCD9E" w16cid:durableId="20B08AFD"/>
  <w16cid:commentId w16cid:paraId="19FC275F" w16cid:durableId="20B08B02"/>
  <w16cid:commentId w16cid:paraId="233096A4" w16cid:durableId="20B08B09"/>
  <w16cid:commentId w16cid:paraId="26D88891" w16cid:durableId="20B08B0E"/>
  <w16cid:commentId w16cid:paraId="35DABBCC" w16cid:durableId="20B08B14"/>
  <w16cid:commentId w16cid:paraId="5EFFD266" w16cid:durableId="20B08B1A"/>
  <w16cid:commentId w16cid:paraId="59FEBCBB" w16cid:durableId="20B08B20"/>
  <w16cid:commentId w16cid:paraId="374037C8" w16cid:durableId="20B08B87"/>
  <w16cid:commentId w16cid:paraId="234390C8" w16cid:durableId="20B08B2C"/>
  <w16cid:commentId w16cid:paraId="5FF74D10" w16cid:durableId="20B08B51"/>
  <w16cid:commentId w16cid:paraId="6A9DE35B" w16cid:durableId="20B08B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EDB59" w14:textId="77777777" w:rsidR="00182D8E" w:rsidRDefault="00182D8E" w:rsidP="00E324AE">
      <w:r>
        <w:separator/>
      </w:r>
    </w:p>
  </w:endnote>
  <w:endnote w:type="continuationSeparator" w:id="0">
    <w:p w14:paraId="6392AC86" w14:textId="77777777" w:rsidR="00182D8E" w:rsidRDefault="00182D8E" w:rsidP="00E3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5A644" w14:textId="77777777" w:rsidR="00182D8E" w:rsidRDefault="00182D8E" w:rsidP="00E324AE">
      <w:r>
        <w:separator/>
      </w:r>
    </w:p>
  </w:footnote>
  <w:footnote w:type="continuationSeparator" w:id="0">
    <w:p w14:paraId="165AD73E" w14:textId="77777777" w:rsidR="00182D8E" w:rsidRDefault="00182D8E" w:rsidP="00E32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8985E" w14:textId="77777777" w:rsidR="00E324AE" w:rsidRPr="00E8024E" w:rsidRDefault="00E324AE" w:rsidP="00E324AE">
    <w:pPr>
      <w:pStyle w:val="Header"/>
      <w:tabs>
        <w:tab w:val="clear" w:pos="4680"/>
        <w:tab w:val="center" w:pos="5400"/>
      </w:tabs>
      <w:jc w:val="center"/>
      <w:rPr>
        <w:sz w:val="22"/>
        <w:szCs w:val="22"/>
      </w:rPr>
    </w:pPr>
    <w:r w:rsidRPr="00E8024E">
      <w:rPr>
        <w:i/>
        <w:iCs/>
        <w:sz w:val="22"/>
        <w:szCs w:val="22"/>
        <w:lang w:val="en-US" w:eastAsia="en-US"/>
      </w:rPr>
      <w:t>Migration (Delayed Visa Applications) Tax</w:t>
    </w:r>
    <w:r w:rsidRPr="00E8024E">
      <w:rPr>
        <w:i/>
        <w:iCs/>
        <w:sz w:val="22"/>
        <w:szCs w:val="22"/>
        <w:lang w:val="en-US" w:eastAsia="en-US"/>
      </w:rPr>
      <w:tab/>
      <w:t>No. 178, 1992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DE9BE" w14:textId="77777777" w:rsidR="00990E3B" w:rsidRPr="00055ACD" w:rsidRDefault="00990E3B" w:rsidP="00990E3B">
    <w:pPr>
      <w:pStyle w:val="Header"/>
      <w:tabs>
        <w:tab w:val="clear" w:pos="4680"/>
        <w:tab w:val="left" w:pos="1170"/>
        <w:tab w:val="center" w:pos="2520"/>
        <w:tab w:val="left" w:pos="5760"/>
      </w:tabs>
      <w:ind w:firstLine="1080"/>
      <w:jc w:val="center"/>
      <w:rPr>
        <w:sz w:val="22"/>
        <w:szCs w:val="22"/>
      </w:rPr>
    </w:pPr>
    <w:r w:rsidRPr="00055ACD">
      <w:rPr>
        <w:i/>
        <w:iCs/>
        <w:sz w:val="22"/>
        <w:szCs w:val="22"/>
        <w:lang w:val="en-US" w:eastAsia="en-US"/>
      </w:rPr>
      <w:t xml:space="preserve">Migration (Delayed Visa Applications) Tax </w:t>
    </w:r>
    <w:r w:rsidRPr="00055ACD">
      <w:rPr>
        <w:i/>
        <w:iCs/>
        <w:sz w:val="22"/>
        <w:szCs w:val="22"/>
        <w:lang w:val="en-US" w:eastAsia="en-US"/>
      </w:rPr>
      <w:tab/>
      <w:t>No. 178, 1992</w:t>
    </w:r>
    <w:r w:rsidRPr="00055ACD">
      <w:rPr>
        <w:i/>
        <w:iCs/>
        <w:sz w:val="22"/>
        <w:szCs w:val="22"/>
        <w:lang w:val="en-US" w:eastAsia="en-US"/>
      </w:rPr>
      <w:tab/>
    </w:r>
    <w:r w:rsidRPr="00055ACD">
      <w:rPr>
        <w:sz w:val="22"/>
        <w:szCs w:val="22"/>
        <w:lang w:val="en-US" w:eastAsia="en-US"/>
      </w:rPr>
      <w:t>3807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E88C2" w14:textId="77777777" w:rsidR="00857D94" w:rsidRPr="00055ACD" w:rsidRDefault="00857D94" w:rsidP="00990E3B">
    <w:pPr>
      <w:pStyle w:val="Header"/>
      <w:tabs>
        <w:tab w:val="clear" w:pos="4680"/>
        <w:tab w:val="left" w:pos="1170"/>
        <w:tab w:val="center" w:pos="2520"/>
        <w:tab w:val="left" w:pos="5760"/>
      </w:tabs>
      <w:ind w:firstLine="1080"/>
      <w:jc w:val="center"/>
      <w:rPr>
        <w:sz w:val="22"/>
        <w:szCs w:val="22"/>
      </w:rPr>
    </w:pPr>
    <w:r w:rsidRPr="00055ACD">
      <w:rPr>
        <w:i/>
        <w:iCs/>
        <w:sz w:val="22"/>
        <w:szCs w:val="22"/>
        <w:lang w:val="en-US" w:eastAsia="en-US"/>
      </w:rPr>
      <w:t xml:space="preserve">Migration (Delayed Visa Applications) Tax </w:t>
    </w:r>
    <w:r w:rsidRPr="00055ACD">
      <w:rPr>
        <w:i/>
        <w:iCs/>
        <w:sz w:val="22"/>
        <w:szCs w:val="22"/>
        <w:lang w:val="en-US" w:eastAsia="en-US"/>
      </w:rPr>
      <w:tab/>
      <w:t>No. 178,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65AD"/>
    <w:multiLevelType w:val="singleLevel"/>
    <w:tmpl w:val="D0A2953C"/>
    <w:lvl w:ilvl="0">
      <w:start w:val="1"/>
      <w:numFmt w:val="lowerLetter"/>
      <w:lvlText w:val="(%1)"/>
      <w:legacy w:legacy="1" w:legacySpace="0" w:legacyIndent="394"/>
      <w:lvlJc w:val="left"/>
      <w:rPr>
        <w:rFonts w:ascii="Times New Roman" w:hAnsi="Times New Roman" w:cs="Times New Roman" w:hint="default"/>
      </w:rPr>
    </w:lvl>
  </w:abstractNum>
  <w:abstractNum w:abstractNumId="1">
    <w:nsid w:val="05E135B9"/>
    <w:multiLevelType w:val="singleLevel"/>
    <w:tmpl w:val="6FBCEA8C"/>
    <w:lvl w:ilvl="0">
      <w:start w:val="1"/>
      <w:numFmt w:val="lowerLetter"/>
      <w:lvlText w:val="(%1)"/>
      <w:legacy w:legacy="1" w:legacySpace="0" w:legacyIndent="389"/>
      <w:lvlJc w:val="left"/>
      <w:rPr>
        <w:rFonts w:ascii="Times New Roman" w:hAnsi="Times New Roman" w:cs="Times New Roman" w:hint="default"/>
      </w:rPr>
    </w:lvl>
  </w:abstractNum>
  <w:abstractNum w:abstractNumId="2">
    <w:nsid w:val="3227439A"/>
    <w:multiLevelType w:val="singleLevel"/>
    <w:tmpl w:val="46E2BE46"/>
    <w:lvl w:ilvl="0">
      <w:start w:val="4"/>
      <w:numFmt w:val="decimal"/>
      <w:lvlText w:val="(%1)"/>
      <w:legacy w:legacy="1" w:legacySpace="0" w:legacyIndent="399"/>
      <w:lvlJc w:val="left"/>
      <w:rPr>
        <w:rFonts w:ascii="Times New Roman" w:hAnsi="Times New Roman" w:cs="Times New Roman" w:hint="default"/>
      </w:rPr>
    </w:lvl>
  </w:abstractNum>
  <w:abstractNum w:abstractNumId="3">
    <w:nsid w:val="4065304F"/>
    <w:multiLevelType w:val="singleLevel"/>
    <w:tmpl w:val="13B6AF0E"/>
    <w:lvl w:ilvl="0">
      <w:start w:val="1"/>
      <w:numFmt w:val="lowerLetter"/>
      <w:lvlText w:val="(%1)"/>
      <w:legacy w:legacy="1" w:legacySpace="0" w:legacyIndent="398"/>
      <w:lvlJc w:val="left"/>
      <w:rPr>
        <w:rFonts w:ascii="Times New Roman" w:hAnsi="Times New Roman" w:cs="Times New Roman" w:hint="default"/>
      </w:rPr>
    </w:lvl>
  </w:abstractNum>
  <w:abstractNum w:abstractNumId="4">
    <w:nsid w:val="45102C75"/>
    <w:multiLevelType w:val="singleLevel"/>
    <w:tmpl w:val="6FBCEA8C"/>
    <w:lvl w:ilvl="0">
      <w:start w:val="1"/>
      <w:numFmt w:val="lowerLetter"/>
      <w:lvlText w:val="(%1)"/>
      <w:legacy w:legacy="1" w:legacySpace="0" w:legacyIndent="389"/>
      <w:lvlJc w:val="left"/>
      <w:rPr>
        <w:rFonts w:ascii="Times New Roman" w:hAnsi="Times New Roman" w:cs="Times New Roman" w:hint="default"/>
      </w:rPr>
    </w:lvl>
  </w:abstractNum>
  <w:abstractNum w:abstractNumId="5">
    <w:nsid w:val="4768260B"/>
    <w:multiLevelType w:val="singleLevel"/>
    <w:tmpl w:val="360E377A"/>
    <w:lvl w:ilvl="0">
      <w:start w:val="2"/>
      <w:numFmt w:val="decimal"/>
      <w:lvlText w:val="(%1)"/>
      <w:legacy w:legacy="1" w:legacySpace="0" w:legacyIndent="398"/>
      <w:lvlJc w:val="left"/>
      <w:rPr>
        <w:rFonts w:ascii="Times New Roman" w:hAnsi="Times New Roman" w:cs="Times New Roman" w:hint="default"/>
      </w:rPr>
    </w:lvl>
  </w:abstractNum>
  <w:abstractNum w:abstractNumId="6">
    <w:nsid w:val="60BA0AAF"/>
    <w:multiLevelType w:val="singleLevel"/>
    <w:tmpl w:val="6FBCEA8C"/>
    <w:lvl w:ilvl="0">
      <w:start w:val="1"/>
      <w:numFmt w:val="lowerLetter"/>
      <w:lvlText w:val="(%1)"/>
      <w:legacy w:legacy="1" w:legacySpace="0" w:legacyIndent="389"/>
      <w:lvlJc w:val="left"/>
      <w:rPr>
        <w:rFonts w:ascii="Times New Roman" w:hAnsi="Times New Roman" w:cs="Times New Roman" w:hint="default"/>
      </w:rPr>
    </w:lvl>
  </w:abstractNum>
  <w:abstractNum w:abstractNumId="7">
    <w:nsid w:val="69A7679E"/>
    <w:multiLevelType w:val="singleLevel"/>
    <w:tmpl w:val="D672616C"/>
    <w:lvl w:ilvl="0">
      <w:start w:val="1"/>
      <w:numFmt w:val="lowerLetter"/>
      <w:lvlText w:val="(%1)"/>
      <w:legacy w:legacy="1" w:legacySpace="0" w:legacyIndent="390"/>
      <w:lvlJc w:val="left"/>
      <w:rPr>
        <w:rFonts w:ascii="Times New Roman" w:hAnsi="Times New Roman" w:cs="Times New Roman" w:hint="default"/>
      </w:rPr>
    </w:lvl>
  </w:abstractNum>
  <w:num w:numId="1">
    <w:abstractNumId w:val="3"/>
  </w:num>
  <w:num w:numId="2">
    <w:abstractNumId w:val="4"/>
  </w:num>
  <w:num w:numId="3">
    <w:abstractNumId w:val="5"/>
  </w:num>
  <w:num w:numId="4">
    <w:abstractNumId w:val="5"/>
    <w:lvlOverride w:ilvl="0">
      <w:lvl w:ilvl="0">
        <w:start w:val="2"/>
        <w:numFmt w:val="decimal"/>
        <w:lvlText w:val="(%1)"/>
        <w:legacy w:legacy="1" w:legacySpace="0" w:legacyIndent="399"/>
        <w:lvlJc w:val="left"/>
        <w:rPr>
          <w:rFonts w:ascii="Times New Roman" w:hAnsi="Times New Roman" w:cs="Times New Roman" w:hint="default"/>
        </w:rPr>
      </w:lvl>
    </w:lvlOverride>
  </w:num>
  <w:num w:numId="5">
    <w:abstractNumId w:val="6"/>
  </w:num>
  <w:num w:numId="6">
    <w:abstractNumId w:val="7"/>
  </w:num>
  <w:num w:numId="7">
    <w:abstractNumId w:val="1"/>
  </w:num>
  <w:num w:numId="8">
    <w:abstractNumId w:val="1"/>
    <w:lvlOverride w:ilvl="0">
      <w:lvl w:ilvl="0">
        <w:start w:val="1"/>
        <w:numFmt w:val="lowerLetter"/>
        <w:lvlText w:val="(%1)"/>
        <w:legacy w:legacy="1" w:legacySpace="0" w:legacyIndent="390"/>
        <w:lvlJc w:val="left"/>
        <w:rPr>
          <w:rFonts w:ascii="Times New Roman" w:hAnsi="Times New Roman" w:cs="Times New Roman" w:hint="default"/>
        </w:rPr>
      </w:lvl>
    </w:lvlOverride>
  </w:num>
  <w:num w:numId="9">
    <w:abstractNumId w:val="2"/>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A17"/>
    <w:rsid w:val="00055ACD"/>
    <w:rsid w:val="00143A17"/>
    <w:rsid w:val="00182D8E"/>
    <w:rsid w:val="00270788"/>
    <w:rsid w:val="002C2ACB"/>
    <w:rsid w:val="002C734D"/>
    <w:rsid w:val="00321534"/>
    <w:rsid w:val="003C3A4A"/>
    <w:rsid w:val="00425131"/>
    <w:rsid w:val="004C0CAF"/>
    <w:rsid w:val="00564D2D"/>
    <w:rsid w:val="00693D76"/>
    <w:rsid w:val="0071796C"/>
    <w:rsid w:val="00771619"/>
    <w:rsid w:val="00775FAE"/>
    <w:rsid w:val="00857D94"/>
    <w:rsid w:val="008741C2"/>
    <w:rsid w:val="009165FA"/>
    <w:rsid w:val="00990E3B"/>
    <w:rsid w:val="00A0394A"/>
    <w:rsid w:val="00A425F5"/>
    <w:rsid w:val="00A52F3F"/>
    <w:rsid w:val="00AA7CB9"/>
    <w:rsid w:val="00AE1ECF"/>
    <w:rsid w:val="00AF0477"/>
    <w:rsid w:val="00DF34E6"/>
    <w:rsid w:val="00E324AE"/>
    <w:rsid w:val="00E63CFC"/>
    <w:rsid w:val="00E8024E"/>
    <w:rsid w:val="00ED20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00FDC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1619"/>
    <w:rPr>
      <w:rFonts w:ascii="Tahoma" w:hAnsi="Tahoma" w:cs="Tahoma"/>
      <w:sz w:val="16"/>
      <w:szCs w:val="16"/>
    </w:rPr>
  </w:style>
  <w:style w:type="character" w:customStyle="1" w:styleId="BalloonTextChar">
    <w:name w:val="Balloon Text Char"/>
    <w:basedOn w:val="DefaultParagraphFont"/>
    <w:link w:val="BalloonText"/>
    <w:uiPriority w:val="99"/>
    <w:semiHidden/>
    <w:rsid w:val="00771619"/>
    <w:rPr>
      <w:rFonts w:ascii="Tahoma" w:hAnsi="Tahoma" w:cs="Tahoma"/>
      <w:sz w:val="16"/>
      <w:szCs w:val="16"/>
      <w:lang w:val="en-IN" w:eastAsia="en-IN"/>
    </w:rPr>
  </w:style>
  <w:style w:type="paragraph" w:styleId="Header">
    <w:name w:val="header"/>
    <w:basedOn w:val="Normal"/>
    <w:link w:val="HeaderChar"/>
    <w:uiPriority w:val="99"/>
    <w:unhideWhenUsed/>
    <w:rsid w:val="00E324AE"/>
    <w:pPr>
      <w:tabs>
        <w:tab w:val="center" w:pos="4680"/>
        <w:tab w:val="right" w:pos="9360"/>
      </w:tabs>
    </w:pPr>
  </w:style>
  <w:style w:type="character" w:customStyle="1" w:styleId="HeaderChar">
    <w:name w:val="Header Char"/>
    <w:basedOn w:val="DefaultParagraphFont"/>
    <w:link w:val="Header"/>
    <w:uiPriority w:val="99"/>
    <w:rsid w:val="00E324AE"/>
    <w:rPr>
      <w:rFonts w:ascii="Times New Roman" w:hAnsi="Times New Roman"/>
      <w:sz w:val="20"/>
      <w:szCs w:val="20"/>
      <w:lang w:val="en-IN" w:eastAsia="en-IN"/>
    </w:rPr>
  </w:style>
  <w:style w:type="paragraph" w:styleId="Footer">
    <w:name w:val="footer"/>
    <w:basedOn w:val="Normal"/>
    <w:link w:val="FooterChar"/>
    <w:uiPriority w:val="99"/>
    <w:unhideWhenUsed/>
    <w:rsid w:val="00E324AE"/>
    <w:pPr>
      <w:tabs>
        <w:tab w:val="center" w:pos="4680"/>
        <w:tab w:val="right" w:pos="9360"/>
      </w:tabs>
    </w:pPr>
  </w:style>
  <w:style w:type="character" w:customStyle="1" w:styleId="FooterChar">
    <w:name w:val="Footer Char"/>
    <w:basedOn w:val="DefaultParagraphFont"/>
    <w:link w:val="Footer"/>
    <w:uiPriority w:val="99"/>
    <w:rsid w:val="00E324AE"/>
    <w:rPr>
      <w:rFonts w:ascii="Times New Roman" w:hAnsi="Times New Roman"/>
      <w:sz w:val="20"/>
      <w:szCs w:val="20"/>
      <w:lang w:val="en-IN" w:eastAsia="en-IN"/>
    </w:rPr>
  </w:style>
  <w:style w:type="character" w:styleId="CommentReference">
    <w:name w:val="annotation reference"/>
    <w:basedOn w:val="DefaultParagraphFont"/>
    <w:uiPriority w:val="99"/>
    <w:semiHidden/>
    <w:unhideWhenUsed/>
    <w:rsid w:val="00564D2D"/>
    <w:rPr>
      <w:sz w:val="16"/>
      <w:szCs w:val="16"/>
    </w:rPr>
  </w:style>
  <w:style w:type="paragraph" w:styleId="CommentText">
    <w:name w:val="annotation text"/>
    <w:basedOn w:val="Normal"/>
    <w:link w:val="CommentTextChar"/>
    <w:uiPriority w:val="99"/>
    <w:semiHidden/>
    <w:unhideWhenUsed/>
    <w:rsid w:val="00564D2D"/>
  </w:style>
  <w:style w:type="character" w:customStyle="1" w:styleId="CommentTextChar">
    <w:name w:val="Comment Text Char"/>
    <w:basedOn w:val="DefaultParagraphFont"/>
    <w:link w:val="CommentText"/>
    <w:uiPriority w:val="99"/>
    <w:semiHidden/>
    <w:rsid w:val="00564D2D"/>
    <w:rPr>
      <w:rFonts w:ascii="Times New Roman" w:hAnsi="Times New Roman"/>
      <w:sz w:val="20"/>
      <w:szCs w:val="20"/>
      <w:lang w:val="en-IN" w:eastAsia="en-IN"/>
    </w:rPr>
  </w:style>
  <w:style w:type="paragraph" w:styleId="CommentSubject">
    <w:name w:val="annotation subject"/>
    <w:basedOn w:val="CommentText"/>
    <w:next w:val="CommentText"/>
    <w:link w:val="CommentSubjectChar"/>
    <w:uiPriority w:val="99"/>
    <w:semiHidden/>
    <w:unhideWhenUsed/>
    <w:rsid w:val="00564D2D"/>
    <w:rPr>
      <w:b/>
      <w:bCs/>
    </w:rPr>
  </w:style>
  <w:style w:type="character" w:customStyle="1" w:styleId="CommentSubjectChar">
    <w:name w:val="Comment Subject Char"/>
    <w:basedOn w:val="CommentTextChar"/>
    <w:link w:val="CommentSubject"/>
    <w:uiPriority w:val="99"/>
    <w:semiHidden/>
    <w:rsid w:val="00564D2D"/>
    <w:rPr>
      <w:rFonts w:ascii="Times New Roman" w:hAnsi="Times New Roman"/>
      <w:b/>
      <w:bCs/>
      <w:sz w:val="20"/>
      <w:szCs w:val="20"/>
      <w:lang w:val="en-IN" w:eastAsia="en-IN"/>
    </w:rPr>
  </w:style>
  <w:style w:type="paragraph" w:styleId="Revision">
    <w:name w:val="Revision"/>
    <w:hidden/>
    <w:uiPriority w:val="99"/>
    <w:semiHidden/>
    <w:rsid w:val="00055ACD"/>
    <w:pPr>
      <w:spacing w:after="0" w:line="240" w:lineRule="auto"/>
    </w:pPr>
    <w:rPr>
      <w:rFonts w:ascii="Times New Roman" w:hAnsi="Times New Roman"/>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1619"/>
    <w:rPr>
      <w:rFonts w:ascii="Tahoma" w:hAnsi="Tahoma" w:cs="Tahoma"/>
      <w:sz w:val="16"/>
      <w:szCs w:val="16"/>
    </w:rPr>
  </w:style>
  <w:style w:type="character" w:customStyle="1" w:styleId="BalloonTextChar">
    <w:name w:val="Balloon Text Char"/>
    <w:basedOn w:val="DefaultParagraphFont"/>
    <w:link w:val="BalloonText"/>
    <w:uiPriority w:val="99"/>
    <w:semiHidden/>
    <w:rsid w:val="00771619"/>
    <w:rPr>
      <w:rFonts w:ascii="Tahoma" w:hAnsi="Tahoma" w:cs="Tahoma"/>
      <w:sz w:val="16"/>
      <w:szCs w:val="16"/>
      <w:lang w:val="en-IN" w:eastAsia="en-IN"/>
    </w:rPr>
  </w:style>
  <w:style w:type="paragraph" w:styleId="Header">
    <w:name w:val="header"/>
    <w:basedOn w:val="Normal"/>
    <w:link w:val="HeaderChar"/>
    <w:uiPriority w:val="99"/>
    <w:unhideWhenUsed/>
    <w:rsid w:val="00E324AE"/>
    <w:pPr>
      <w:tabs>
        <w:tab w:val="center" w:pos="4680"/>
        <w:tab w:val="right" w:pos="9360"/>
      </w:tabs>
    </w:pPr>
  </w:style>
  <w:style w:type="character" w:customStyle="1" w:styleId="HeaderChar">
    <w:name w:val="Header Char"/>
    <w:basedOn w:val="DefaultParagraphFont"/>
    <w:link w:val="Header"/>
    <w:uiPriority w:val="99"/>
    <w:rsid w:val="00E324AE"/>
    <w:rPr>
      <w:rFonts w:ascii="Times New Roman" w:hAnsi="Times New Roman"/>
      <w:sz w:val="20"/>
      <w:szCs w:val="20"/>
      <w:lang w:val="en-IN" w:eastAsia="en-IN"/>
    </w:rPr>
  </w:style>
  <w:style w:type="paragraph" w:styleId="Footer">
    <w:name w:val="footer"/>
    <w:basedOn w:val="Normal"/>
    <w:link w:val="FooterChar"/>
    <w:uiPriority w:val="99"/>
    <w:unhideWhenUsed/>
    <w:rsid w:val="00E324AE"/>
    <w:pPr>
      <w:tabs>
        <w:tab w:val="center" w:pos="4680"/>
        <w:tab w:val="right" w:pos="9360"/>
      </w:tabs>
    </w:pPr>
  </w:style>
  <w:style w:type="character" w:customStyle="1" w:styleId="FooterChar">
    <w:name w:val="Footer Char"/>
    <w:basedOn w:val="DefaultParagraphFont"/>
    <w:link w:val="Footer"/>
    <w:uiPriority w:val="99"/>
    <w:rsid w:val="00E324AE"/>
    <w:rPr>
      <w:rFonts w:ascii="Times New Roman" w:hAnsi="Times New Roman"/>
      <w:sz w:val="20"/>
      <w:szCs w:val="20"/>
      <w:lang w:val="en-IN" w:eastAsia="en-IN"/>
    </w:rPr>
  </w:style>
  <w:style w:type="character" w:styleId="CommentReference">
    <w:name w:val="annotation reference"/>
    <w:basedOn w:val="DefaultParagraphFont"/>
    <w:uiPriority w:val="99"/>
    <w:semiHidden/>
    <w:unhideWhenUsed/>
    <w:rsid w:val="00564D2D"/>
    <w:rPr>
      <w:sz w:val="16"/>
      <w:szCs w:val="16"/>
    </w:rPr>
  </w:style>
  <w:style w:type="paragraph" w:styleId="CommentText">
    <w:name w:val="annotation text"/>
    <w:basedOn w:val="Normal"/>
    <w:link w:val="CommentTextChar"/>
    <w:uiPriority w:val="99"/>
    <w:semiHidden/>
    <w:unhideWhenUsed/>
    <w:rsid w:val="00564D2D"/>
  </w:style>
  <w:style w:type="character" w:customStyle="1" w:styleId="CommentTextChar">
    <w:name w:val="Comment Text Char"/>
    <w:basedOn w:val="DefaultParagraphFont"/>
    <w:link w:val="CommentText"/>
    <w:uiPriority w:val="99"/>
    <w:semiHidden/>
    <w:rsid w:val="00564D2D"/>
    <w:rPr>
      <w:rFonts w:ascii="Times New Roman" w:hAnsi="Times New Roman"/>
      <w:sz w:val="20"/>
      <w:szCs w:val="20"/>
      <w:lang w:val="en-IN" w:eastAsia="en-IN"/>
    </w:rPr>
  </w:style>
  <w:style w:type="paragraph" w:styleId="CommentSubject">
    <w:name w:val="annotation subject"/>
    <w:basedOn w:val="CommentText"/>
    <w:next w:val="CommentText"/>
    <w:link w:val="CommentSubjectChar"/>
    <w:uiPriority w:val="99"/>
    <w:semiHidden/>
    <w:unhideWhenUsed/>
    <w:rsid w:val="00564D2D"/>
    <w:rPr>
      <w:b/>
      <w:bCs/>
    </w:rPr>
  </w:style>
  <w:style w:type="character" w:customStyle="1" w:styleId="CommentSubjectChar">
    <w:name w:val="Comment Subject Char"/>
    <w:basedOn w:val="CommentTextChar"/>
    <w:link w:val="CommentSubject"/>
    <w:uiPriority w:val="99"/>
    <w:semiHidden/>
    <w:rsid w:val="00564D2D"/>
    <w:rPr>
      <w:rFonts w:ascii="Times New Roman" w:hAnsi="Times New Roman"/>
      <w:b/>
      <w:bCs/>
      <w:sz w:val="20"/>
      <w:szCs w:val="20"/>
      <w:lang w:val="en-IN" w:eastAsia="en-IN"/>
    </w:rPr>
  </w:style>
  <w:style w:type="paragraph" w:styleId="Revision">
    <w:name w:val="Revision"/>
    <w:hidden/>
    <w:uiPriority w:val="99"/>
    <w:semiHidden/>
    <w:rsid w:val="00055ACD"/>
    <w:pPr>
      <w:spacing w:after="0" w:line="240" w:lineRule="auto"/>
    </w:pPr>
    <w:rPr>
      <w:rFonts w:ascii="Times New Roman" w:hAnsi="Times New Roman"/>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773</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USER_110</dc:creator>
  <cp:lastModifiedBy>Pettingill, Tia</cp:lastModifiedBy>
  <cp:revision>5</cp:revision>
  <dcterms:created xsi:type="dcterms:W3CDTF">2019-06-15T23:34:00Z</dcterms:created>
  <dcterms:modified xsi:type="dcterms:W3CDTF">2019-10-23T22:19:00Z</dcterms:modified>
</cp:coreProperties>
</file>