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AEB4D" w14:textId="77777777" w:rsidR="00FB40E3" w:rsidRPr="00F62B5B" w:rsidRDefault="00BB5AE2" w:rsidP="00F62B5B">
      <w:pPr>
        <w:jc w:val="center"/>
        <w:rPr>
          <w:sz w:val="22"/>
          <w:szCs w:val="24"/>
        </w:rPr>
      </w:pPr>
      <w:r w:rsidRPr="00F62B5B">
        <w:rPr>
          <w:noProof/>
          <w:sz w:val="22"/>
          <w:szCs w:val="24"/>
          <w:lang w:val="en-AU" w:eastAsia="en-AU"/>
        </w:rPr>
        <w:drawing>
          <wp:inline distT="0" distB="0" distL="0" distR="0" wp14:anchorId="029E0673" wp14:editId="036A2EA4">
            <wp:extent cx="2011680" cy="135953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1680" cy="1359535"/>
                    </a:xfrm>
                    <a:prstGeom prst="rect">
                      <a:avLst/>
                    </a:prstGeom>
                    <a:noFill/>
                    <a:ln>
                      <a:noFill/>
                    </a:ln>
                  </pic:spPr>
                </pic:pic>
              </a:graphicData>
            </a:graphic>
          </wp:inline>
        </w:drawing>
      </w:r>
    </w:p>
    <w:p w14:paraId="3701A943" w14:textId="77777777" w:rsidR="00FB40E3" w:rsidRPr="00F62B5B" w:rsidRDefault="00FB40E3" w:rsidP="00F62B5B">
      <w:pPr>
        <w:shd w:val="clear" w:color="auto" w:fill="FFFFFF"/>
        <w:spacing w:before="840" w:after="240"/>
        <w:jc w:val="center"/>
        <w:rPr>
          <w:sz w:val="36"/>
        </w:rPr>
      </w:pPr>
      <w:r w:rsidRPr="00F62B5B">
        <w:rPr>
          <w:b/>
          <w:bCs/>
          <w:sz w:val="36"/>
          <w:szCs w:val="38"/>
          <w:lang w:val="en-US"/>
        </w:rPr>
        <w:t>Wheat Marketing Amendment Act 1992</w:t>
      </w:r>
    </w:p>
    <w:p w14:paraId="55C74355" w14:textId="77777777" w:rsidR="00FB40E3" w:rsidRPr="00F62B5B" w:rsidRDefault="00FB40E3" w:rsidP="00F62B5B">
      <w:pPr>
        <w:shd w:val="clear" w:color="auto" w:fill="FFFFFF"/>
        <w:spacing w:before="960"/>
        <w:jc w:val="center"/>
        <w:rPr>
          <w:sz w:val="24"/>
        </w:rPr>
      </w:pPr>
      <w:r w:rsidRPr="00F62B5B">
        <w:rPr>
          <w:b/>
          <w:bCs/>
          <w:sz w:val="24"/>
          <w:szCs w:val="24"/>
          <w:lang w:val="en-US"/>
        </w:rPr>
        <w:t>No. 154 of 1992</w:t>
      </w:r>
    </w:p>
    <w:p w14:paraId="586F0578" w14:textId="77777777" w:rsidR="00FB40E3" w:rsidRPr="00AE5AF7" w:rsidRDefault="002E2FFC" w:rsidP="00F62B5B">
      <w:pPr>
        <w:shd w:val="clear" w:color="auto" w:fill="FFFFFF"/>
        <w:spacing w:before="1560"/>
        <w:jc w:val="center"/>
        <w:rPr>
          <w:sz w:val="26"/>
        </w:rPr>
      </w:pPr>
      <w:r w:rsidRPr="00AE5AF7">
        <w:rPr>
          <w:b/>
          <w:bCs/>
          <w:noProof/>
          <w:sz w:val="26"/>
          <w:szCs w:val="30"/>
          <w:lang w:val="en-AU" w:eastAsia="en-AU"/>
        </w:rPr>
        <mc:AlternateContent>
          <mc:Choice Requires="wps">
            <w:drawing>
              <wp:anchor distT="0" distB="0" distL="114300" distR="114300" simplePos="0" relativeHeight="251663360" behindDoc="0" locked="0" layoutInCell="1" allowOverlap="1" wp14:anchorId="1B8BFA49" wp14:editId="640D8F89">
                <wp:simplePos x="0" y="0"/>
                <wp:positionH relativeFrom="column">
                  <wp:posOffset>-67945</wp:posOffset>
                </wp:positionH>
                <wp:positionV relativeFrom="paragraph">
                  <wp:posOffset>338786</wp:posOffset>
                </wp:positionV>
                <wp:extent cx="6114553" cy="0"/>
                <wp:effectExtent l="0" t="0" r="19685" b="19050"/>
                <wp:wrapNone/>
                <wp:docPr id="5" name="Straight Connector 5"/>
                <wp:cNvGraphicFramePr/>
                <a:graphic xmlns:a="http://schemas.openxmlformats.org/drawingml/2006/main">
                  <a:graphicData uri="http://schemas.microsoft.com/office/word/2010/wordprocessingShape">
                    <wps:wsp>
                      <wps:cNvCnPr/>
                      <wps:spPr>
                        <a:xfrm>
                          <a:off x="0" y="0"/>
                          <a:ext cx="6114553"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EA1BCE"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35pt,26.7pt" to="476.1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" strokecolor="black [3040]"/>
            </w:pict>
          </mc:Fallback>
        </mc:AlternateContent>
      </w:r>
      <w:r w:rsidRPr="00AE5AF7">
        <w:rPr>
          <w:b/>
          <w:bCs/>
          <w:noProof/>
          <w:sz w:val="26"/>
          <w:szCs w:val="30"/>
          <w:lang w:val="en-AU" w:eastAsia="en-AU"/>
        </w:rPr>
        <mc:AlternateContent>
          <mc:Choice Requires="wps">
            <w:drawing>
              <wp:anchor distT="0" distB="0" distL="114300" distR="114300" simplePos="0" relativeHeight="251661312" behindDoc="0" locked="0" layoutInCell="1" allowOverlap="1" wp14:anchorId="7748613B" wp14:editId="2EC71084">
                <wp:simplePos x="0" y="0"/>
                <wp:positionH relativeFrom="column">
                  <wp:posOffset>-63611</wp:posOffset>
                </wp:positionH>
                <wp:positionV relativeFrom="paragraph">
                  <wp:posOffset>359106</wp:posOffset>
                </wp:positionV>
                <wp:extent cx="6114553" cy="0"/>
                <wp:effectExtent l="0" t="0" r="19685" b="19050"/>
                <wp:wrapNone/>
                <wp:docPr id="4" name="Straight Connector 4"/>
                <wp:cNvGraphicFramePr/>
                <a:graphic xmlns:a="http://schemas.openxmlformats.org/drawingml/2006/main">
                  <a:graphicData uri="http://schemas.microsoft.com/office/word/2010/wordprocessingShape">
                    <wps:wsp>
                      <wps:cNvCnPr/>
                      <wps:spPr>
                        <a:xfrm>
                          <a:off x="0" y="0"/>
                          <a:ext cx="6114553"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9E7160"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pt,28.3pt" to="476.4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" strokecolor="black [3040]" strokeweight="1pt"/>
            </w:pict>
          </mc:Fallback>
        </mc:AlternateContent>
      </w:r>
      <w:r w:rsidR="00FB40E3" w:rsidRPr="00AE5AF7">
        <w:rPr>
          <w:b/>
          <w:bCs/>
          <w:sz w:val="26"/>
          <w:szCs w:val="30"/>
          <w:lang w:val="en-US"/>
        </w:rPr>
        <w:t xml:space="preserve">An Act to amend the </w:t>
      </w:r>
      <w:r w:rsidR="00FB40E3" w:rsidRPr="00AE5AF7">
        <w:rPr>
          <w:b/>
          <w:bCs/>
          <w:i/>
          <w:iCs/>
          <w:sz w:val="26"/>
          <w:szCs w:val="30"/>
          <w:lang w:val="en-US"/>
        </w:rPr>
        <w:t>Wheat Marketing Act 1989</w:t>
      </w:r>
    </w:p>
    <w:p w14:paraId="3631B485" w14:textId="77777777" w:rsidR="00FB40E3" w:rsidRPr="00F62B5B" w:rsidRDefault="00FB40E3" w:rsidP="00F62B5B">
      <w:pPr>
        <w:shd w:val="clear" w:color="auto" w:fill="FFFFFF"/>
        <w:spacing w:before="240" w:after="240"/>
        <w:jc w:val="right"/>
        <w:rPr>
          <w:sz w:val="22"/>
        </w:rPr>
      </w:pPr>
      <w:r w:rsidRPr="00F62B5B">
        <w:rPr>
          <w:sz w:val="22"/>
          <w:szCs w:val="24"/>
          <w:lang w:val="en-US"/>
        </w:rPr>
        <w:t>[</w:t>
      </w:r>
      <w:r w:rsidRPr="00F62B5B">
        <w:rPr>
          <w:i/>
          <w:iCs/>
          <w:sz w:val="22"/>
          <w:szCs w:val="24"/>
          <w:lang w:val="en-US"/>
        </w:rPr>
        <w:t>Assented to 11 December 1992</w:t>
      </w:r>
      <w:r w:rsidRPr="00F62B5B">
        <w:rPr>
          <w:sz w:val="22"/>
          <w:szCs w:val="24"/>
          <w:lang w:val="en-US"/>
        </w:rPr>
        <w:t>]</w:t>
      </w:r>
    </w:p>
    <w:p w14:paraId="2BE729AF" w14:textId="41E4C763" w:rsidR="00FB40E3" w:rsidRPr="00F62B5B" w:rsidRDefault="00FB40E3" w:rsidP="00F62B5B">
      <w:pPr>
        <w:shd w:val="clear" w:color="auto" w:fill="FFFFFF"/>
        <w:spacing w:before="120"/>
        <w:ind w:left="355"/>
        <w:jc w:val="both"/>
        <w:rPr>
          <w:sz w:val="22"/>
        </w:rPr>
      </w:pPr>
      <w:r w:rsidRPr="00F62B5B">
        <w:rPr>
          <w:sz w:val="22"/>
          <w:szCs w:val="24"/>
          <w:lang w:val="en-US"/>
        </w:rPr>
        <w:t>The Parliament of Australia enacts:</w:t>
      </w:r>
    </w:p>
    <w:p w14:paraId="5E36F078" w14:textId="77777777" w:rsidR="00FB40E3" w:rsidRPr="00F62B5B" w:rsidRDefault="00FB40E3" w:rsidP="00F62B5B">
      <w:pPr>
        <w:shd w:val="clear" w:color="auto" w:fill="FFFFFF"/>
        <w:spacing w:before="120"/>
        <w:ind w:left="14"/>
        <w:jc w:val="both"/>
        <w:rPr>
          <w:sz w:val="22"/>
        </w:rPr>
      </w:pPr>
      <w:r w:rsidRPr="00F62B5B">
        <w:rPr>
          <w:b/>
          <w:bCs/>
          <w:sz w:val="22"/>
          <w:szCs w:val="24"/>
          <w:lang w:val="en-US"/>
        </w:rPr>
        <w:t>Short title etc.</w:t>
      </w:r>
    </w:p>
    <w:p w14:paraId="7CB419E3" w14:textId="77777777" w:rsidR="00FB40E3" w:rsidRPr="00F62B5B" w:rsidRDefault="00FB40E3" w:rsidP="00F62B5B">
      <w:pPr>
        <w:shd w:val="clear" w:color="auto" w:fill="FFFFFF"/>
        <w:spacing w:before="120"/>
        <w:ind w:firstLine="365"/>
        <w:jc w:val="both"/>
        <w:rPr>
          <w:sz w:val="22"/>
        </w:rPr>
      </w:pPr>
      <w:r w:rsidRPr="00F62B5B">
        <w:rPr>
          <w:b/>
          <w:bCs/>
          <w:sz w:val="22"/>
          <w:szCs w:val="24"/>
          <w:lang w:val="en-US"/>
        </w:rPr>
        <w:t xml:space="preserve">1.(1) </w:t>
      </w:r>
      <w:r w:rsidRPr="00F62B5B">
        <w:rPr>
          <w:sz w:val="22"/>
          <w:szCs w:val="24"/>
          <w:lang w:val="en-US"/>
        </w:rPr>
        <w:t xml:space="preserve">This Act may be cited as the </w:t>
      </w:r>
      <w:r w:rsidRPr="00F62B5B">
        <w:rPr>
          <w:i/>
          <w:iCs/>
          <w:sz w:val="22"/>
          <w:szCs w:val="24"/>
          <w:lang w:val="en-US"/>
        </w:rPr>
        <w:t>Wheat Marketing Amendment Act 1992.</w:t>
      </w:r>
    </w:p>
    <w:p w14:paraId="245201B1" w14:textId="6B48BFB2" w:rsidR="00FB40E3" w:rsidRPr="00F62B5B" w:rsidRDefault="00FB40E3" w:rsidP="00F62B5B">
      <w:pPr>
        <w:shd w:val="clear" w:color="auto" w:fill="FFFFFF"/>
        <w:spacing w:before="120"/>
        <w:ind w:left="34" w:firstLine="322"/>
        <w:jc w:val="both"/>
        <w:rPr>
          <w:sz w:val="22"/>
        </w:rPr>
      </w:pPr>
      <w:r w:rsidRPr="00F62B5B">
        <w:rPr>
          <w:b/>
          <w:bCs/>
          <w:sz w:val="22"/>
          <w:szCs w:val="24"/>
          <w:lang w:val="en-US"/>
        </w:rPr>
        <w:t>(2)</w:t>
      </w:r>
      <w:r w:rsidRPr="00F62B5B">
        <w:rPr>
          <w:sz w:val="22"/>
          <w:szCs w:val="24"/>
          <w:lang w:val="en-US"/>
        </w:rPr>
        <w:t xml:space="preserve"> In this Act, </w:t>
      </w:r>
      <w:r w:rsidRPr="00F62B5B">
        <w:rPr>
          <w:b/>
          <w:bCs/>
          <w:sz w:val="22"/>
          <w:szCs w:val="24"/>
          <w:lang w:val="en-US"/>
        </w:rPr>
        <w:t xml:space="preserve">“Principal Act” </w:t>
      </w:r>
      <w:r w:rsidRPr="00F62B5B">
        <w:rPr>
          <w:sz w:val="22"/>
          <w:szCs w:val="24"/>
          <w:lang w:val="en-US"/>
        </w:rPr>
        <w:t xml:space="preserve">means the </w:t>
      </w:r>
      <w:r w:rsidRPr="00F62B5B">
        <w:rPr>
          <w:i/>
          <w:iCs/>
          <w:sz w:val="22"/>
          <w:szCs w:val="24"/>
          <w:lang w:val="en-US"/>
        </w:rPr>
        <w:t>Wheat Marketing Act 1989</w:t>
      </w:r>
      <w:r w:rsidRPr="004F025D">
        <w:rPr>
          <w:iCs/>
          <w:sz w:val="22"/>
          <w:szCs w:val="24"/>
          <w:lang w:val="en-US"/>
        </w:rPr>
        <w:t>.</w:t>
      </w:r>
      <w:r w:rsidRPr="00F62B5B">
        <w:rPr>
          <w:sz w:val="22"/>
          <w:szCs w:val="24"/>
          <w:vertAlign w:val="superscript"/>
          <w:lang w:val="en-US"/>
        </w:rPr>
        <w:t>1</w:t>
      </w:r>
    </w:p>
    <w:p w14:paraId="7917B040" w14:textId="77777777" w:rsidR="00FB40E3" w:rsidRPr="00F62B5B" w:rsidRDefault="00FB40E3" w:rsidP="00F62B5B">
      <w:pPr>
        <w:shd w:val="clear" w:color="auto" w:fill="FFFFFF"/>
        <w:spacing w:before="120"/>
        <w:ind w:left="14"/>
        <w:jc w:val="both"/>
        <w:rPr>
          <w:sz w:val="22"/>
        </w:rPr>
      </w:pPr>
      <w:r w:rsidRPr="00F62B5B">
        <w:rPr>
          <w:b/>
          <w:bCs/>
          <w:sz w:val="22"/>
          <w:szCs w:val="24"/>
          <w:lang w:val="en-US"/>
        </w:rPr>
        <w:t>Commencement</w:t>
      </w:r>
    </w:p>
    <w:p w14:paraId="1CD175FF" w14:textId="77777777" w:rsidR="00FB40E3" w:rsidRPr="00F62B5B" w:rsidRDefault="00FB40E3" w:rsidP="00F62B5B">
      <w:pPr>
        <w:shd w:val="clear" w:color="auto" w:fill="FFFFFF"/>
        <w:tabs>
          <w:tab w:val="left" w:pos="653"/>
        </w:tabs>
        <w:spacing w:before="120"/>
        <w:ind w:left="14" w:firstLine="341"/>
        <w:jc w:val="both"/>
        <w:rPr>
          <w:sz w:val="22"/>
        </w:rPr>
      </w:pPr>
      <w:r w:rsidRPr="00F62B5B">
        <w:rPr>
          <w:b/>
          <w:bCs/>
          <w:sz w:val="22"/>
          <w:szCs w:val="24"/>
          <w:lang w:val="en-US"/>
        </w:rPr>
        <w:t>2.</w:t>
      </w:r>
      <w:r w:rsidRPr="00F62B5B">
        <w:rPr>
          <w:sz w:val="22"/>
          <w:szCs w:val="24"/>
          <w:lang w:val="en-US"/>
        </w:rPr>
        <w:tab/>
        <w:t>This Act commences on the day on which it receives the Royal</w:t>
      </w:r>
      <w:r w:rsidR="00F62B5B">
        <w:rPr>
          <w:sz w:val="22"/>
          <w:szCs w:val="24"/>
          <w:lang w:val="en-US"/>
        </w:rPr>
        <w:t xml:space="preserve"> </w:t>
      </w:r>
      <w:r w:rsidRPr="00F62B5B">
        <w:rPr>
          <w:sz w:val="22"/>
          <w:szCs w:val="24"/>
          <w:lang w:val="en-US"/>
        </w:rPr>
        <w:t>Assent.</w:t>
      </w:r>
    </w:p>
    <w:p w14:paraId="2AA87D19" w14:textId="77777777" w:rsidR="00FB40E3" w:rsidRPr="00F62B5B" w:rsidRDefault="00FB40E3" w:rsidP="00F62B5B">
      <w:pPr>
        <w:shd w:val="clear" w:color="auto" w:fill="FFFFFF"/>
        <w:spacing w:before="120"/>
        <w:ind w:left="19"/>
        <w:jc w:val="both"/>
        <w:rPr>
          <w:sz w:val="22"/>
        </w:rPr>
      </w:pPr>
      <w:r w:rsidRPr="00F62B5B">
        <w:rPr>
          <w:b/>
          <w:bCs/>
          <w:sz w:val="22"/>
          <w:szCs w:val="24"/>
          <w:lang w:val="en-US"/>
        </w:rPr>
        <w:t>Interpretation</w:t>
      </w:r>
    </w:p>
    <w:p w14:paraId="1CD3EA2C" w14:textId="77777777" w:rsidR="00FB40E3" w:rsidRPr="00F62B5B" w:rsidRDefault="00FB40E3" w:rsidP="00F62B5B">
      <w:pPr>
        <w:shd w:val="clear" w:color="auto" w:fill="FFFFFF"/>
        <w:tabs>
          <w:tab w:val="left" w:pos="653"/>
        </w:tabs>
        <w:spacing w:before="120"/>
        <w:ind w:left="355"/>
        <w:jc w:val="both"/>
        <w:rPr>
          <w:sz w:val="22"/>
        </w:rPr>
      </w:pPr>
      <w:r w:rsidRPr="00F62B5B">
        <w:rPr>
          <w:b/>
          <w:bCs/>
          <w:sz w:val="22"/>
          <w:szCs w:val="24"/>
          <w:lang w:val="en-US"/>
        </w:rPr>
        <w:t>3.</w:t>
      </w:r>
      <w:r w:rsidRPr="00F62B5B">
        <w:rPr>
          <w:b/>
          <w:bCs/>
          <w:sz w:val="22"/>
          <w:szCs w:val="24"/>
          <w:lang w:val="en-US"/>
        </w:rPr>
        <w:tab/>
      </w:r>
      <w:r w:rsidRPr="00F62B5B">
        <w:rPr>
          <w:sz w:val="22"/>
          <w:szCs w:val="24"/>
          <w:lang w:val="en-US"/>
        </w:rPr>
        <w:t>Section 3 of the Principal Act is amended:</w:t>
      </w:r>
    </w:p>
    <w:p w14:paraId="08CB5568" w14:textId="77777777" w:rsidR="00FB40E3" w:rsidRPr="00F62B5B" w:rsidRDefault="00FB40E3" w:rsidP="00F62B5B">
      <w:pPr>
        <w:shd w:val="clear" w:color="auto" w:fill="FFFFFF"/>
        <w:spacing w:before="120"/>
        <w:ind w:left="408"/>
        <w:jc w:val="both"/>
        <w:rPr>
          <w:sz w:val="22"/>
        </w:rPr>
      </w:pPr>
      <w:r w:rsidRPr="00F62B5B">
        <w:rPr>
          <w:b/>
          <w:bCs/>
          <w:sz w:val="22"/>
          <w:szCs w:val="24"/>
          <w:lang w:val="en-US"/>
        </w:rPr>
        <w:t>(a)</w:t>
      </w:r>
      <w:r w:rsidRPr="00F62B5B">
        <w:rPr>
          <w:sz w:val="22"/>
          <w:szCs w:val="24"/>
          <w:lang w:val="en-US"/>
        </w:rPr>
        <w:t xml:space="preserve"> by inserting in the definition of “borrowing” in subsection (1)</w:t>
      </w:r>
    </w:p>
    <w:p w14:paraId="7B982BD4" w14:textId="77777777" w:rsidR="00FB40E3" w:rsidRPr="00F62B5B" w:rsidRDefault="00FB40E3" w:rsidP="00F62B5B">
      <w:pPr>
        <w:shd w:val="clear" w:color="auto" w:fill="FFFFFF"/>
        <w:spacing w:before="120"/>
        <w:ind w:left="408"/>
        <w:jc w:val="both"/>
        <w:rPr>
          <w:sz w:val="22"/>
        </w:rPr>
        <w:sectPr w:rsidR="00FB40E3" w:rsidRPr="00F62B5B" w:rsidSect="008E5F18">
          <w:headerReference w:type="default" r:id="rId9"/>
          <w:type w:val="continuous"/>
          <w:pgSz w:w="12240" w:h="15840"/>
          <w:pgMar w:top="1440" w:right="1440" w:bottom="1440" w:left="1440" w:header="720" w:footer="720" w:gutter="0"/>
          <w:cols w:space="60"/>
          <w:noEndnote/>
          <w:titlePg/>
          <w:docGrid w:linePitch="272"/>
        </w:sectPr>
      </w:pPr>
    </w:p>
    <w:p w14:paraId="17D654EF" w14:textId="77777777" w:rsidR="00FB40E3" w:rsidRPr="00F62B5B" w:rsidRDefault="00FB40E3" w:rsidP="00F62B5B">
      <w:pPr>
        <w:shd w:val="clear" w:color="auto" w:fill="FFFFFF"/>
        <w:spacing w:before="120"/>
        <w:ind w:left="787"/>
        <w:jc w:val="both"/>
        <w:rPr>
          <w:sz w:val="22"/>
        </w:rPr>
      </w:pPr>
      <w:r w:rsidRPr="00F62B5B">
        <w:rPr>
          <w:sz w:val="22"/>
          <w:szCs w:val="24"/>
          <w:lang w:val="en-US"/>
        </w:rPr>
        <w:lastRenderedPageBreak/>
        <w:t>“or a wholly owned subsidiary of the Board” after “Board” (first occurring);</w:t>
      </w:r>
    </w:p>
    <w:p w14:paraId="1485247A" w14:textId="77777777" w:rsidR="00FB40E3" w:rsidRPr="00F62B5B" w:rsidRDefault="00FB40E3" w:rsidP="00F62B5B">
      <w:pPr>
        <w:numPr>
          <w:ilvl w:val="0"/>
          <w:numId w:val="1"/>
        </w:numPr>
        <w:shd w:val="clear" w:color="auto" w:fill="FFFFFF"/>
        <w:tabs>
          <w:tab w:val="left" w:pos="778"/>
        </w:tabs>
        <w:spacing w:before="120"/>
        <w:ind w:left="778" w:hanging="394"/>
        <w:jc w:val="both"/>
        <w:rPr>
          <w:b/>
          <w:bCs/>
          <w:sz w:val="22"/>
          <w:szCs w:val="24"/>
          <w:lang w:val="en-US"/>
        </w:rPr>
      </w:pPr>
      <w:r w:rsidRPr="00F62B5B">
        <w:rPr>
          <w:sz w:val="22"/>
          <w:szCs w:val="24"/>
          <w:lang w:val="en-US"/>
        </w:rPr>
        <w:t>by inserting in the definition of “borrowing” in subsection (1) “or the wholly owned subsidiary” after “Board” (last occurring);</w:t>
      </w:r>
    </w:p>
    <w:p w14:paraId="52D51304" w14:textId="77777777" w:rsidR="00FB40E3" w:rsidRPr="00F62B5B" w:rsidRDefault="00FB40E3" w:rsidP="00F62B5B">
      <w:pPr>
        <w:numPr>
          <w:ilvl w:val="0"/>
          <w:numId w:val="1"/>
        </w:numPr>
        <w:shd w:val="clear" w:color="auto" w:fill="FFFFFF"/>
        <w:tabs>
          <w:tab w:val="left" w:pos="778"/>
        </w:tabs>
        <w:spacing w:before="120"/>
        <w:ind w:left="384"/>
        <w:jc w:val="both"/>
        <w:rPr>
          <w:b/>
          <w:bCs/>
          <w:sz w:val="22"/>
          <w:szCs w:val="24"/>
          <w:lang w:val="en-US"/>
        </w:rPr>
      </w:pPr>
      <w:r w:rsidRPr="00F62B5B">
        <w:rPr>
          <w:sz w:val="22"/>
          <w:szCs w:val="24"/>
          <w:lang w:val="en-US"/>
        </w:rPr>
        <w:t>by inserting in subsection (1) the following definition:</w:t>
      </w:r>
    </w:p>
    <w:p w14:paraId="53477138" w14:textId="75FF0671" w:rsidR="00FB40E3" w:rsidRPr="00F62B5B" w:rsidRDefault="00FB40E3" w:rsidP="00F62B5B">
      <w:pPr>
        <w:shd w:val="clear" w:color="auto" w:fill="FFFFFF"/>
        <w:spacing w:before="120"/>
        <w:ind w:left="778"/>
        <w:jc w:val="both"/>
        <w:rPr>
          <w:sz w:val="22"/>
        </w:rPr>
      </w:pPr>
      <w:r w:rsidRPr="00F62B5B">
        <w:rPr>
          <w:sz w:val="22"/>
          <w:szCs w:val="24"/>
          <w:lang w:val="en-US"/>
        </w:rPr>
        <w:t xml:space="preserve">“ </w:t>
      </w:r>
      <w:r w:rsidR="004F025D" w:rsidRPr="004F025D">
        <w:rPr>
          <w:b/>
          <w:sz w:val="22"/>
          <w:szCs w:val="24"/>
          <w:lang w:val="en-US"/>
        </w:rPr>
        <w:t>‘</w:t>
      </w:r>
      <w:r w:rsidRPr="00F62B5B">
        <w:rPr>
          <w:b/>
          <w:bCs/>
          <w:sz w:val="22"/>
          <w:szCs w:val="24"/>
          <w:lang w:val="en-US"/>
        </w:rPr>
        <w:t xml:space="preserve">Value adding activities’ </w:t>
      </w:r>
      <w:r w:rsidRPr="00F62B5B">
        <w:rPr>
          <w:sz w:val="22"/>
          <w:szCs w:val="24"/>
          <w:lang w:val="en-US"/>
        </w:rPr>
        <w:t>means activities that increase the value of grain or grain products, and includes the processing of grain or the plants from which grain is obtained or the manufacture of products from grain or the plants from which grain is obtained, and the promotion of those activities;”.</w:t>
      </w:r>
    </w:p>
    <w:p w14:paraId="76CF5957" w14:textId="77777777" w:rsidR="00FB40E3" w:rsidRPr="00F62B5B" w:rsidRDefault="00FB40E3" w:rsidP="00F62B5B">
      <w:pPr>
        <w:shd w:val="clear" w:color="auto" w:fill="FFFFFF"/>
        <w:spacing w:before="120"/>
        <w:ind w:left="10"/>
        <w:jc w:val="both"/>
        <w:rPr>
          <w:sz w:val="22"/>
        </w:rPr>
      </w:pPr>
      <w:r w:rsidRPr="00F62B5B">
        <w:rPr>
          <w:b/>
          <w:bCs/>
          <w:sz w:val="22"/>
          <w:szCs w:val="24"/>
          <w:lang w:val="en-US"/>
        </w:rPr>
        <w:t>Objects of the Board</w:t>
      </w:r>
    </w:p>
    <w:p w14:paraId="0BA3634F" w14:textId="77777777" w:rsidR="00FB40E3" w:rsidRPr="00F62B5B" w:rsidRDefault="00FB40E3" w:rsidP="00F62B5B">
      <w:pPr>
        <w:shd w:val="clear" w:color="auto" w:fill="FFFFFF"/>
        <w:tabs>
          <w:tab w:val="left" w:pos="634"/>
        </w:tabs>
        <w:spacing w:before="120"/>
        <w:ind w:left="10" w:firstLine="322"/>
        <w:jc w:val="both"/>
        <w:rPr>
          <w:sz w:val="22"/>
        </w:rPr>
      </w:pPr>
      <w:r w:rsidRPr="00F62B5B">
        <w:rPr>
          <w:b/>
          <w:bCs/>
          <w:sz w:val="22"/>
          <w:szCs w:val="24"/>
          <w:lang w:val="en-US"/>
        </w:rPr>
        <w:t>4.</w:t>
      </w:r>
      <w:r w:rsidRPr="00F62B5B">
        <w:rPr>
          <w:b/>
          <w:bCs/>
          <w:sz w:val="22"/>
          <w:szCs w:val="24"/>
          <w:lang w:val="en-US"/>
        </w:rPr>
        <w:tab/>
      </w:r>
      <w:r w:rsidRPr="00F62B5B">
        <w:rPr>
          <w:sz w:val="22"/>
          <w:szCs w:val="24"/>
          <w:lang w:val="en-US"/>
        </w:rPr>
        <w:t>Section 5 of the Principal Act is amended by adding at the end</w:t>
      </w:r>
      <w:r w:rsidR="00F62B5B">
        <w:rPr>
          <w:sz w:val="22"/>
          <w:szCs w:val="24"/>
          <w:lang w:val="en-US"/>
        </w:rPr>
        <w:t xml:space="preserve"> </w:t>
      </w:r>
      <w:r w:rsidRPr="00F62B5B">
        <w:rPr>
          <w:sz w:val="22"/>
          <w:szCs w:val="24"/>
          <w:lang w:val="en-US"/>
        </w:rPr>
        <w:t>the following word and paragraph:</w:t>
      </w:r>
    </w:p>
    <w:p w14:paraId="16257530" w14:textId="77777777" w:rsidR="00FB40E3" w:rsidRPr="00F62B5B" w:rsidRDefault="00FB40E3" w:rsidP="00F62B5B">
      <w:pPr>
        <w:shd w:val="clear" w:color="auto" w:fill="FFFFFF"/>
        <w:spacing w:before="120"/>
        <w:ind w:left="1502" w:hanging="1157"/>
        <w:jc w:val="both"/>
        <w:rPr>
          <w:sz w:val="22"/>
        </w:rPr>
      </w:pPr>
      <w:r w:rsidRPr="00F62B5B">
        <w:rPr>
          <w:sz w:val="22"/>
          <w:szCs w:val="24"/>
          <w:lang w:val="en-US"/>
        </w:rPr>
        <w:t>“; and (c) to participate in value adding activities for the purpose of benefiting Australian grain growers.”.</w:t>
      </w:r>
    </w:p>
    <w:p w14:paraId="360D81B6" w14:textId="77777777" w:rsidR="00FB40E3" w:rsidRPr="00F62B5B" w:rsidRDefault="00FB40E3" w:rsidP="00F62B5B">
      <w:pPr>
        <w:shd w:val="clear" w:color="auto" w:fill="FFFFFF"/>
        <w:spacing w:before="120"/>
        <w:ind w:left="5"/>
        <w:jc w:val="both"/>
        <w:rPr>
          <w:sz w:val="22"/>
        </w:rPr>
      </w:pPr>
      <w:r w:rsidRPr="00F62B5B">
        <w:rPr>
          <w:b/>
          <w:bCs/>
          <w:sz w:val="22"/>
          <w:szCs w:val="24"/>
          <w:lang w:val="en-US"/>
        </w:rPr>
        <w:t>Functions of the Board</w:t>
      </w:r>
    </w:p>
    <w:p w14:paraId="3F3603B3" w14:textId="77777777" w:rsidR="00FB40E3" w:rsidRPr="00F62B5B" w:rsidRDefault="00FB40E3" w:rsidP="00F62B5B">
      <w:pPr>
        <w:shd w:val="clear" w:color="auto" w:fill="FFFFFF"/>
        <w:tabs>
          <w:tab w:val="left" w:pos="634"/>
        </w:tabs>
        <w:spacing w:before="120"/>
        <w:ind w:left="331"/>
        <w:jc w:val="both"/>
        <w:rPr>
          <w:sz w:val="22"/>
        </w:rPr>
      </w:pPr>
      <w:r w:rsidRPr="00F62B5B">
        <w:rPr>
          <w:b/>
          <w:bCs/>
          <w:sz w:val="22"/>
          <w:szCs w:val="24"/>
          <w:lang w:val="en-US"/>
        </w:rPr>
        <w:t>5.</w:t>
      </w:r>
      <w:r w:rsidRPr="00F62B5B">
        <w:rPr>
          <w:b/>
          <w:bCs/>
          <w:sz w:val="22"/>
          <w:szCs w:val="24"/>
          <w:lang w:val="en-US"/>
        </w:rPr>
        <w:tab/>
      </w:r>
      <w:r w:rsidRPr="00F62B5B">
        <w:rPr>
          <w:sz w:val="22"/>
          <w:szCs w:val="24"/>
          <w:lang w:val="en-US"/>
        </w:rPr>
        <w:t>Section 6 of the Principal Act is amended:</w:t>
      </w:r>
    </w:p>
    <w:p w14:paraId="1638C90A" w14:textId="77777777" w:rsidR="00FB40E3" w:rsidRPr="00F62B5B" w:rsidRDefault="00FB40E3" w:rsidP="00F62B5B">
      <w:pPr>
        <w:numPr>
          <w:ilvl w:val="0"/>
          <w:numId w:val="2"/>
        </w:numPr>
        <w:shd w:val="clear" w:color="auto" w:fill="FFFFFF"/>
        <w:tabs>
          <w:tab w:val="left" w:pos="778"/>
        </w:tabs>
        <w:spacing w:before="120"/>
        <w:ind w:left="778" w:hanging="394"/>
        <w:jc w:val="both"/>
        <w:rPr>
          <w:b/>
          <w:bCs/>
          <w:sz w:val="22"/>
          <w:szCs w:val="24"/>
          <w:lang w:val="en-US"/>
        </w:rPr>
      </w:pPr>
      <w:r w:rsidRPr="00F62B5B">
        <w:rPr>
          <w:sz w:val="22"/>
          <w:szCs w:val="24"/>
          <w:lang w:val="en-US"/>
        </w:rPr>
        <w:t>by inserting in paragraph (1)(f) “and value adding activities” after “wheat”;</w:t>
      </w:r>
    </w:p>
    <w:p w14:paraId="1B854466" w14:textId="77777777" w:rsidR="00FB40E3" w:rsidRPr="00F62B5B" w:rsidRDefault="00FB40E3" w:rsidP="00F62B5B">
      <w:pPr>
        <w:numPr>
          <w:ilvl w:val="0"/>
          <w:numId w:val="2"/>
        </w:numPr>
        <w:shd w:val="clear" w:color="auto" w:fill="FFFFFF"/>
        <w:tabs>
          <w:tab w:val="left" w:pos="778"/>
        </w:tabs>
        <w:spacing w:before="120"/>
        <w:ind w:left="384"/>
        <w:jc w:val="both"/>
        <w:rPr>
          <w:b/>
          <w:bCs/>
          <w:sz w:val="22"/>
          <w:szCs w:val="24"/>
          <w:lang w:val="en-US"/>
        </w:rPr>
      </w:pPr>
      <w:r w:rsidRPr="00F62B5B">
        <w:rPr>
          <w:sz w:val="22"/>
          <w:szCs w:val="24"/>
          <w:lang w:val="en-US"/>
        </w:rPr>
        <w:t>by inserting after paragraph (1)(m) the following paragraph:</w:t>
      </w:r>
    </w:p>
    <w:p w14:paraId="629DC6A2" w14:textId="77777777" w:rsidR="00FB40E3" w:rsidRPr="00F62B5B" w:rsidRDefault="00FB40E3" w:rsidP="00F62B5B">
      <w:pPr>
        <w:shd w:val="clear" w:color="auto" w:fill="FFFFFF"/>
        <w:spacing w:before="120"/>
        <w:ind w:left="1642" w:hanging="686"/>
        <w:jc w:val="both"/>
        <w:rPr>
          <w:sz w:val="22"/>
        </w:rPr>
      </w:pPr>
      <w:r w:rsidRPr="00F62B5B">
        <w:rPr>
          <w:sz w:val="22"/>
          <w:szCs w:val="24"/>
          <w:lang w:val="en-US"/>
        </w:rPr>
        <w:t>“(ma) to engage in value adding activities for the purposes of:</w:t>
      </w:r>
    </w:p>
    <w:p w14:paraId="59DA1CED" w14:textId="77777777" w:rsidR="00FB40E3" w:rsidRPr="00F62B5B" w:rsidRDefault="00FB40E3" w:rsidP="00F62B5B">
      <w:pPr>
        <w:shd w:val="clear" w:color="auto" w:fill="FFFFFF"/>
        <w:spacing w:before="120"/>
        <w:ind w:left="1958"/>
        <w:jc w:val="both"/>
        <w:rPr>
          <w:sz w:val="22"/>
        </w:rPr>
      </w:pPr>
      <w:r w:rsidRPr="00F62B5B">
        <w:rPr>
          <w:sz w:val="22"/>
          <w:szCs w:val="24"/>
          <w:lang w:val="en-US"/>
        </w:rPr>
        <w:t>(i) trade and commerce with foreign countries; or</w:t>
      </w:r>
    </w:p>
    <w:p w14:paraId="1F949567" w14:textId="77777777" w:rsidR="00FB40E3" w:rsidRPr="00F62B5B" w:rsidRDefault="00FB40E3" w:rsidP="00F62B5B">
      <w:pPr>
        <w:shd w:val="clear" w:color="auto" w:fill="FFFFFF"/>
        <w:spacing w:before="120"/>
        <w:ind w:left="1819"/>
        <w:jc w:val="both"/>
        <w:rPr>
          <w:sz w:val="22"/>
        </w:rPr>
      </w:pPr>
      <w:r w:rsidRPr="00F62B5B">
        <w:rPr>
          <w:sz w:val="22"/>
          <w:szCs w:val="24"/>
          <w:lang w:val="en-US"/>
        </w:rPr>
        <w:t>(ii) trade and commerce among the States; or</w:t>
      </w:r>
    </w:p>
    <w:p w14:paraId="22345A13" w14:textId="77777777" w:rsidR="00FB40E3" w:rsidRPr="00F62B5B" w:rsidRDefault="00FB40E3" w:rsidP="00F62B5B">
      <w:pPr>
        <w:shd w:val="clear" w:color="auto" w:fill="FFFFFF"/>
        <w:spacing w:before="120"/>
        <w:ind w:left="2294" w:hanging="475"/>
        <w:jc w:val="both"/>
        <w:rPr>
          <w:sz w:val="22"/>
        </w:rPr>
      </w:pPr>
      <w:r w:rsidRPr="00F62B5B">
        <w:rPr>
          <w:sz w:val="22"/>
          <w:szCs w:val="24"/>
          <w:lang w:val="en-US"/>
        </w:rPr>
        <w:t>(iii) trade and commerce between a State and a Territory or between Territories; or</w:t>
      </w:r>
    </w:p>
    <w:p w14:paraId="4D705395" w14:textId="77777777" w:rsidR="00FB40E3" w:rsidRPr="00F62B5B" w:rsidRDefault="00FB40E3" w:rsidP="00F62B5B">
      <w:pPr>
        <w:shd w:val="clear" w:color="auto" w:fill="FFFFFF"/>
        <w:spacing w:before="120"/>
        <w:ind w:left="1838"/>
        <w:jc w:val="both"/>
        <w:rPr>
          <w:sz w:val="22"/>
        </w:rPr>
      </w:pPr>
      <w:r w:rsidRPr="00F62B5B">
        <w:rPr>
          <w:sz w:val="22"/>
          <w:szCs w:val="24"/>
          <w:lang w:val="en-US"/>
        </w:rPr>
        <w:t>(iv) trade and commerce within a Territory; and”;</w:t>
      </w:r>
    </w:p>
    <w:p w14:paraId="69435C4F" w14:textId="77777777" w:rsidR="00FB40E3" w:rsidRPr="00F62B5B" w:rsidRDefault="00FB40E3" w:rsidP="00F62B5B">
      <w:pPr>
        <w:shd w:val="clear" w:color="auto" w:fill="FFFFFF"/>
        <w:tabs>
          <w:tab w:val="left" w:pos="778"/>
        </w:tabs>
        <w:spacing w:before="120"/>
        <w:ind w:left="778" w:hanging="394"/>
        <w:jc w:val="both"/>
        <w:rPr>
          <w:sz w:val="22"/>
        </w:rPr>
      </w:pPr>
      <w:r w:rsidRPr="00F62B5B">
        <w:rPr>
          <w:b/>
          <w:bCs/>
          <w:sz w:val="22"/>
          <w:szCs w:val="24"/>
          <w:lang w:val="en-US"/>
        </w:rPr>
        <w:t>(c)</w:t>
      </w:r>
      <w:r w:rsidRPr="00F62B5B">
        <w:rPr>
          <w:sz w:val="22"/>
          <w:szCs w:val="24"/>
          <w:lang w:val="en-US"/>
        </w:rPr>
        <w:tab/>
        <w:t>by inserting in subsection (4) “or value adding activities” after</w:t>
      </w:r>
      <w:r w:rsidR="00F62B5B">
        <w:rPr>
          <w:sz w:val="22"/>
          <w:szCs w:val="24"/>
          <w:lang w:val="en-US"/>
        </w:rPr>
        <w:t xml:space="preserve"> </w:t>
      </w:r>
      <w:r w:rsidRPr="00F62B5B">
        <w:rPr>
          <w:sz w:val="22"/>
          <w:szCs w:val="24"/>
          <w:lang w:val="en-US"/>
        </w:rPr>
        <w:t>“marketing of wheat”.</w:t>
      </w:r>
    </w:p>
    <w:p w14:paraId="58393317" w14:textId="77777777" w:rsidR="00FB40E3" w:rsidRPr="00F62B5B" w:rsidRDefault="00FB40E3" w:rsidP="00F62B5B">
      <w:pPr>
        <w:shd w:val="clear" w:color="auto" w:fill="FFFFFF"/>
        <w:spacing w:before="120"/>
        <w:jc w:val="both"/>
        <w:rPr>
          <w:sz w:val="22"/>
        </w:rPr>
      </w:pPr>
      <w:r w:rsidRPr="00F62B5B">
        <w:rPr>
          <w:b/>
          <w:bCs/>
          <w:sz w:val="22"/>
          <w:szCs w:val="24"/>
          <w:lang w:val="en-US"/>
        </w:rPr>
        <w:t>Powers of the Board</w:t>
      </w:r>
    </w:p>
    <w:p w14:paraId="2569E4E1" w14:textId="77777777" w:rsidR="00FB40E3" w:rsidRPr="00F62B5B" w:rsidRDefault="00FB40E3" w:rsidP="00F62B5B">
      <w:pPr>
        <w:shd w:val="clear" w:color="auto" w:fill="FFFFFF"/>
        <w:tabs>
          <w:tab w:val="left" w:pos="634"/>
        </w:tabs>
        <w:spacing w:before="120"/>
        <w:ind w:left="331"/>
        <w:jc w:val="both"/>
        <w:rPr>
          <w:sz w:val="22"/>
        </w:rPr>
      </w:pPr>
      <w:r w:rsidRPr="00F62B5B">
        <w:rPr>
          <w:b/>
          <w:bCs/>
          <w:sz w:val="22"/>
          <w:szCs w:val="24"/>
          <w:lang w:val="en-US"/>
        </w:rPr>
        <w:t>6.</w:t>
      </w:r>
      <w:r w:rsidRPr="00F62B5B">
        <w:rPr>
          <w:b/>
          <w:bCs/>
          <w:sz w:val="22"/>
          <w:szCs w:val="24"/>
          <w:lang w:val="en-US"/>
        </w:rPr>
        <w:tab/>
      </w:r>
      <w:r w:rsidRPr="00F62B5B">
        <w:rPr>
          <w:sz w:val="22"/>
          <w:szCs w:val="24"/>
          <w:lang w:val="en-US"/>
        </w:rPr>
        <w:t>Section 7 of the Principal Act is amended:</w:t>
      </w:r>
    </w:p>
    <w:p w14:paraId="6A7E5850" w14:textId="77777777" w:rsidR="00FB40E3" w:rsidRPr="00F62B5B" w:rsidRDefault="00FB40E3" w:rsidP="00F62B5B">
      <w:pPr>
        <w:shd w:val="clear" w:color="auto" w:fill="FFFFFF"/>
        <w:tabs>
          <w:tab w:val="left" w:pos="773"/>
        </w:tabs>
        <w:spacing w:before="120"/>
        <w:ind w:left="773" w:hanging="394"/>
        <w:jc w:val="both"/>
        <w:rPr>
          <w:sz w:val="22"/>
        </w:rPr>
      </w:pPr>
      <w:r w:rsidRPr="00F62B5B">
        <w:rPr>
          <w:b/>
          <w:bCs/>
          <w:sz w:val="22"/>
          <w:szCs w:val="24"/>
          <w:lang w:val="en-US"/>
        </w:rPr>
        <w:t>(a)</w:t>
      </w:r>
      <w:r w:rsidRPr="00F62B5B">
        <w:rPr>
          <w:sz w:val="22"/>
          <w:szCs w:val="24"/>
          <w:lang w:val="en-US"/>
        </w:rPr>
        <w:tab/>
        <w:t>by adding at the end of subsection (2) the following word and</w:t>
      </w:r>
      <w:r w:rsidR="00F62B5B">
        <w:rPr>
          <w:sz w:val="22"/>
          <w:szCs w:val="24"/>
          <w:lang w:val="en-US"/>
        </w:rPr>
        <w:t xml:space="preserve"> </w:t>
      </w:r>
      <w:r w:rsidRPr="00F62B5B">
        <w:rPr>
          <w:sz w:val="22"/>
          <w:szCs w:val="24"/>
          <w:lang w:val="en-US"/>
        </w:rPr>
        <w:t>paragraph:</w:t>
      </w:r>
    </w:p>
    <w:p w14:paraId="0C0EE755" w14:textId="77777777" w:rsidR="00FB40E3" w:rsidRPr="00F62B5B" w:rsidRDefault="00FB40E3" w:rsidP="00F62B5B">
      <w:pPr>
        <w:shd w:val="clear" w:color="auto" w:fill="FFFFFF"/>
        <w:spacing w:before="120"/>
        <w:ind w:left="778"/>
        <w:jc w:val="both"/>
        <w:rPr>
          <w:sz w:val="22"/>
        </w:rPr>
      </w:pPr>
      <w:r w:rsidRPr="00F62B5B">
        <w:rPr>
          <w:sz w:val="22"/>
          <w:szCs w:val="24"/>
          <w:lang w:val="en-US"/>
        </w:rPr>
        <w:t>“; and (q) to engage in value adding activities.”;</w:t>
      </w:r>
    </w:p>
    <w:p w14:paraId="32CD5B6E" w14:textId="77777777" w:rsidR="00FB40E3" w:rsidRPr="00F62B5B" w:rsidRDefault="00FB40E3" w:rsidP="00F62B5B">
      <w:pPr>
        <w:shd w:val="clear" w:color="auto" w:fill="FFFFFF"/>
        <w:tabs>
          <w:tab w:val="left" w:pos="773"/>
        </w:tabs>
        <w:spacing w:before="120"/>
        <w:ind w:left="379"/>
        <w:jc w:val="both"/>
        <w:rPr>
          <w:sz w:val="22"/>
        </w:rPr>
      </w:pPr>
      <w:r w:rsidRPr="00F62B5B">
        <w:rPr>
          <w:b/>
          <w:bCs/>
          <w:sz w:val="22"/>
          <w:szCs w:val="24"/>
          <w:lang w:val="en-US"/>
        </w:rPr>
        <w:t>(b)</w:t>
      </w:r>
      <w:r w:rsidRPr="00F62B5B">
        <w:rPr>
          <w:sz w:val="22"/>
          <w:szCs w:val="24"/>
          <w:lang w:val="en-US"/>
        </w:rPr>
        <w:tab/>
        <w:t>by omitting from subsection (10) “(j)” and substituting “(k)”.</w:t>
      </w:r>
    </w:p>
    <w:p w14:paraId="0B39639B" w14:textId="77777777" w:rsidR="00FB40E3" w:rsidRPr="00F62B5B" w:rsidRDefault="00FB40E3" w:rsidP="00F62B5B">
      <w:pPr>
        <w:shd w:val="clear" w:color="auto" w:fill="FFFFFF"/>
        <w:spacing w:before="120"/>
        <w:jc w:val="both"/>
        <w:rPr>
          <w:sz w:val="22"/>
        </w:rPr>
      </w:pPr>
      <w:r w:rsidRPr="00F62B5B">
        <w:rPr>
          <w:b/>
          <w:bCs/>
          <w:sz w:val="22"/>
          <w:szCs w:val="24"/>
          <w:lang w:val="en-US"/>
        </w:rPr>
        <w:t>Subsidiary companies etc.</w:t>
      </w:r>
    </w:p>
    <w:p w14:paraId="33AEE037" w14:textId="77777777" w:rsidR="00FB40E3" w:rsidRPr="00F62B5B" w:rsidRDefault="00FB40E3" w:rsidP="00F62B5B">
      <w:pPr>
        <w:shd w:val="clear" w:color="auto" w:fill="FFFFFF"/>
        <w:tabs>
          <w:tab w:val="left" w:pos="634"/>
        </w:tabs>
        <w:spacing w:before="120"/>
        <w:ind w:left="331"/>
        <w:jc w:val="both"/>
        <w:rPr>
          <w:sz w:val="22"/>
        </w:rPr>
      </w:pPr>
      <w:r w:rsidRPr="00F62B5B">
        <w:rPr>
          <w:b/>
          <w:bCs/>
          <w:sz w:val="22"/>
          <w:szCs w:val="24"/>
          <w:lang w:val="en-US"/>
        </w:rPr>
        <w:t>7.</w:t>
      </w:r>
      <w:r w:rsidRPr="00F62B5B">
        <w:rPr>
          <w:b/>
          <w:bCs/>
          <w:sz w:val="22"/>
          <w:szCs w:val="24"/>
          <w:lang w:val="en-US"/>
        </w:rPr>
        <w:tab/>
      </w:r>
      <w:r w:rsidRPr="00F62B5B">
        <w:rPr>
          <w:sz w:val="22"/>
          <w:szCs w:val="24"/>
          <w:lang w:val="en-US"/>
        </w:rPr>
        <w:t>Section 13 of the Principal Act is amended:</w:t>
      </w:r>
    </w:p>
    <w:p w14:paraId="56DC6C94" w14:textId="77777777" w:rsidR="00FB40E3" w:rsidRPr="00F62B5B" w:rsidRDefault="00FB40E3" w:rsidP="00F62B5B">
      <w:pPr>
        <w:shd w:val="clear" w:color="auto" w:fill="FFFFFF"/>
        <w:spacing w:before="120"/>
        <w:ind w:left="778" w:hanging="389"/>
        <w:jc w:val="both"/>
        <w:rPr>
          <w:sz w:val="22"/>
        </w:rPr>
      </w:pPr>
      <w:r w:rsidRPr="00F62B5B">
        <w:rPr>
          <w:b/>
          <w:bCs/>
          <w:sz w:val="22"/>
          <w:szCs w:val="24"/>
          <w:lang w:val="en-US"/>
        </w:rPr>
        <w:t>(a)</w:t>
      </w:r>
      <w:r w:rsidRPr="00F62B5B">
        <w:rPr>
          <w:sz w:val="22"/>
          <w:szCs w:val="24"/>
          <w:lang w:val="en-US"/>
        </w:rPr>
        <w:t xml:space="preserve"> by omitting subsection (2) and substituting the following subsection:</w:t>
      </w:r>
    </w:p>
    <w:p w14:paraId="613E585C" w14:textId="77777777" w:rsidR="00FB40E3" w:rsidRPr="00F62B5B" w:rsidRDefault="00FB40E3" w:rsidP="00F62B5B">
      <w:pPr>
        <w:shd w:val="clear" w:color="auto" w:fill="FFFFFF"/>
        <w:spacing w:before="120"/>
        <w:ind w:left="768" w:firstLine="226"/>
        <w:jc w:val="both"/>
        <w:rPr>
          <w:sz w:val="22"/>
        </w:rPr>
      </w:pPr>
      <w:r w:rsidRPr="00F62B5B">
        <w:rPr>
          <w:sz w:val="22"/>
          <w:szCs w:val="24"/>
          <w:lang w:val="en-US"/>
        </w:rPr>
        <w:t>“(2) The Minister must not give permission in relation to a company or body unless:</w:t>
      </w:r>
    </w:p>
    <w:p w14:paraId="2FD09F29" w14:textId="77777777" w:rsidR="00FB40E3" w:rsidRPr="00F62B5B" w:rsidRDefault="00FB40E3" w:rsidP="00F62B5B">
      <w:pPr>
        <w:shd w:val="clear" w:color="auto" w:fill="FFFFFF"/>
        <w:spacing w:before="120"/>
        <w:ind w:left="768" w:firstLine="226"/>
        <w:jc w:val="both"/>
        <w:rPr>
          <w:sz w:val="22"/>
        </w:rPr>
        <w:sectPr w:rsidR="00FB40E3" w:rsidRPr="00F62B5B" w:rsidSect="00F62B5B">
          <w:pgSz w:w="12240" w:h="15840"/>
          <w:pgMar w:top="1440" w:right="1440" w:bottom="1440" w:left="1440" w:header="720" w:footer="720" w:gutter="0"/>
          <w:cols w:space="60"/>
          <w:noEndnote/>
          <w:docGrid w:linePitch="272"/>
        </w:sectPr>
      </w:pPr>
    </w:p>
    <w:p w14:paraId="7176A449" w14:textId="77777777" w:rsidR="00FB40E3" w:rsidRPr="00F62B5B" w:rsidRDefault="00FB40E3" w:rsidP="00F62B5B">
      <w:pPr>
        <w:numPr>
          <w:ilvl w:val="0"/>
          <w:numId w:val="3"/>
        </w:numPr>
        <w:shd w:val="clear" w:color="auto" w:fill="FFFFFF"/>
        <w:tabs>
          <w:tab w:val="left" w:pos="1402"/>
        </w:tabs>
        <w:spacing w:before="120"/>
        <w:ind w:left="1402" w:hanging="384"/>
        <w:jc w:val="both"/>
        <w:rPr>
          <w:sz w:val="22"/>
          <w:szCs w:val="24"/>
          <w:lang w:val="en-US"/>
        </w:rPr>
      </w:pPr>
      <w:r w:rsidRPr="00F62B5B">
        <w:rPr>
          <w:sz w:val="22"/>
          <w:szCs w:val="24"/>
          <w:lang w:val="en-US"/>
        </w:rPr>
        <w:lastRenderedPageBreak/>
        <w:t>the objects and functions of the company or body are, or will be, consistent with the objects and functions of the Board; or</w:t>
      </w:r>
    </w:p>
    <w:p w14:paraId="6F896DCB" w14:textId="77777777" w:rsidR="00FB40E3" w:rsidRPr="00F62B5B" w:rsidRDefault="00FB40E3" w:rsidP="00F62B5B">
      <w:pPr>
        <w:numPr>
          <w:ilvl w:val="0"/>
          <w:numId w:val="3"/>
        </w:numPr>
        <w:shd w:val="clear" w:color="auto" w:fill="FFFFFF"/>
        <w:tabs>
          <w:tab w:val="left" w:pos="1402"/>
        </w:tabs>
        <w:spacing w:before="120"/>
        <w:ind w:left="1402" w:hanging="384"/>
        <w:jc w:val="both"/>
        <w:rPr>
          <w:sz w:val="22"/>
          <w:szCs w:val="24"/>
          <w:lang w:val="en-US"/>
        </w:rPr>
      </w:pPr>
      <w:r w:rsidRPr="00F62B5B">
        <w:rPr>
          <w:sz w:val="22"/>
          <w:szCs w:val="24"/>
          <w:lang w:val="en-US"/>
        </w:rPr>
        <w:t>the company or body is to engage in value adding activities in accordance with the functions of the Board.”;</w:t>
      </w:r>
    </w:p>
    <w:p w14:paraId="0645E688" w14:textId="77777777" w:rsidR="00FB40E3" w:rsidRPr="00F62B5B" w:rsidRDefault="00FB40E3" w:rsidP="00F62B5B">
      <w:pPr>
        <w:shd w:val="clear" w:color="auto" w:fill="FFFFFF"/>
        <w:spacing w:before="120"/>
        <w:ind w:left="778" w:hanging="398"/>
        <w:jc w:val="both"/>
        <w:rPr>
          <w:sz w:val="22"/>
        </w:rPr>
      </w:pPr>
      <w:r w:rsidRPr="00F62B5B">
        <w:rPr>
          <w:b/>
          <w:bCs/>
          <w:sz w:val="22"/>
          <w:szCs w:val="24"/>
          <w:lang w:val="en-US"/>
        </w:rPr>
        <w:t>(b)</w:t>
      </w:r>
      <w:r w:rsidRPr="00F62B5B">
        <w:rPr>
          <w:sz w:val="22"/>
          <w:szCs w:val="24"/>
          <w:lang w:val="en-US"/>
        </w:rPr>
        <w:t xml:space="preserve"> by omitting subsection (6) and substituting the following subsection:</w:t>
      </w:r>
    </w:p>
    <w:p w14:paraId="42A9A488" w14:textId="77777777" w:rsidR="00FB40E3" w:rsidRPr="00F62B5B" w:rsidRDefault="00FB40E3" w:rsidP="00F62B5B">
      <w:pPr>
        <w:shd w:val="clear" w:color="auto" w:fill="FFFFFF"/>
        <w:spacing w:before="120"/>
        <w:ind w:left="763" w:firstLine="216"/>
        <w:jc w:val="both"/>
        <w:rPr>
          <w:sz w:val="22"/>
        </w:rPr>
      </w:pPr>
      <w:r w:rsidRPr="00F62B5B">
        <w:rPr>
          <w:sz w:val="22"/>
          <w:szCs w:val="24"/>
          <w:lang w:val="en-US"/>
        </w:rPr>
        <w:t>“(6) An agreement or arrangement between the Board and a natural person or a company or other body must include a provision empowering the Board to end the agreement or arrangement if:</w:t>
      </w:r>
    </w:p>
    <w:p w14:paraId="0119C6EF" w14:textId="77777777" w:rsidR="00FB40E3" w:rsidRPr="00F62B5B" w:rsidRDefault="00FB40E3" w:rsidP="00F62B5B">
      <w:pPr>
        <w:shd w:val="clear" w:color="auto" w:fill="FFFFFF"/>
        <w:tabs>
          <w:tab w:val="left" w:pos="1416"/>
        </w:tabs>
        <w:spacing w:before="120"/>
        <w:ind w:left="1416" w:hanging="384"/>
        <w:jc w:val="both"/>
        <w:rPr>
          <w:sz w:val="22"/>
        </w:rPr>
      </w:pPr>
      <w:r w:rsidRPr="00F62B5B">
        <w:rPr>
          <w:sz w:val="22"/>
          <w:szCs w:val="24"/>
          <w:lang w:val="en-US"/>
        </w:rPr>
        <w:t>(a)</w:t>
      </w:r>
      <w:r w:rsidRPr="00F62B5B">
        <w:rPr>
          <w:sz w:val="22"/>
          <w:szCs w:val="24"/>
          <w:lang w:val="en-US"/>
        </w:rPr>
        <w:tab/>
        <w:t>in relation to an agreement or arrangement that does not</w:t>
      </w:r>
      <w:r w:rsidR="00F62B5B">
        <w:rPr>
          <w:sz w:val="22"/>
          <w:szCs w:val="24"/>
          <w:lang w:val="en-US"/>
        </w:rPr>
        <w:t xml:space="preserve"> </w:t>
      </w:r>
      <w:r w:rsidRPr="00F62B5B">
        <w:rPr>
          <w:sz w:val="22"/>
          <w:szCs w:val="24"/>
          <w:lang w:val="en-US"/>
        </w:rPr>
        <w:t>relate to value adding activities the person, company or</w:t>
      </w:r>
      <w:r w:rsidR="00F62B5B">
        <w:rPr>
          <w:sz w:val="22"/>
          <w:szCs w:val="24"/>
          <w:lang w:val="en-US"/>
        </w:rPr>
        <w:t xml:space="preserve"> </w:t>
      </w:r>
      <w:r w:rsidRPr="00F62B5B">
        <w:rPr>
          <w:sz w:val="22"/>
          <w:szCs w:val="24"/>
          <w:lang w:val="en-US"/>
        </w:rPr>
        <w:t>body:</w:t>
      </w:r>
    </w:p>
    <w:p w14:paraId="54F163EA" w14:textId="77777777" w:rsidR="00FB40E3" w:rsidRPr="00F62B5B" w:rsidRDefault="00FB40E3" w:rsidP="00F62B5B">
      <w:pPr>
        <w:shd w:val="clear" w:color="auto" w:fill="FFFFFF"/>
        <w:spacing w:before="120"/>
        <w:ind w:left="2074" w:hanging="336"/>
        <w:jc w:val="both"/>
        <w:rPr>
          <w:sz w:val="22"/>
        </w:rPr>
      </w:pPr>
      <w:r w:rsidRPr="00F62B5B">
        <w:rPr>
          <w:sz w:val="22"/>
          <w:szCs w:val="24"/>
          <w:lang w:val="en-US"/>
        </w:rPr>
        <w:t>(i) no longer carries on a business that relates to a matter within the objects and functions of the Board; or</w:t>
      </w:r>
    </w:p>
    <w:p w14:paraId="4B92DE7A" w14:textId="77777777" w:rsidR="00FB40E3" w:rsidRPr="00F62B5B" w:rsidRDefault="00FB40E3" w:rsidP="00F62B5B">
      <w:pPr>
        <w:shd w:val="clear" w:color="auto" w:fill="FFFFFF"/>
        <w:spacing w:before="120"/>
        <w:ind w:left="2078" w:hanging="413"/>
        <w:jc w:val="both"/>
        <w:rPr>
          <w:sz w:val="22"/>
        </w:rPr>
      </w:pPr>
      <w:r w:rsidRPr="00F62B5B">
        <w:rPr>
          <w:sz w:val="22"/>
          <w:szCs w:val="24"/>
          <w:lang w:val="en-US"/>
        </w:rPr>
        <w:t>(ii) commences to carry on a business that is not a business of a kind referred to in subparagraph (i); or</w:t>
      </w:r>
    </w:p>
    <w:p w14:paraId="5C6DC4C9" w14:textId="77777777" w:rsidR="00FB40E3" w:rsidRPr="00F62B5B" w:rsidRDefault="00FB40E3" w:rsidP="00F62B5B">
      <w:pPr>
        <w:shd w:val="clear" w:color="auto" w:fill="FFFFFF"/>
        <w:tabs>
          <w:tab w:val="left" w:pos="1416"/>
        </w:tabs>
        <w:spacing w:before="120"/>
        <w:ind w:left="1416" w:hanging="384"/>
        <w:jc w:val="both"/>
        <w:rPr>
          <w:sz w:val="22"/>
        </w:rPr>
      </w:pPr>
      <w:r w:rsidRPr="00F62B5B">
        <w:rPr>
          <w:sz w:val="22"/>
          <w:szCs w:val="24"/>
          <w:lang w:val="en-US"/>
        </w:rPr>
        <w:t>(b)</w:t>
      </w:r>
      <w:r w:rsidRPr="00F62B5B">
        <w:rPr>
          <w:sz w:val="22"/>
          <w:szCs w:val="24"/>
          <w:lang w:val="en-US"/>
        </w:rPr>
        <w:tab/>
        <w:t>in relation to an agreement or arrangement that relates</w:t>
      </w:r>
      <w:r w:rsidR="00F62B5B">
        <w:rPr>
          <w:sz w:val="22"/>
          <w:szCs w:val="24"/>
          <w:lang w:val="en-US"/>
        </w:rPr>
        <w:t xml:space="preserve"> </w:t>
      </w:r>
      <w:r w:rsidRPr="00F62B5B">
        <w:rPr>
          <w:sz w:val="22"/>
          <w:szCs w:val="24"/>
          <w:lang w:val="en-US"/>
        </w:rPr>
        <w:t>to value adding activities the person, company or body</w:t>
      </w:r>
      <w:r w:rsidR="00F62B5B">
        <w:rPr>
          <w:sz w:val="22"/>
          <w:szCs w:val="24"/>
          <w:lang w:val="en-US"/>
        </w:rPr>
        <w:t xml:space="preserve"> </w:t>
      </w:r>
      <w:r w:rsidRPr="00F62B5B">
        <w:rPr>
          <w:sz w:val="22"/>
          <w:szCs w:val="24"/>
          <w:lang w:val="en-US"/>
        </w:rPr>
        <w:t>ceases to engage in value adding activities.”.</w:t>
      </w:r>
    </w:p>
    <w:p w14:paraId="7A234462" w14:textId="77777777" w:rsidR="00FB40E3" w:rsidRPr="00F62B5B" w:rsidRDefault="00FB40E3" w:rsidP="00F62B5B">
      <w:pPr>
        <w:shd w:val="clear" w:color="auto" w:fill="FFFFFF"/>
        <w:spacing w:before="120"/>
        <w:jc w:val="both"/>
        <w:rPr>
          <w:sz w:val="22"/>
        </w:rPr>
      </w:pPr>
      <w:r w:rsidRPr="00F62B5B">
        <w:rPr>
          <w:b/>
          <w:bCs/>
          <w:sz w:val="22"/>
          <w:szCs w:val="24"/>
          <w:lang w:val="en-US"/>
        </w:rPr>
        <w:t>Borrowing by the Board or a wholly owned subsidiary</w:t>
      </w:r>
    </w:p>
    <w:p w14:paraId="36035CFC" w14:textId="77777777" w:rsidR="00FB40E3" w:rsidRPr="00F62B5B" w:rsidRDefault="00FB40E3" w:rsidP="00F62B5B">
      <w:pPr>
        <w:shd w:val="clear" w:color="auto" w:fill="FFFFFF"/>
        <w:tabs>
          <w:tab w:val="left" w:pos="638"/>
        </w:tabs>
        <w:spacing w:before="120"/>
        <w:ind w:firstLine="331"/>
        <w:jc w:val="both"/>
        <w:rPr>
          <w:sz w:val="22"/>
        </w:rPr>
      </w:pPr>
      <w:r w:rsidRPr="00F62B5B">
        <w:rPr>
          <w:b/>
          <w:bCs/>
          <w:sz w:val="22"/>
          <w:szCs w:val="24"/>
          <w:lang w:val="en-US"/>
        </w:rPr>
        <w:t>8.</w:t>
      </w:r>
      <w:r w:rsidRPr="00F62B5B">
        <w:rPr>
          <w:b/>
          <w:bCs/>
          <w:sz w:val="22"/>
          <w:szCs w:val="24"/>
          <w:lang w:val="en-US"/>
        </w:rPr>
        <w:tab/>
      </w:r>
      <w:r w:rsidRPr="00F62B5B">
        <w:rPr>
          <w:sz w:val="22"/>
          <w:szCs w:val="24"/>
          <w:lang w:val="en-US"/>
        </w:rPr>
        <w:t>Section 71 of the Principal Act is amended by inserting in</w:t>
      </w:r>
      <w:r w:rsidR="00F62B5B">
        <w:rPr>
          <w:sz w:val="22"/>
          <w:szCs w:val="24"/>
          <w:lang w:val="en-US"/>
        </w:rPr>
        <w:t xml:space="preserve"> </w:t>
      </w:r>
      <w:r w:rsidRPr="00F62B5B">
        <w:rPr>
          <w:sz w:val="22"/>
          <w:szCs w:val="24"/>
          <w:lang w:val="en-US"/>
        </w:rPr>
        <w:t>subsection (1) “, or a wholly owned subsidiary of the Board,” after</w:t>
      </w:r>
      <w:r w:rsidR="00F62B5B">
        <w:rPr>
          <w:sz w:val="22"/>
          <w:szCs w:val="24"/>
          <w:lang w:val="en-US"/>
        </w:rPr>
        <w:t xml:space="preserve"> </w:t>
      </w:r>
      <w:r w:rsidRPr="00F62B5B">
        <w:rPr>
          <w:sz w:val="22"/>
          <w:szCs w:val="24"/>
          <w:lang w:val="en-US"/>
        </w:rPr>
        <w:t>“Board”.</w:t>
      </w:r>
    </w:p>
    <w:p w14:paraId="3A131347" w14:textId="77777777" w:rsidR="00FB40E3" w:rsidRPr="00F62B5B" w:rsidRDefault="00FB40E3" w:rsidP="00F62B5B">
      <w:pPr>
        <w:shd w:val="clear" w:color="auto" w:fill="FFFFFF"/>
        <w:spacing w:before="120"/>
        <w:jc w:val="both"/>
        <w:rPr>
          <w:sz w:val="22"/>
        </w:rPr>
      </w:pPr>
      <w:r w:rsidRPr="00F62B5B">
        <w:rPr>
          <w:b/>
          <w:bCs/>
          <w:sz w:val="22"/>
          <w:szCs w:val="24"/>
          <w:lang w:val="en-US"/>
        </w:rPr>
        <w:t>Borrowing not otherwise permitted</w:t>
      </w:r>
    </w:p>
    <w:p w14:paraId="08D75B92" w14:textId="77777777" w:rsidR="00FB40E3" w:rsidRPr="00F62B5B" w:rsidRDefault="00FB40E3" w:rsidP="00F62B5B">
      <w:pPr>
        <w:shd w:val="clear" w:color="auto" w:fill="FFFFFF"/>
        <w:tabs>
          <w:tab w:val="left" w:pos="638"/>
        </w:tabs>
        <w:spacing w:before="120"/>
        <w:ind w:firstLine="331"/>
        <w:jc w:val="both"/>
        <w:rPr>
          <w:sz w:val="22"/>
        </w:rPr>
      </w:pPr>
      <w:r w:rsidRPr="00F62B5B">
        <w:rPr>
          <w:b/>
          <w:bCs/>
          <w:sz w:val="22"/>
          <w:szCs w:val="24"/>
          <w:lang w:val="en-US"/>
        </w:rPr>
        <w:t>9.</w:t>
      </w:r>
      <w:r w:rsidRPr="00F62B5B">
        <w:rPr>
          <w:b/>
          <w:bCs/>
          <w:sz w:val="22"/>
          <w:szCs w:val="24"/>
          <w:lang w:val="en-US"/>
        </w:rPr>
        <w:tab/>
      </w:r>
      <w:r w:rsidRPr="00F62B5B">
        <w:rPr>
          <w:sz w:val="22"/>
          <w:szCs w:val="24"/>
          <w:lang w:val="en-US"/>
        </w:rPr>
        <w:t>Section 71B of the Principal Act is amended by adding at the</w:t>
      </w:r>
      <w:r w:rsidR="00F62B5B">
        <w:rPr>
          <w:sz w:val="22"/>
          <w:szCs w:val="24"/>
          <w:lang w:val="en-US"/>
        </w:rPr>
        <w:t xml:space="preserve"> </w:t>
      </w:r>
      <w:r w:rsidRPr="00F62B5B">
        <w:rPr>
          <w:sz w:val="22"/>
          <w:szCs w:val="24"/>
          <w:lang w:val="en-US"/>
        </w:rPr>
        <w:t>end the following subsection:</w:t>
      </w:r>
    </w:p>
    <w:p w14:paraId="48E09C2C" w14:textId="77777777" w:rsidR="00FB40E3" w:rsidRPr="00F62B5B" w:rsidRDefault="00FB40E3" w:rsidP="00F62B5B">
      <w:pPr>
        <w:shd w:val="clear" w:color="auto" w:fill="FFFFFF"/>
        <w:spacing w:before="120"/>
        <w:ind w:left="10" w:firstLine="341"/>
        <w:jc w:val="both"/>
        <w:rPr>
          <w:sz w:val="22"/>
        </w:rPr>
      </w:pPr>
      <w:r w:rsidRPr="00F62B5B">
        <w:rPr>
          <w:sz w:val="22"/>
          <w:szCs w:val="24"/>
          <w:lang w:val="en-US"/>
        </w:rPr>
        <w:t>“(2) A wholly owned subsidiary of the Board must not borrow money except under section 71.”.</w:t>
      </w:r>
    </w:p>
    <w:p w14:paraId="6BD41D4C" w14:textId="77777777" w:rsidR="00FB40E3" w:rsidRPr="00F62B5B" w:rsidRDefault="00FB40E3" w:rsidP="00F62B5B">
      <w:pPr>
        <w:shd w:val="clear" w:color="auto" w:fill="FFFFFF"/>
        <w:spacing w:before="120"/>
        <w:ind w:left="14"/>
        <w:jc w:val="both"/>
        <w:rPr>
          <w:sz w:val="22"/>
        </w:rPr>
      </w:pPr>
      <w:r w:rsidRPr="00F62B5B">
        <w:rPr>
          <w:b/>
          <w:bCs/>
          <w:sz w:val="22"/>
          <w:szCs w:val="24"/>
          <w:lang w:val="en-US"/>
        </w:rPr>
        <w:t>Futures contracts</w:t>
      </w:r>
    </w:p>
    <w:p w14:paraId="4374DA3B" w14:textId="77777777" w:rsidR="00FB40E3" w:rsidRPr="00F62B5B" w:rsidRDefault="00FB40E3" w:rsidP="00F62B5B">
      <w:pPr>
        <w:shd w:val="clear" w:color="auto" w:fill="FFFFFF"/>
        <w:tabs>
          <w:tab w:val="left" w:pos="768"/>
        </w:tabs>
        <w:spacing w:before="120"/>
        <w:ind w:left="360"/>
        <w:jc w:val="both"/>
        <w:rPr>
          <w:sz w:val="22"/>
        </w:rPr>
      </w:pPr>
      <w:r w:rsidRPr="00F62B5B">
        <w:rPr>
          <w:b/>
          <w:bCs/>
          <w:sz w:val="22"/>
          <w:szCs w:val="24"/>
          <w:lang w:val="en-US"/>
        </w:rPr>
        <w:t>10.</w:t>
      </w:r>
      <w:r w:rsidRPr="00F62B5B">
        <w:rPr>
          <w:b/>
          <w:bCs/>
          <w:sz w:val="22"/>
          <w:szCs w:val="24"/>
          <w:lang w:val="en-US"/>
        </w:rPr>
        <w:tab/>
      </w:r>
      <w:r w:rsidRPr="00F62B5B">
        <w:rPr>
          <w:sz w:val="22"/>
          <w:szCs w:val="24"/>
          <w:lang w:val="en-US"/>
        </w:rPr>
        <w:t>Section 74 of the Principal Act is amended:</w:t>
      </w:r>
    </w:p>
    <w:p w14:paraId="74E4D961" w14:textId="77777777" w:rsidR="00FB40E3" w:rsidRPr="00F62B5B" w:rsidRDefault="00FB40E3" w:rsidP="00F62B5B">
      <w:pPr>
        <w:shd w:val="clear" w:color="auto" w:fill="FFFFFF"/>
        <w:tabs>
          <w:tab w:val="left" w:pos="792"/>
        </w:tabs>
        <w:spacing w:before="120"/>
        <w:ind w:left="792" w:hanging="384"/>
        <w:jc w:val="both"/>
        <w:rPr>
          <w:sz w:val="22"/>
        </w:rPr>
      </w:pPr>
      <w:r w:rsidRPr="00F62B5B">
        <w:rPr>
          <w:b/>
          <w:bCs/>
          <w:sz w:val="22"/>
          <w:szCs w:val="24"/>
          <w:lang w:val="en-US"/>
        </w:rPr>
        <w:t>(a)</w:t>
      </w:r>
      <w:r w:rsidRPr="00F62B5B">
        <w:rPr>
          <w:sz w:val="22"/>
          <w:szCs w:val="24"/>
          <w:lang w:val="en-US"/>
        </w:rPr>
        <w:tab/>
        <w:t>by adding at the end of subsection (1) the following word and</w:t>
      </w:r>
      <w:r w:rsidR="00F62B5B">
        <w:rPr>
          <w:sz w:val="22"/>
          <w:szCs w:val="24"/>
          <w:lang w:val="en-US"/>
        </w:rPr>
        <w:t xml:space="preserve"> </w:t>
      </w:r>
      <w:r w:rsidRPr="00F62B5B">
        <w:rPr>
          <w:sz w:val="22"/>
          <w:szCs w:val="24"/>
          <w:lang w:val="en-US"/>
        </w:rPr>
        <w:t>paragraph:</w:t>
      </w:r>
    </w:p>
    <w:p w14:paraId="0A74572D" w14:textId="77777777" w:rsidR="00FB40E3" w:rsidRPr="00F62B5B" w:rsidRDefault="00FB40E3" w:rsidP="00F62B5B">
      <w:pPr>
        <w:shd w:val="clear" w:color="auto" w:fill="FFFFFF"/>
        <w:spacing w:before="120"/>
        <w:ind w:left="802"/>
        <w:jc w:val="both"/>
        <w:rPr>
          <w:sz w:val="22"/>
        </w:rPr>
      </w:pPr>
      <w:r w:rsidRPr="00F62B5B">
        <w:rPr>
          <w:sz w:val="22"/>
          <w:szCs w:val="24"/>
          <w:lang w:val="en-US"/>
        </w:rPr>
        <w:t>“; or (f) value adding activities engaged in by the Board.”;</w:t>
      </w:r>
    </w:p>
    <w:p w14:paraId="2C41136B" w14:textId="77777777" w:rsidR="00FB40E3" w:rsidRPr="00F62B5B" w:rsidRDefault="00FB40E3" w:rsidP="00F62B5B">
      <w:pPr>
        <w:shd w:val="clear" w:color="auto" w:fill="FFFFFF"/>
        <w:tabs>
          <w:tab w:val="left" w:pos="792"/>
        </w:tabs>
        <w:spacing w:before="120"/>
        <w:ind w:left="792" w:hanging="384"/>
        <w:jc w:val="both"/>
        <w:rPr>
          <w:sz w:val="22"/>
        </w:rPr>
      </w:pPr>
      <w:r w:rsidRPr="00F62B5B">
        <w:rPr>
          <w:b/>
          <w:bCs/>
          <w:sz w:val="22"/>
          <w:szCs w:val="24"/>
          <w:lang w:val="en-US"/>
        </w:rPr>
        <w:t>(b)</w:t>
      </w:r>
      <w:r w:rsidRPr="00F62B5B">
        <w:rPr>
          <w:sz w:val="22"/>
          <w:szCs w:val="24"/>
          <w:lang w:val="en-US"/>
        </w:rPr>
        <w:tab/>
        <w:t>by adding at the end of subsection (4) the following word and</w:t>
      </w:r>
      <w:r w:rsidR="00F62B5B">
        <w:rPr>
          <w:sz w:val="22"/>
          <w:szCs w:val="24"/>
          <w:lang w:val="en-US"/>
        </w:rPr>
        <w:t xml:space="preserve"> </w:t>
      </w:r>
      <w:r w:rsidRPr="00F62B5B">
        <w:rPr>
          <w:sz w:val="22"/>
          <w:szCs w:val="24"/>
          <w:lang w:val="en-US"/>
        </w:rPr>
        <w:t>paragraph:</w:t>
      </w:r>
    </w:p>
    <w:p w14:paraId="5792C0F1" w14:textId="77777777" w:rsidR="00FB40E3" w:rsidRPr="00F62B5B" w:rsidRDefault="00FB40E3" w:rsidP="00F62B5B">
      <w:pPr>
        <w:shd w:val="clear" w:color="auto" w:fill="FFFFFF"/>
        <w:spacing w:before="120"/>
        <w:ind w:left="1800" w:hanging="994"/>
        <w:jc w:val="both"/>
        <w:rPr>
          <w:sz w:val="22"/>
        </w:rPr>
      </w:pPr>
      <w:r w:rsidRPr="00F62B5B">
        <w:rPr>
          <w:sz w:val="22"/>
          <w:szCs w:val="24"/>
          <w:lang w:val="en-US"/>
        </w:rPr>
        <w:t>“; or (f) the revenues obtainable by the Board from value adding activities.”;</w:t>
      </w:r>
    </w:p>
    <w:p w14:paraId="3400CBEC" w14:textId="77777777" w:rsidR="00FB40E3" w:rsidRPr="00F62B5B" w:rsidRDefault="00FB40E3" w:rsidP="00F62B5B">
      <w:pPr>
        <w:shd w:val="clear" w:color="auto" w:fill="FFFFFF"/>
        <w:tabs>
          <w:tab w:val="left" w:pos="792"/>
        </w:tabs>
        <w:spacing w:before="120"/>
        <w:ind w:left="408"/>
        <w:jc w:val="both"/>
        <w:rPr>
          <w:sz w:val="22"/>
        </w:rPr>
      </w:pPr>
      <w:r w:rsidRPr="00F62B5B">
        <w:rPr>
          <w:b/>
          <w:bCs/>
          <w:sz w:val="22"/>
          <w:szCs w:val="24"/>
          <w:lang w:val="en-US"/>
        </w:rPr>
        <w:t>(c)</w:t>
      </w:r>
      <w:r w:rsidRPr="00F62B5B">
        <w:rPr>
          <w:sz w:val="22"/>
          <w:szCs w:val="24"/>
          <w:lang w:val="en-US"/>
        </w:rPr>
        <w:tab/>
        <w:t>by adding at the end the following subsection:</w:t>
      </w:r>
    </w:p>
    <w:p w14:paraId="1D9BE591" w14:textId="77777777" w:rsidR="00FB40E3" w:rsidRPr="00F62B5B" w:rsidRDefault="00FB40E3" w:rsidP="00F62B5B">
      <w:pPr>
        <w:shd w:val="clear" w:color="auto" w:fill="FFFFFF"/>
        <w:tabs>
          <w:tab w:val="left" w:pos="792"/>
        </w:tabs>
        <w:spacing w:before="120"/>
        <w:ind w:left="408"/>
        <w:jc w:val="both"/>
        <w:rPr>
          <w:sz w:val="22"/>
        </w:rPr>
        <w:sectPr w:rsidR="00FB40E3" w:rsidRPr="00F62B5B" w:rsidSect="00F62B5B">
          <w:pgSz w:w="12240" w:h="15840"/>
          <w:pgMar w:top="1440" w:right="1440" w:bottom="1440" w:left="1440" w:header="720" w:footer="720" w:gutter="0"/>
          <w:cols w:space="60"/>
          <w:noEndnote/>
          <w:docGrid w:linePitch="272"/>
        </w:sectPr>
      </w:pPr>
    </w:p>
    <w:p w14:paraId="00C2B46F" w14:textId="77777777" w:rsidR="00FB40E3" w:rsidRPr="00F62B5B" w:rsidRDefault="00FB40E3" w:rsidP="00F62B5B">
      <w:pPr>
        <w:shd w:val="clear" w:color="auto" w:fill="FFFFFF"/>
        <w:spacing w:before="120"/>
        <w:ind w:left="1008"/>
        <w:jc w:val="both"/>
        <w:rPr>
          <w:sz w:val="22"/>
        </w:rPr>
      </w:pPr>
      <w:r w:rsidRPr="00F62B5B">
        <w:rPr>
          <w:sz w:val="22"/>
          <w:szCs w:val="24"/>
          <w:lang w:val="en-US"/>
        </w:rPr>
        <w:lastRenderedPageBreak/>
        <w:t>“(6) For the purposes of this section:</w:t>
      </w:r>
    </w:p>
    <w:p w14:paraId="4890C81C" w14:textId="77777777" w:rsidR="00FB40E3" w:rsidRPr="00F62B5B" w:rsidRDefault="00FB40E3" w:rsidP="00F62B5B">
      <w:pPr>
        <w:numPr>
          <w:ilvl w:val="0"/>
          <w:numId w:val="4"/>
        </w:numPr>
        <w:shd w:val="clear" w:color="auto" w:fill="FFFFFF"/>
        <w:tabs>
          <w:tab w:val="left" w:pos="1435"/>
        </w:tabs>
        <w:spacing w:before="120"/>
        <w:ind w:left="1435" w:hanging="389"/>
        <w:jc w:val="both"/>
        <w:rPr>
          <w:sz w:val="22"/>
          <w:szCs w:val="24"/>
          <w:lang w:val="en-US"/>
        </w:rPr>
      </w:pPr>
      <w:r w:rsidRPr="00F62B5B">
        <w:rPr>
          <w:sz w:val="22"/>
          <w:szCs w:val="24"/>
          <w:lang w:val="en-US"/>
        </w:rPr>
        <w:t>references to the Board include references to a wholly owned subsidiary of the Board; and</w:t>
      </w:r>
    </w:p>
    <w:p w14:paraId="7559C671" w14:textId="77777777" w:rsidR="00FB40E3" w:rsidRPr="00F62B5B" w:rsidRDefault="00FB40E3" w:rsidP="00F62B5B">
      <w:pPr>
        <w:numPr>
          <w:ilvl w:val="0"/>
          <w:numId w:val="4"/>
        </w:numPr>
        <w:shd w:val="clear" w:color="auto" w:fill="FFFFFF"/>
        <w:tabs>
          <w:tab w:val="left" w:pos="1435"/>
        </w:tabs>
        <w:spacing w:before="120"/>
        <w:ind w:left="1435" w:hanging="389"/>
        <w:jc w:val="both"/>
        <w:rPr>
          <w:sz w:val="22"/>
          <w:szCs w:val="24"/>
          <w:lang w:val="en-US"/>
        </w:rPr>
      </w:pPr>
      <w:r w:rsidRPr="00F62B5B">
        <w:rPr>
          <w:sz w:val="22"/>
          <w:szCs w:val="24"/>
          <w:lang w:val="en-US"/>
        </w:rPr>
        <w:t>references to wheat or other grain include references to grain products.”.</w:t>
      </w:r>
    </w:p>
    <w:p w14:paraId="101ED46A" w14:textId="77777777" w:rsidR="00FB40E3" w:rsidRPr="00F62B5B" w:rsidRDefault="00FB40E3" w:rsidP="00F62B5B">
      <w:pPr>
        <w:shd w:val="clear" w:color="auto" w:fill="FFFFFF"/>
        <w:spacing w:before="120"/>
        <w:ind w:left="10"/>
        <w:jc w:val="both"/>
        <w:rPr>
          <w:sz w:val="22"/>
        </w:rPr>
      </w:pPr>
      <w:r w:rsidRPr="00F62B5B">
        <w:rPr>
          <w:b/>
          <w:bCs/>
          <w:sz w:val="22"/>
          <w:szCs w:val="24"/>
          <w:lang w:val="en-US"/>
        </w:rPr>
        <w:t>Commonwealth to underwrite certain borrowings</w:t>
      </w:r>
    </w:p>
    <w:p w14:paraId="09C7A7A0" w14:textId="77777777" w:rsidR="00FB40E3" w:rsidRPr="00F62B5B" w:rsidRDefault="00FB40E3" w:rsidP="00F62B5B">
      <w:pPr>
        <w:shd w:val="clear" w:color="auto" w:fill="FFFFFF"/>
        <w:tabs>
          <w:tab w:val="left" w:pos="754"/>
        </w:tabs>
        <w:spacing w:before="120"/>
        <w:ind w:left="350"/>
        <w:jc w:val="both"/>
        <w:rPr>
          <w:sz w:val="22"/>
        </w:rPr>
      </w:pPr>
      <w:r w:rsidRPr="00F62B5B">
        <w:rPr>
          <w:b/>
          <w:bCs/>
          <w:sz w:val="22"/>
          <w:szCs w:val="24"/>
          <w:lang w:val="en-US"/>
        </w:rPr>
        <w:t>11.</w:t>
      </w:r>
      <w:r w:rsidRPr="00F62B5B">
        <w:rPr>
          <w:b/>
          <w:bCs/>
          <w:sz w:val="22"/>
          <w:szCs w:val="24"/>
          <w:lang w:val="en-US"/>
        </w:rPr>
        <w:tab/>
      </w:r>
      <w:r w:rsidRPr="00F62B5B">
        <w:rPr>
          <w:sz w:val="22"/>
          <w:szCs w:val="24"/>
          <w:lang w:val="en-US"/>
        </w:rPr>
        <w:t>Section 78 of the Principal Act is amended:</w:t>
      </w:r>
    </w:p>
    <w:p w14:paraId="4B7652AE" w14:textId="77777777" w:rsidR="00FB40E3" w:rsidRPr="00F62B5B" w:rsidRDefault="00FB40E3" w:rsidP="00F62B5B">
      <w:pPr>
        <w:shd w:val="clear" w:color="auto" w:fill="FFFFFF"/>
        <w:tabs>
          <w:tab w:val="left" w:pos="778"/>
        </w:tabs>
        <w:spacing w:before="120"/>
        <w:ind w:left="778" w:hanging="389"/>
        <w:jc w:val="both"/>
        <w:rPr>
          <w:sz w:val="22"/>
        </w:rPr>
      </w:pPr>
      <w:r w:rsidRPr="00F62B5B">
        <w:rPr>
          <w:b/>
          <w:bCs/>
          <w:sz w:val="22"/>
          <w:szCs w:val="24"/>
          <w:lang w:val="en-US"/>
        </w:rPr>
        <w:t>(a)</w:t>
      </w:r>
      <w:r w:rsidRPr="00F62B5B">
        <w:rPr>
          <w:sz w:val="22"/>
          <w:szCs w:val="24"/>
          <w:lang w:val="en-US"/>
        </w:rPr>
        <w:tab/>
        <w:t>by omitting paragraphs (14)(d) and (e) and substituting the</w:t>
      </w:r>
      <w:r w:rsidR="00F62B5B">
        <w:rPr>
          <w:sz w:val="22"/>
          <w:szCs w:val="24"/>
          <w:lang w:val="en-US"/>
        </w:rPr>
        <w:t xml:space="preserve"> </w:t>
      </w:r>
      <w:r w:rsidRPr="00F62B5B">
        <w:rPr>
          <w:sz w:val="22"/>
          <w:szCs w:val="24"/>
          <w:lang w:val="en-US"/>
        </w:rPr>
        <w:t>following word and paragraph:</w:t>
      </w:r>
    </w:p>
    <w:p w14:paraId="154EC7D6" w14:textId="77777777" w:rsidR="00FB40E3" w:rsidRPr="00F62B5B" w:rsidRDefault="00FB40E3" w:rsidP="00F62B5B">
      <w:pPr>
        <w:shd w:val="clear" w:color="auto" w:fill="FFFFFF"/>
        <w:spacing w:before="120"/>
        <w:ind w:left="1790" w:hanging="1008"/>
        <w:jc w:val="both"/>
        <w:rPr>
          <w:sz w:val="22"/>
        </w:rPr>
      </w:pPr>
      <w:r w:rsidRPr="00F62B5B">
        <w:rPr>
          <w:sz w:val="22"/>
          <w:szCs w:val="24"/>
          <w:lang w:val="en-US"/>
        </w:rPr>
        <w:t>“and (d) for the season commencing on 1 July 1992 or a subsequent season 85%.”;</w:t>
      </w:r>
    </w:p>
    <w:p w14:paraId="0A55226E" w14:textId="77777777" w:rsidR="00FB40E3" w:rsidRPr="00F62B5B" w:rsidRDefault="00FB40E3" w:rsidP="00F62B5B">
      <w:pPr>
        <w:shd w:val="clear" w:color="auto" w:fill="FFFFFF"/>
        <w:tabs>
          <w:tab w:val="left" w:pos="778"/>
        </w:tabs>
        <w:spacing w:before="120"/>
        <w:ind w:left="778" w:hanging="389"/>
        <w:jc w:val="both"/>
        <w:rPr>
          <w:sz w:val="22"/>
        </w:rPr>
      </w:pPr>
      <w:r w:rsidRPr="00F62B5B">
        <w:rPr>
          <w:b/>
          <w:bCs/>
          <w:sz w:val="22"/>
          <w:szCs w:val="24"/>
          <w:lang w:val="en-US"/>
        </w:rPr>
        <w:t>(b)</w:t>
      </w:r>
      <w:r w:rsidRPr="00F62B5B">
        <w:rPr>
          <w:sz w:val="22"/>
          <w:szCs w:val="24"/>
          <w:lang w:val="en-US"/>
        </w:rPr>
        <w:tab/>
        <w:t>by omitting from subsection (18) “1993” and substituting</w:t>
      </w:r>
      <w:r w:rsidR="00F62B5B">
        <w:rPr>
          <w:sz w:val="22"/>
          <w:szCs w:val="24"/>
          <w:lang w:val="en-US"/>
        </w:rPr>
        <w:t xml:space="preserve"> </w:t>
      </w:r>
      <w:r w:rsidRPr="00F62B5B">
        <w:rPr>
          <w:sz w:val="22"/>
          <w:szCs w:val="24"/>
          <w:lang w:val="en-US"/>
        </w:rPr>
        <w:t>“1998”.</w:t>
      </w:r>
    </w:p>
    <w:p w14:paraId="7F168696" w14:textId="77777777" w:rsidR="00FB40E3" w:rsidRPr="00F62B5B" w:rsidRDefault="00FB40E3" w:rsidP="00F62B5B">
      <w:pPr>
        <w:shd w:val="clear" w:color="auto" w:fill="FFFFFF"/>
        <w:spacing w:before="120"/>
        <w:ind w:left="5"/>
        <w:jc w:val="both"/>
        <w:rPr>
          <w:sz w:val="22"/>
        </w:rPr>
      </w:pPr>
      <w:r w:rsidRPr="00F62B5B">
        <w:rPr>
          <w:b/>
          <w:bCs/>
          <w:sz w:val="22"/>
          <w:szCs w:val="24"/>
          <w:lang w:val="en-US"/>
        </w:rPr>
        <w:t>Payments into the Fund</w:t>
      </w:r>
    </w:p>
    <w:p w14:paraId="1E362447" w14:textId="77777777" w:rsidR="00FB40E3" w:rsidRPr="00F62B5B" w:rsidRDefault="00FB40E3" w:rsidP="00F62B5B">
      <w:pPr>
        <w:shd w:val="clear" w:color="auto" w:fill="FFFFFF"/>
        <w:tabs>
          <w:tab w:val="left" w:pos="754"/>
        </w:tabs>
        <w:spacing w:before="120"/>
        <w:ind w:firstLine="350"/>
        <w:jc w:val="both"/>
        <w:rPr>
          <w:sz w:val="22"/>
        </w:rPr>
      </w:pPr>
      <w:r w:rsidRPr="00F62B5B">
        <w:rPr>
          <w:b/>
          <w:bCs/>
          <w:sz w:val="22"/>
          <w:szCs w:val="24"/>
          <w:lang w:val="en-US"/>
        </w:rPr>
        <w:t>12.</w:t>
      </w:r>
      <w:r w:rsidRPr="00F62B5B">
        <w:rPr>
          <w:b/>
          <w:bCs/>
          <w:sz w:val="22"/>
          <w:szCs w:val="24"/>
          <w:lang w:val="en-US"/>
        </w:rPr>
        <w:tab/>
      </w:r>
      <w:r w:rsidRPr="00F62B5B">
        <w:rPr>
          <w:sz w:val="22"/>
          <w:szCs w:val="24"/>
          <w:lang w:val="en-US"/>
        </w:rPr>
        <w:t>Section 81 of the Principal Act is amended by inserting in</w:t>
      </w:r>
      <w:r w:rsidR="00F62B5B">
        <w:rPr>
          <w:sz w:val="22"/>
          <w:szCs w:val="24"/>
          <w:lang w:val="en-US"/>
        </w:rPr>
        <w:t xml:space="preserve"> </w:t>
      </w:r>
      <w:r w:rsidRPr="00F62B5B">
        <w:rPr>
          <w:sz w:val="22"/>
          <w:szCs w:val="24"/>
          <w:lang w:val="en-US"/>
        </w:rPr>
        <w:t>paragraph (c) “, including profits derived by the Board from value</w:t>
      </w:r>
      <w:r w:rsidR="00F62B5B">
        <w:rPr>
          <w:sz w:val="22"/>
          <w:szCs w:val="24"/>
          <w:lang w:val="en-US"/>
        </w:rPr>
        <w:t xml:space="preserve"> </w:t>
      </w:r>
      <w:r w:rsidRPr="00F62B5B">
        <w:rPr>
          <w:sz w:val="22"/>
          <w:szCs w:val="24"/>
          <w:lang w:val="en-US"/>
        </w:rPr>
        <w:t>adding activities carried on by the Board or by a person, company or</w:t>
      </w:r>
      <w:r w:rsidR="00F62B5B">
        <w:rPr>
          <w:sz w:val="22"/>
          <w:szCs w:val="24"/>
          <w:lang w:val="en-US"/>
        </w:rPr>
        <w:t xml:space="preserve"> </w:t>
      </w:r>
      <w:r w:rsidRPr="00F62B5B">
        <w:rPr>
          <w:sz w:val="22"/>
          <w:szCs w:val="24"/>
          <w:lang w:val="en-US"/>
        </w:rPr>
        <w:t>body referred to in section 13” after “Fund”.</w:t>
      </w:r>
    </w:p>
    <w:p w14:paraId="1E1A6DF8" w14:textId="77777777" w:rsidR="00FB40E3" w:rsidRPr="00F62B5B" w:rsidRDefault="00FB40E3" w:rsidP="00F62B5B">
      <w:pPr>
        <w:shd w:val="clear" w:color="auto" w:fill="FFFFFF"/>
        <w:spacing w:before="120"/>
        <w:jc w:val="both"/>
        <w:rPr>
          <w:sz w:val="22"/>
        </w:rPr>
      </w:pPr>
      <w:r w:rsidRPr="00F62B5B">
        <w:rPr>
          <w:b/>
          <w:bCs/>
          <w:sz w:val="22"/>
          <w:szCs w:val="24"/>
          <w:lang w:val="en-US"/>
        </w:rPr>
        <w:t>Use of Fund money</w:t>
      </w:r>
    </w:p>
    <w:p w14:paraId="76F98314" w14:textId="77777777" w:rsidR="00FB40E3" w:rsidRPr="00F62B5B" w:rsidRDefault="00FB40E3" w:rsidP="00F62B5B">
      <w:pPr>
        <w:shd w:val="clear" w:color="auto" w:fill="FFFFFF"/>
        <w:tabs>
          <w:tab w:val="left" w:pos="850"/>
        </w:tabs>
        <w:spacing w:before="120"/>
        <w:ind w:firstLine="346"/>
        <w:jc w:val="both"/>
        <w:rPr>
          <w:sz w:val="22"/>
        </w:rPr>
      </w:pPr>
      <w:r w:rsidRPr="00F62B5B">
        <w:rPr>
          <w:b/>
          <w:bCs/>
          <w:sz w:val="22"/>
          <w:szCs w:val="24"/>
          <w:lang w:val="en-US"/>
        </w:rPr>
        <w:t>13.</w:t>
      </w:r>
      <w:r w:rsidRPr="00F62B5B">
        <w:rPr>
          <w:b/>
          <w:bCs/>
          <w:sz w:val="22"/>
          <w:szCs w:val="24"/>
          <w:lang w:val="en-US"/>
        </w:rPr>
        <w:tab/>
      </w:r>
      <w:r w:rsidRPr="00F62B5B">
        <w:rPr>
          <w:sz w:val="22"/>
          <w:szCs w:val="24"/>
          <w:lang w:val="en-US"/>
        </w:rPr>
        <w:t>Section 82 of the Principal Act is amended by inserting after</w:t>
      </w:r>
      <w:r w:rsidR="00F62B5B">
        <w:rPr>
          <w:sz w:val="22"/>
          <w:szCs w:val="24"/>
          <w:lang w:val="en-US"/>
        </w:rPr>
        <w:t xml:space="preserve"> </w:t>
      </w:r>
      <w:r w:rsidRPr="00F62B5B">
        <w:rPr>
          <w:sz w:val="22"/>
          <w:szCs w:val="24"/>
          <w:lang w:val="en-US"/>
        </w:rPr>
        <w:t>paragraph (1)(b) the following paragraph:</w:t>
      </w:r>
    </w:p>
    <w:p w14:paraId="5D269B1D" w14:textId="77777777" w:rsidR="00FB40E3" w:rsidRPr="00F62B5B" w:rsidRDefault="00FB40E3" w:rsidP="00F62B5B">
      <w:pPr>
        <w:shd w:val="clear" w:color="auto" w:fill="FFFFFF"/>
        <w:spacing w:before="120"/>
        <w:ind w:left="370"/>
        <w:jc w:val="both"/>
        <w:rPr>
          <w:sz w:val="22"/>
        </w:rPr>
      </w:pPr>
      <w:r w:rsidRPr="00F62B5B">
        <w:rPr>
          <w:sz w:val="22"/>
          <w:szCs w:val="24"/>
          <w:lang w:val="en-US"/>
        </w:rPr>
        <w:t>“(</w:t>
      </w:r>
      <w:proofErr w:type="spellStart"/>
      <w:r w:rsidRPr="00F62B5B">
        <w:rPr>
          <w:sz w:val="22"/>
          <w:szCs w:val="24"/>
          <w:lang w:val="en-US"/>
        </w:rPr>
        <w:t>ba</w:t>
      </w:r>
      <w:proofErr w:type="spellEnd"/>
      <w:r w:rsidRPr="00F62B5B">
        <w:rPr>
          <w:sz w:val="22"/>
          <w:szCs w:val="24"/>
          <w:lang w:val="en-US"/>
        </w:rPr>
        <w:t>) for any purpose in connection with value adding activities;”.</w:t>
      </w:r>
    </w:p>
    <w:p w14:paraId="2D198353" w14:textId="77777777" w:rsidR="00FB40E3" w:rsidRPr="00F62B5B" w:rsidRDefault="00F62B5B" w:rsidP="00F62B5B">
      <w:pPr>
        <w:shd w:val="clear" w:color="auto" w:fill="FFFFFF"/>
        <w:spacing w:before="600" w:after="120"/>
        <w:jc w:val="center"/>
        <w:rPr>
          <w:sz w:val="22"/>
        </w:rPr>
      </w:pPr>
      <w:r>
        <w:rPr>
          <w:b/>
          <w:bCs/>
          <w:noProof/>
          <w:sz w:val="22"/>
          <w:szCs w:val="24"/>
          <w:lang w:val="en-AU" w:eastAsia="en-AU"/>
        </w:rPr>
        <mc:AlternateContent>
          <mc:Choice Requires="wps">
            <w:drawing>
              <wp:anchor distT="0" distB="0" distL="114300" distR="114300" simplePos="0" relativeHeight="251660288" behindDoc="0" locked="0" layoutInCell="1" allowOverlap="1" wp14:anchorId="25D16A00" wp14:editId="6DDC57DE">
                <wp:simplePos x="0" y="0"/>
                <wp:positionH relativeFrom="column">
                  <wp:posOffset>-159025</wp:posOffset>
                </wp:positionH>
                <wp:positionV relativeFrom="paragraph">
                  <wp:posOffset>263497</wp:posOffset>
                </wp:positionV>
                <wp:extent cx="6194066" cy="0"/>
                <wp:effectExtent l="0" t="0" r="35560" b="19050"/>
                <wp:wrapNone/>
                <wp:docPr id="3" name="Straight Connector 3"/>
                <wp:cNvGraphicFramePr/>
                <a:graphic xmlns:a="http://schemas.openxmlformats.org/drawingml/2006/main">
                  <a:graphicData uri="http://schemas.microsoft.com/office/word/2010/wordprocessingShape">
                    <wps:wsp>
                      <wps:cNvCnPr/>
                      <wps:spPr>
                        <a:xfrm>
                          <a:off x="0" y="0"/>
                          <a:ext cx="61940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B70F96"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20.75pt" to="475.2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" strokecolor="black [3040]"/>
            </w:pict>
          </mc:Fallback>
        </mc:AlternateContent>
      </w:r>
      <w:r>
        <w:rPr>
          <w:b/>
          <w:bCs/>
          <w:noProof/>
          <w:sz w:val="22"/>
          <w:szCs w:val="24"/>
          <w:lang w:val="en-AU" w:eastAsia="en-AU"/>
        </w:rPr>
        <mc:AlternateContent>
          <mc:Choice Requires="wps">
            <w:drawing>
              <wp:anchor distT="0" distB="0" distL="114300" distR="114300" simplePos="0" relativeHeight="251659264" behindDoc="0" locked="0" layoutInCell="1" allowOverlap="1" wp14:anchorId="3923BFA2" wp14:editId="2B7B778E">
                <wp:simplePos x="0" y="0"/>
                <wp:positionH relativeFrom="column">
                  <wp:posOffset>-206733</wp:posOffset>
                </wp:positionH>
                <wp:positionV relativeFrom="paragraph">
                  <wp:posOffset>254883</wp:posOffset>
                </wp:positionV>
                <wp:extent cx="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F51C2B"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pt,20.05pt" to="-16.3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" strokecolor="#4579b8 [3044]"/>
            </w:pict>
          </mc:Fallback>
        </mc:AlternateContent>
      </w:r>
      <w:r w:rsidR="00FB40E3" w:rsidRPr="00F62B5B">
        <w:rPr>
          <w:b/>
          <w:bCs/>
          <w:sz w:val="22"/>
          <w:szCs w:val="24"/>
          <w:lang w:val="en-US"/>
        </w:rPr>
        <w:t>NOTE</w:t>
      </w:r>
    </w:p>
    <w:p w14:paraId="46CFCE2F" w14:textId="00F57B9C" w:rsidR="00FB40E3" w:rsidRPr="004F025D" w:rsidRDefault="00FB40E3" w:rsidP="00F62B5B">
      <w:pPr>
        <w:shd w:val="clear" w:color="auto" w:fill="FFFFFF"/>
        <w:spacing w:before="120"/>
        <w:ind w:left="312" w:hanging="293"/>
        <w:jc w:val="both"/>
        <w:rPr>
          <w:sz w:val="21"/>
          <w:szCs w:val="21"/>
        </w:rPr>
      </w:pPr>
      <w:r w:rsidRPr="004F025D">
        <w:rPr>
          <w:sz w:val="21"/>
          <w:szCs w:val="21"/>
          <w:lang w:val="en-US"/>
        </w:rPr>
        <w:t>1. No. 58</w:t>
      </w:r>
      <w:bookmarkStart w:id="0" w:name="_GoBack"/>
      <w:bookmarkEnd w:id="0"/>
      <w:r w:rsidRPr="004F025D">
        <w:rPr>
          <w:sz w:val="21"/>
          <w:szCs w:val="21"/>
          <w:lang w:val="en-US"/>
        </w:rPr>
        <w:t>, 1989, as amended. For previous amendments see Nos. 16 and 134, 1990; No. 26, 1991; and Nos. 17 and 104, 1992.</w:t>
      </w:r>
    </w:p>
    <w:p w14:paraId="2D25C268" w14:textId="77777777" w:rsidR="00FB40E3" w:rsidRPr="004F025D" w:rsidRDefault="00FB40E3" w:rsidP="00F62B5B">
      <w:pPr>
        <w:shd w:val="clear" w:color="auto" w:fill="FFFFFF"/>
        <w:spacing w:before="240"/>
        <w:jc w:val="both"/>
        <w:rPr>
          <w:sz w:val="21"/>
          <w:szCs w:val="21"/>
        </w:rPr>
      </w:pPr>
      <w:r w:rsidRPr="004F025D">
        <w:rPr>
          <w:sz w:val="21"/>
          <w:szCs w:val="21"/>
          <w:lang w:val="en-US"/>
        </w:rPr>
        <w:t>[</w:t>
      </w:r>
      <w:r w:rsidRPr="004F025D">
        <w:rPr>
          <w:i/>
          <w:iCs/>
          <w:sz w:val="21"/>
          <w:szCs w:val="21"/>
          <w:lang w:val="en-US"/>
        </w:rPr>
        <w:t>Minister’s second reading speech made in</w:t>
      </w:r>
      <w:r w:rsidRPr="004F025D">
        <w:rPr>
          <w:rFonts w:eastAsia="Times New Roman"/>
          <w:sz w:val="21"/>
          <w:szCs w:val="21"/>
          <w:lang w:val="en-US"/>
        </w:rPr>
        <w:t>—</w:t>
      </w:r>
    </w:p>
    <w:p w14:paraId="1C9FE7C0" w14:textId="77777777" w:rsidR="00FB40E3" w:rsidRPr="004F025D" w:rsidRDefault="00FB40E3" w:rsidP="00F62B5B">
      <w:pPr>
        <w:shd w:val="clear" w:color="auto" w:fill="FFFFFF"/>
        <w:ind w:left="744"/>
        <w:jc w:val="both"/>
        <w:rPr>
          <w:sz w:val="21"/>
          <w:szCs w:val="21"/>
        </w:rPr>
      </w:pPr>
      <w:r w:rsidRPr="004F025D">
        <w:rPr>
          <w:i/>
          <w:iCs/>
          <w:sz w:val="21"/>
          <w:szCs w:val="21"/>
          <w:lang w:val="en-US"/>
        </w:rPr>
        <w:t>House of Representatives on 14 October 1992</w:t>
      </w:r>
    </w:p>
    <w:p w14:paraId="3D8A6DAB" w14:textId="77777777" w:rsidR="00FB40E3" w:rsidRPr="004F025D" w:rsidRDefault="00FB40E3" w:rsidP="00F62B5B">
      <w:pPr>
        <w:shd w:val="clear" w:color="auto" w:fill="FFFFFF"/>
        <w:ind w:left="744"/>
        <w:jc w:val="both"/>
        <w:rPr>
          <w:sz w:val="21"/>
          <w:szCs w:val="21"/>
        </w:rPr>
      </w:pPr>
      <w:r w:rsidRPr="004F025D">
        <w:rPr>
          <w:i/>
          <w:iCs/>
          <w:sz w:val="21"/>
          <w:szCs w:val="21"/>
          <w:lang w:val="en-US"/>
        </w:rPr>
        <w:t>Senate on 9 November 1992</w:t>
      </w:r>
      <w:r w:rsidRPr="004F025D">
        <w:rPr>
          <w:sz w:val="21"/>
          <w:szCs w:val="21"/>
          <w:lang w:val="en-US"/>
        </w:rPr>
        <w:t>]</w:t>
      </w:r>
    </w:p>
    <w:sectPr w:rsidR="00FB40E3" w:rsidRPr="004F025D" w:rsidSect="00F62B5B">
      <w:pgSz w:w="12240" w:h="15840"/>
      <w:pgMar w:top="1440" w:right="1440" w:bottom="1440" w:left="1440" w:header="720" w:footer="720" w:gutter="0"/>
      <w:cols w:space="60"/>
      <w:noEndnote/>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B68954" w15:done="0"/>
  <w15:commentEx w15:paraId="13B8781C" w15:done="0"/>
  <w15:commentEx w15:paraId="736DF31B" w15:done="0"/>
  <w15:commentEx w15:paraId="3EAA88D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B68954" w16cid:durableId="20ACE7A3"/>
  <w16cid:commentId w16cid:paraId="13B8781C" w16cid:durableId="20ACE7AF"/>
  <w16cid:commentId w16cid:paraId="736DF31B" w16cid:durableId="20ACE7CF"/>
  <w16cid:commentId w16cid:paraId="3EAA88D4" w16cid:durableId="20ACE82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01EDF2" w14:textId="77777777" w:rsidR="00D47295" w:rsidRDefault="00D47295" w:rsidP="008E5F18">
      <w:r>
        <w:separator/>
      </w:r>
    </w:p>
  </w:endnote>
  <w:endnote w:type="continuationSeparator" w:id="0">
    <w:p w14:paraId="6CEB8864" w14:textId="77777777" w:rsidR="00D47295" w:rsidRDefault="00D47295" w:rsidP="008E5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7744D" w14:textId="77777777" w:rsidR="00D47295" w:rsidRDefault="00D47295" w:rsidP="008E5F18">
      <w:r>
        <w:separator/>
      </w:r>
    </w:p>
  </w:footnote>
  <w:footnote w:type="continuationSeparator" w:id="0">
    <w:p w14:paraId="187CA9DD" w14:textId="77777777" w:rsidR="00D47295" w:rsidRDefault="00D47295" w:rsidP="008E5F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32C74" w14:textId="77777777" w:rsidR="008E5F18" w:rsidRPr="008E5F18" w:rsidRDefault="008E5F18" w:rsidP="008E5F18">
    <w:pPr>
      <w:pStyle w:val="Header"/>
      <w:tabs>
        <w:tab w:val="clear" w:pos="4680"/>
        <w:tab w:val="center" w:pos="4050"/>
      </w:tabs>
      <w:jc w:val="center"/>
      <w:rPr>
        <w:sz w:val="22"/>
      </w:rPr>
    </w:pPr>
    <w:r w:rsidRPr="008E5F18">
      <w:rPr>
        <w:i/>
        <w:iCs/>
        <w:sz w:val="22"/>
        <w:szCs w:val="24"/>
        <w:lang w:val="en-US" w:eastAsia="en-US"/>
      </w:rPr>
      <w:t>Wheat Marketing Amendment</w:t>
    </w:r>
    <w:r w:rsidRPr="008E5F18">
      <w:rPr>
        <w:i/>
        <w:iCs/>
        <w:sz w:val="22"/>
        <w:szCs w:val="24"/>
        <w:lang w:val="en-US" w:eastAsia="en-US"/>
      </w:rPr>
      <w:tab/>
      <w:t>No. 154, 1992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5761"/>
    <w:multiLevelType w:val="singleLevel"/>
    <w:tmpl w:val="B7722466"/>
    <w:lvl w:ilvl="0">
      <w:start w:val="1"/>
      <w:numFmt w:val="lowerLetter"/>
      <w:lvlText w:val="(%1)"/>
      <w:legacy w:legacy="1" w:legacySpace="0" w:legacyIndent="394"/>
      <w:lvlJc w:val="left"/>
      <w:rPr>
        <w:rFonts w:ascii="Times New Roman" w:hAnsi="Times New Roman" w:cs="Times New Roman" w:hint="default"/>
      </w:rPr>
    </w:lvl>
  </w:abstractNum>
  <w:abstractNum w:abstractNumId="1">
    <w:nsid w:val="4FDB4EDC"/>
    <w:multiLevelType w:val="singleLevel"/>
    <w:tmpl w:val="F47CD228"/>
    <w:lvl w:ilvl="0">
      <w:start w:val="2"/>
      <w:numFmt w:val="lowerLetter"/>
      <w:lvlText w:val="(%1)"/>
      <w:legacy w:legacy="1" w:legacySpace="0" w:legacyIndent="394"/>
      <w:lvlJc w:val="left"/>
      <w:rPr>
        <w:rFonts w:ascii="Times New Roman" w:hAnsi="Times New Roman" w:cs="Times New Roman" w:hint="default"/>
      </w:rPr>
    </w:lvl>
  </w:abstractNum>
  <w:abstractNum w:abstractNumId="2">
    <w:nsid w:val="5C062B74"/>
    <w:multiLevelType w:val="singleLevel"/>
    <w:tmpl w:val="7E76D3C6"/>
    <w:lvl w:ilvl="0">
      <w:start w:val="1"/>
      <w:numFmt w:val="lowerLetter"/>
      <w:lvlText w:val="(%1)"/>
      <w:legacy w:legacy="1" w:legacySpace="0" w:legacyIndent="384"/>
      <w:lvlJc w:val="left"/>
      <w:rPr>
        <w:rFonts w:ascii="Times New Roman" w:hAnsi="Times New Roman" w:cs="Times New Roman" w:hint="default"/>
      </w:rPr>
    </w:lvl>
  </w:abstractNum>
  <w:abstractNum w:abstractNumId="3">
    <w:nsid w:val="7EB250B6"/>
    <w:multiLevelType w:val="singleLevel"/>
    <w:tmpl w:val="4BC4266C"/>
    <w:lvl w:ilvl="0">
      <w:start w:val="1"/>
      <w:numFmt w:val="lowerLetter"/>
      <w:lvlText w:val="(%1)"/>
      <w:legacy w:legacy="1" w:legacySpace="0" w:legacyIndent="389"/>
      <w:lvlJc w:val="left"/>
      <w:rPr>
        <w:rFonts w:ascii="Times New Roman" w:hAnsi="Times New Roman" w:cs="Times New Roman" w:hint="default"/>
      </w:r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934"/>
    <w:rsid w:val="0001378F"/>
    <w:rsid w:val="002E2FFC"/>
    <w:rsid w:val="004B317C"/>
    <w:rsid w:val="004F025D"/>
    <w:rsid w:val="008E5F18"/>
    <w:rsid w:val="00AE5AF7"/>
    <w:rsid w:val="00B674CD"/>
    <w:rsid w:val="00BA0934"/>
    <w:rsid w:val="00BA5BB8"/>
    <w:rsid w:val="00BB5AE2"/>
    <w:rsid w:val="00BD0ED9"/>
    <w:rsid w:val="00C22434"/>
    <w:rsid w:val="00D47295"/>
    <w:rsid w:val="00DD3D55"/>
    <w:rsid w:val="00F62B5B"/>
    <w:rsid w:val="00F63DC4"/>
    <w:rsid w:val="00FB40E3"/>
    <w:rsid w:val="00FF75B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8F94D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E5F18"/>
    <w:pPr>
      <w:tabs>
        <w:tab w:val="center" w:pos="4680"/>
        <w:tab w:val="right" w:pos="9360"/>
      </w:tabs>
    </w:pPr>
  </w:style>
  <w:style w:type="character" w:customStyle="1" w:styleId="HeaderChar">
    <w:name w:val="Header Char"/>
    <w:basedOn w:val="DefaultParagraphFont"/>
    <w:link w:val="Header"/>
    <w:uiPriority w:val="99"/>
    <w:rsid w:val="008E5F18"/>
    <w:rPr>
      <w:rFonts w:ascii="Times New Roman" w:hAnsi="Times New Roman"/>
      <w:sz w:val="20"/>
      <w:szCs w:val="20"/>
      <w:lang w:val="en-IN" w:eastAsia="en-IN"/>
    </w:rPr>
  </w:style>
  <w:style w:type="paragraph" w:styleId="Footer">
    <w:name w:val="footer"/>
    <w:basedOn w:val="Normal"/>
    <w:link w:val="FooterChar"/>
    <w:uiPriority w:val="99"/>
    <w:rsid w:val="008E5F18"/>
    <w:pPr>
      <w:tabs>
        <w:tab w:val="center" w:pos="4680"/>
        <w:tab w:val="right" w:pos="9360"/>
      </w:tabs>
    </w:pPr>
  </w:style>
  <w:style w:type="character" w:customStyle="1" w:styleId="FooterChar">
    <w:name w:val="Footer Char"/>
    <w:basedOn w:val="DefaultParagraphFont"/>
    <w:link w:val="Footer"/>
    <w:uiPriority w:val="99"/>
    <w:rsid w:val="008E5F18"/>
    <w:rPr>
      <w:rFonts w:ascii="Times New Roman" w:hAnsi="Times New Roman"/>
      <w:sz w:val="20"/>
      <w:szCs w:val="20"/>
      <w:lang w:val="en-IN" w:eastAsia="en-IN"/>
    </w:rPr>
  </w:style>
  <w:style w:type="paragraph" w:styleId="BalloonText">
    <w:name w:val="Balloon Text"/>
    <w:basedOn w:val="Normal"/>
    <w:link w:val="BalloonTextChar"/>
    <w:uiPriority w:val="99"/>
    <w:rsid w:val="00C22434"/>
    <w:rPr>
      <w:rFonts w:ascii="Tahoma" w:hAnsi="Tahoma" w:cs="Tahoma"/>
      <w:sz w:val="16"/>
      <w:szCs w:val="16"/>
    </w:rPr>
  </w:style>
  <w:style w:type="character" w:customStyle="1" w:styleId="BalloonTextChar">
    <w:name w:val="Balloon Text Char"/>
    <w:basedOn w:val="DefaultParagraphFont"/>
    <w:link w:val="BalloonText"/>
    <w:uiPriority w:val="99"/>
    <w:rsid w:val="00C22434"/>
    <w:rPr>
      <w:rFonts w:ascii="Tahoma" w:hAnsi="Tahoma" w:cs="Tahoma"/>
      <w:sz w:val="16"/>
      <w:szCs w:val="16"/>
      <w:lang w:val="en-IN" w:eastAsia="en-IN"/>
    </w:rPr>
  </w:style>
  <w:style w:type="character" w:styleId="CommentReference">
    <w:name w:val="annotation reference"/>
    <w:basedOn w:val="DefaultParagraphFont"/>
    <w:uiPriority w:val="99"/>
    <w:semiHidden/>
    <w:unhideWhenUsed/>
    <w:rsid w:val="004B317C"/>
    <w:rPr>
      <w:sz w:val="16"/>
      <w:szCs w:val="16"/>
    </w:rPr>
  </w:style>
  <w:style w:type="paragraph" w:styleId="CommentText">
    <w:name w:val="annotation text"/>
    <w:basedOn w:val="Normal"/>
    <w:link w:val="CommentTextChar"/>
    <w:uiPriority w:val="99"/>
    <w:semiHidden/>
    <w:unhideWhenUsed/>
    <w:rsid w:val="004B317C"/>
  </w:style>
  <w:style w:type="character" w:customStyle="1" w:styleId="CommentTextChar">
    <w:name w:val="Comment Text Char"/>
    <w:basedOn w:val="DefaultParagraphFont"/>
    <w:link w:val="CommentText"/>
    <w:uiPriority w:val="99"/>
    <w:semiHidden/>
    <w:rsid w:val="004B317C"/>
    <w:rPr>
      <w:rFonts w:ascii="Times New Roman" w:hAnsi="Times New Roman"/>
      <w:sz w:val="20"/>
      <w:szCs w:val="20"/>
      <w:lang w:val="en-IN" w:eastAsia="en-IN"/>
    </w:rPr>
  </w:style>
  <w:style w:type="paragraph" w:styleId="CommentSubject">
    <w:name w:val="annotation subject"/>
    <w:basedOn w:val="CommentText"/>
    <w:next w:val="CommentText"/>
    <w:link w:val="CommentSubjectChar"/>
    <w:uiPriority w:val="99"/>
    <w:semiHidden/>
    <w:unhideWhenUsed/>
    <w:rsid w:val="004B317C"/>
    <w:rPr>
      <w:b/>
      <w:bCs/>
    </w:rPr>
  </w:style>
  <w:style w:type="character" w:customStyle="1" w:styleId="CommentSubjectChar">
    <w:name w:val="Comment Subject Char"/>
    <w:basedOn w:val="CommentTextChar"/>
    <w:link w:val="CommentSubject"/>
    <w:uiPriority w:val="99"/>
    <w:semiHidden/>
    <w:rsid w:val="004B317C"/>
    <w:rPr>
      <w:rFonts w:ascii="Times New Roman" w:hAnsi="Times New Roman"/>
      <w:b/>
      <w:bCs/>
      <w:sz w:val="20"/>
      <w:szCs w:val="20"/>
      <w:lang w:val="en-IN" w:eastAsia="en-IN"/>
    </w:rPr>
  </w:style>
  <w:style w:type="paragraph" w:styleId="Revision">
    <w:name w:val="Revision"/>
    <w:hidden/>
    <w:uiPriority w:val="99"/>
    <w:semiHidden/>
    <w:rsid w:val="004F025D"/>
    <w:pPr>
      <w:spacing w:after="0" w:line="240" w:lineRule="auto"/>
    </w:pPr>
    <w:rPr>
      <w:rFonts w:ascii="Times New Roman" w:hAnsi="Times New Roman"/>
      <w:sz w:val="20"/>
      <w:szCs w:val="20"/>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E5F18"/>
    <w:pPr>
      <w:tabs>
        <w:tab w:val="center" w:pos="4680"/>
        <w:tab w:val="right" w:pos="9360"/>
      </w:tabs>
    </w:pPr>
  </w:style>
  <w:style w:type="character" w:customStyle="1" w:styleId="HeaderChar">
    <w:name w:val="Header Char"/>
    <w:basedOn w:val="DefaultParagraphFont"/>
    <w:link w:val="Header"/>
    <w:uiPriority w:val="99"/>
    <w:rsid w:val="008E5F18"/>
    <w:rPr>
      <w:rFonts w:ascii="Times New Roman" w:hAnsi="Times New Roman"/>
      <w:sz w:val="20"/>
      <w:szCs w:val="20"/>
      <w:lang w:val="en-IN" w:eastAsia="en-IN"/>
    </w:rPr>
  </w:style>
  <w:style w:type="paragraph" w:styleId="Footer">
    <w:name w:val="footer"/>
    <w:basedOn w:val="Normal"/>
    <w:link w:val="FooterChar"/>
    <w:uiPriority w:val="99"/>
    <w:rsid w:val="008E5F18"/>
    <w:pPr>
      <w:tabs>
        <w:tab w:val="center" w:pos="4680"/>
        <w:tab w:val="right" w:pos="9360"/>
      </w:tabs>
    </w:pPr>
  </w:style>
  <w:style w:type="character" w:customStyle="1" w:styleId="FooterChar">
    <w:name w:val="Footer Char"/>
    <w:basedOn w:val="DefaultParagraphFont"/>
    <w:link w:val="Footer"/>
    <w:uiPriority w:val="99"/>
    <w:rsid w:val="008E5F18"/>
    <w:rPr>
      <w:rFonts w:ascii="Times New Roman" w:hAnsi="Times New Roman"/>
      <w:sz w:val="20"/>
      <w:szCs w:val="20"/>
      <w:lang w:val="en-IN" w:eastAsia="en-IN"/>
    </w:rPr>
  </w:style>
  <w:style w:type="paragraph" w:styleId="BalloonText">
    <w:name w:val="Balloon Text"/>
    <w:basedOn w:val="Normal"/>
    <w:link w:val="BalloonTextChar"/>
    <w:uiPriority w:val="99"/>
    <w:rsid w:val="00C22434"/>
    <w:rPr>
      <w:rFonts w:ascii="Tahoma" w:hAnsi="Tahoma" w:cs="Tahoma"/>
      <w:sz w:val="16"/>
      <w:szCs w:val="16"/>
    </w:rPr>
  </w:style>
  <w:style w:type="character" w:customStyle="1" w:styleId="BalloonTextChar">
    <w:name w:val="Balloon Text Char"/>
    <w:basedOn w:val="DefaultParagraphFont"/>
    <w:link w:val="BalloonText"/>
    <w:uiPriority w:val="99"/>
    <w:rsid w:val="00C22434"/>
    <w:rPr>
      <w:rFonts w:ascii="Tahoma" w:hAnsi="Tahoma" w:cs="Tahoma"/>
      <w:sz w:val="16"/>
      <w:szCs w:val="16"/>
      <w:lang w:val="en-IN" w:eastAsia="en-IN"/>
    </w:rPr>
  </w:style>
  <w:style w:type="character" w:styleId="CommentReference">
    <w:name w:val="annotation reference"/>
    <w:basedOn w:val="DefaultParagraphFont"/>
    <w:uiPriority w:val="99"/>
    <w:semiHidden/>
    <w:unhideWhenUsed/>
    <w:rsid w:val="004B317C"/>
    <w:rPr>
      <w:sz w:val="16"/>
      <w:szCs w:val="16"/>
    </w:rPr>
  </w:style>
  <w:style w:type="paragraph" w:styleId="CommentText">
    <w:name w:val="annotation text"/>
    <w:basedOn w:val="Normal"/>
    <w:link w:val="CommentTextChar"/>
    <w:uiPriority w:val="99"/>
    <w:semiHidden/>
    <w:unhideWhenUsed/>
    <w:rsid w:val="004B317C"/>
  </w:style>
  <w:style w:type="character" w:customStyle="1" w:styleId="CommentTextChar">
    <w:name w:val="Comment Text Char"/>
    <w:basedOn w:val="DefaultParagraphFont"/>
    <w:link w:val="CommentText"/>
    <w:uiPriority w:val="99"/>
    <w:semiHidden/>
    <w:rsid w:val="004B317C"/>
    <w:rPr>
      <w:rFonts w:ascii="Times New Roman" w:hAnsi="Times New Roman"/>
      <w:sz w:val="20"/>
      <w:szCs w:val="20"/>
      <w:lang w:val="en-IN" w:eastAsia="en-IN"/>
    </w:rPr>
  </w:style>
  <w:style w:type="paragraph" w:styleId="CommentSubject">
    <w:name w:val="annotation subject"/>
    <w:basedOn w:val="CommentText"/>
    <w:next w:val="CommentText"/>
    <w:link w:val="CommentSubjectChar"/>
    <w:uiPriority w:val="99"/>
    <w:semiHidden/>
    <w:unhideWhenUsed/>
    <w:rsid w:val="004B317C"/>
    <w:rPr>
      <w:b/>
      <w:bCs/>
    </w:rPr>
  </w:style>
  <w:style w:type="character" w:customStyle="1" w:styleId="CommentSubjectChar">
    <w:name w:val="Comment Subject Char"/>
    <w:basedOn w:val="CommentTextChar"/>
    <w:link w:val="CommentSubject"/>
    <w:uiPriority w:val="99"/>
    <w:semiHidden/>
    <w:rsid w:val="004B317C"/>
    <w:rPr>
      <w:rFonts w:ascii="Times New Roman" w:hAnsi="Times New Roman"/>
      <w:b/>
      <w:bCs/>
      <w:sz w:val="20"/>
      <w:szCs w:val="20"/>
      <w:lang w:val="en-IN" w:eastAsia="en-IN"/>
    </w:rPr>
  </w:style>
  <w:style w:type="paragraph" w:styleId="Revision">
    <w:name w:val="Revision"/>
    <w:hidden/>
    <w:uiPriority w:val="99"/>
    <w:semiHidden/>
    <w:rsid w:val="004F025D"/>
    <w:pPr>
      <w:spacing w:after="0" w:line="240" w:lineRule="auto"/>
    </w:pPr>
    <w:rPr>
      <w:rFonts w:ascii="Times New Roman" w:hAnsi="Times New Roman"/>
      <w:sz w:val="20"/>
      <w:szCs w:val="20"/>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931</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USER_015</dc:creator>
  <cp:keywords/>
  <dc:description/>
  <cp:lastModifiedBy>Ziegler, Liesl</cp:lastModifiedBy>
  <cp:revision>3</cp:revision>
  <dcterms:created xsi:type="dcterms:W3CDTF">2019-06-13T05:20:00Z</dcterms:created>
  <dcterms:modified xsi:type="dcterms:W3CDTF">2019-10-23T21:58:00Z</dcterms:modified>
</cp:coreProperties>
</file>