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69" w:rsidRDefault="00931A02" w:rsidP="007D173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84.15pt" fillcolor="window">
            <v:imagedata r:id="rId9" o:title=""/>
          </v:shape>
        </w:pict>
      </w:r>
    </w:p>
    <w:p w:rsidR="00CF0469" w:rsidRDefault="00CF0469" w:rsidP="00CF0469"/>
    <w:p w:rsidR="00CF0469" w:rsidRDefault="00CF0469" w:rsidP="00CF0469"/>
    <w:p w:rsidR="00CF0469" w:rsidRDefault="00CF0469" w:rsidP="00CF0469"/>
    <w:p w:rsidR="00CF0469" w:rsidRDefault="00CF0469" w:rsidP="00CF0469"/>
    <w:p w:rsidR="00CF0469" w:rsidRDefault="00CF0469" w:rsidP="00CF0469"/>
    <w:p w:rsidR="00CF0469" w:rsidRDefault="00CF0469" w:rsidP="00CF0469"/>
    <w:p w:rsidR="00CF0469" w:rsidRDefault="00CF0469" w:rsidP="00CF0469">
      <w:pPr>
        <w:pStyle w:val="ShortT"/>
        <w:spacing w:before="0"/>
      </w:pPr>
      <w:r>
        <w:t>Fisheries Agreements (Payments) Act 1991</w:t>
      </w:r>
    </w:p>
    <w:p w:rsidR="00CF0469" w:rsidRPr="00AC0357" w:rsidRDefault="00CF0469" w:rsidP="00CF0469"/>
    <w:p w:rsidR="00CF0469" w:rsidRPr="00AC0357" w:rsidRDefault="00CF0469" w:rsidP="00CF0469">
      <w:pPr>
        <w:pStyle w:val="Actno"/>
        <w:spacing w:before="400"/>
        <w:rPr>
          <w:sz w:val="40"/>
        </w:rPr>
      </w:pPr>
      <w:r w:rsidRPr="00AC0357">
        <w:rPr>
          <w:sz w:val="40"/>
        </w:rPr>
        <w:t>No. 151, 1991</w:t>
      </w:r>
    </w:p>
    <w:p w:rsidR="00CF0469" w:rsidRPr="00AC0357" w:rsidRDefault="00CF0469" w:rsidP="00CF0469"/>
    <w:p w:rsidR="00CF0469" w:rsidRPr="00AC0357" w:rsidRDefault="00CF0469" w:rsidP="00CF0469"/>
    <w:p w:rsidR="00CF0469" w:rsidRPr="00AC0357" w:rsidRDefault="00CF0469" w:rsidP="00CF0469"/>
    <w:p w:rsidR="00CF0469" w:rsidRPr="00AC0357" w:rsidRDefault="00CF0469" w:rsidP="00CF0469"/>
    <w:p w:rsidR="00CF0469" w:rsidRPr="00AC0357" w:rsidRDefault="00CF0469" w:rsidP="00CF0469"/>
    <w:p w:rsidR="00CF0469" w:rsidRDefault="00CF0469" w:rsidP="00CF0469">
      <w:pPr>
        <w:pStyle w:val="LongT"/>
      </w:pPr>
      <w:r>
        <w:t>An Act relating to payments under certain fisheries agreements</w:t>
      </w:r>
    </w:p>
    <w:p w:rsidR="00CF0469" w:rsidRDefault="00CF0469" w:rsidP="00CF0469">
      <w:pPr>
        <w:pStyle w:val="Header"/>
      </w:pPr>
      <w:r>
        <w:rPr>
          <w:rStyle w:val="CharChapNo"/>
        </w:rPr>
        <w:t xml:space="preserve"> </w:t>
      </w:r>
      <w:r>
        <w:rPr>
          <w:rStyle w:val="CharChapText"/>
        </w:rPr>
        <w:t xml:space="preserve"> </w:t>
      </w:r>
    </w:p>
    <w:p w:rsidR="00CF0469" w:rsidRDefault="00CF0469" w:rsidP="00CF0469">
      <w:pPr>
        <w:pStyle w:val="Header"/>
      </w:pPr>
      <w:r>
        <w:rPr>
          <w:rStyle w:val="CharPartNo"/>
        </w:rPr>
        <w:t xml:space="preserve"> </w:t>
      </w:r>
      <w:r>
        <w:rPr>
          <w:rStyle w:val="CharPartText"/>
        </w:rPr>
        <w:t xml:space="preserve"> </w:t>
      </w:r>
    </w:p>
    <w:p w:rsidR="00CF0469" w:rsidRDefault="00CF0469" w:rsidP="00CF0469">
      <w:pPr>
        <w:pStyle w:val="Header"/>
      </w:pPr>
      <w:r>
        <w:rPr>
          <w:rStyle w:val="CharDivNo"/>
        </w:rPr>
        <w:t xml:space="preserve"> </w:t>
      </w:r>
      <w:r>
        <w:rPr>
          <w:rStyle w:val="CharDivText"/>
        </w:rPr>
        <w:t xml:space="preserve"> </w:t>
      </w:r>
    </w:p>
    <w:p w:rsidR="007336BA" w:rsidRDefault="007336BA" w:rsidP="007336BA">
      <w:pPr>
        <w:sectPr w:rsidR="007336BA" w:rsidSect="004E23FA">
          <w:headerReference w:type="even" r:id="rId10"/>
          <w:footerReference w:type="even" r:id="rId11"/>
          <w:footerReference w:type="first" r:id="rId12"/>
          <w:type w:val="oddPage"/>
          <w:pgSz w:w="11906" w:h="16838" w:code="9"/>
          <w:pgMar w:top="2268" w:right="2410" w:bottom="3827" w:left="2410" w:header="567" w:footer="3119" w:gutter="0"/>
          <w:pgNumType w:fmt="lowerRoman"/>
          <w:cols w:space="708"/>
          <w:docGrid w:linePitch="360"/>
        </w:sectPr>
      </w:pPr>
    </w:p>
    <w:p w:rsidR="007336BA" w:rsidRDefault="007336BA" w:rsidP="007336BA">
      <w:pPr>
        <w:pStyle w:val="Contents"/>
      </w:pPr>
      <w:r>
        <w:lastRenderedPageBreak/>
        <w:t>Contents</w:t>
      </w:r>
    </w:p>
    <w:p w:rsidR="007D1735" w:rsidRDefault="007D1735">
      <w:pPr>
        <w:pStyle w:val="TOC5"/>
        <w:rPr>
          <w:rFonts w:asciiTheme="minorHAnsi" w:eastAsiaTheme="minorEastAsia" w:hAnsiTheme="minorHAnsi" w:cstheme="minorBidi"/>
          <w:iCs w:val="0"/>
          <w:noProof/>
          <w:kern w:val="0"/>
          <w:sz w:val="22"/>
          <w:szCs w:val="22"/>
        </w:rPr>
      </w:pPr>
      <w:r>
        <w:fldChar w:fldCharType="begin"/>
      </w:r>
      <w:r>
        <w:instrText xml:space="preserve"> TOC \o "1-9" \t "ActHead 1,2,ActHead 2,2,ActHead 3,3,ActHead 4,4,ActHead 5,5, Schedule,2, Schedule Text,3, NotesSection,6" </w:instrText>
      </w:r>
      <w:r>
        <w:fldChar w:fldCharType="separate"/>
      </w:r>
      <w:r>
        <w:rPr>
          <w:noProof/>
        </w:rPr>
        <w:t>1</w:t>
      </w:r>
      <w:r>
        <w:rPr>
          <w:noProof/>
        </w:rPr>
        <w:tab/>
        <w:t>Short title</w:t>
      </w:r>
      <w:r w:rsidRPr="007D1735">
        <w:rPr>
          <w:rFonts w:ascii="Times" w:hAnsi="Times" w:cs="Times"/>
          <w:noProof/>
        </w:rPr>
        <w:tab/>
      </w:r>
      <w:r w:rsidRPr="007D1735">
        <w:rPr>
          <w:rFonts w:ascii="Times" w:hAnsi="Times" w:cs="Times"/>
          <w:noProof/>
        </w:rPr>
        <w:fldChar w:fldCharType="begin"/>
      </w:r>
      <w:r w:rsidRPr="007D1735">
        <w:rPr>
          <w:rFonts w:ascii="Times" w:hAnsi="Times" w:cs="Times"/>
          <w:noProof/>
        </w:rPr>
        <w:instrText xml:space="preserve"> PAGEREF _Toc347231668 \h </w:instrText>
      </w:r>
      <w:r w:rsidRPr="007D1735">
        <w:rPr>
          <w:rFonts w:ascii="Times" w:hAnsi="Times" w:cs="Times"/>
          <w:noProof/>
        </w:rPr>
      </w:r>
      <w:r w:rsidRPr="007D1735">
        <w:rPr>
          <w:rFonts w:ascii="Times" w:hAnsi="Times" w:cs="Times"/>
          <w:noProof/>
        </w:rPr>
        <w:fldChar w:fldCharType="separate"/>
      </w:r>
      <w:r w:rsidRPr="007D1735">
        <w:rPr>
          <w:rFonts w:ascii="Times" w:hAnsi="Times" w:cs="Times"/>
          <w:noProof/>
        </w:rPr>
        <w:t>1</w:t>
      </w:r>
      <w:r w:rsidRPr="007D1735">
        <w:rPr>
          <w:rFonts w:ascii="Times" w:hAnsi="Times" w:cs="Times"/>
          <w:noProof/>
        </w:rPr>
        <w:fldChar w:fldCharType="end"/>
      </w:r>
    </w:p>
    <w:p w:rsidR="007D1735" w:rsidRDefault="007D1735">
      <w:pPr>
        <w:pStyle w:val="TOC5"/>
        <w:rPr>
          <w:rFonts w:asciiTheme="minorHAnsi" w:eastAsiaTheme="minorEastAsia" w:hAnsiTheme="minorHAnsi" w:cstheme="minorBidi"/>
          <w:iCs w:val="0"/>
          <w:noProof/>
          <w:kern w:val="0"/>
          <w:sz w:val="22"/>
          <w:szCs w:val="22"/>
        </w:rPr>
      </w:pPr>
      <w:r>
        <w:rPr>
          <w:noProof/>
        </w:rPr>
        <w:t>2</w:t>
      </w:r>
      <w:r>
        <w:rPr>
          <w:noProof/>
        </w:rPr>
        <w:tab/>
        <w:t>Commencement</w:t>
      </w:r>
      <w:r w:rsidRPr="007D1735">
        <w:rPr>
          <w:rFonts w:ascii="Times" w:hAnsi="Times" w:cs="Times"/>
          <w:noProof/>
        </w:rPr>
        <w:tab/>
      </w:r>
      <w:r w:rsidRPr="007D1735">
        <w:rPr>
          <w:rFonts w:ascii="Times" w:hAnsi="Times" w:cs="Times"/>
          <w:noProof/>
        </w:rPr>
        <w:fldChar w:fldCharType="begin"/>
      </w:r>
      <w:r w:rsidRPr="007D1735">
        <w:rPr>
          <w:rFonts w:ascii="Times" w:hAnsi="Times" w:cs="Times"/>
          <w:noProof/>
        </w:rPr>
        <w:instrText xml:space="preserve"> PAGEREF _Toc347231669 \h </w:instrText>
      </w:r>
      <w:r w:rsidRPr="007D1735">
        <w:rPr>
          <w:rFonts w:ascii="Times" w:hAnsi="Times" w:cs="Times"/>
          <w:noProof/>
        </w:rPr>
      </w:r>
      <w:r w:rsidRPr="007D1735">
        <w:rPr>
          <w:rFonts w:ascii="Times" w:hAnsi="Times" w:cs="Times"/>
          <w:noProof/>
        </w:rPr>
        <w:fldChar w:fldCharType="separate"/>
      </w:r>
      <w:r w:rsidRPr="007D1735">
        <w:rPr>
          <w:rFonts w:ascii="Times" w:hAnsi="Times" w:cs="Times"/>
          <w:noProof/>
        </w:rPr>
        <w:t>2</w:t>
      </w:r>
      <w:r w:rsidRPr="007D1735">
        <w:rPr>
          <w:rFonts w:ascii="Times" w:hAnsi="Times" w:cs="Times"/>
          <w:noProof/>
        </w:rPr>
        <w:fldChar w:fldCharType="end"/>
      </w:r>
    </w:p>
    <w:p w:rsidR="007D1735" w:rsidRDefault="007D1735">
      <w:pPr>
        <w:pStyle w:val="TOC5"/>
        <w:rPr>
          <w:rFonts w:asciiTheme="minorHAnsi" w:eastAsiaTheme="minorEastAsia" w:hAnsiTheme="minorHAnsi" w:cstheme="minorBidi"/>
          <w:iCs w:val="0"/>
          <w:noProof/>
          <w:kern w:val="0"/>
          <w:sz w:val="22"/>
          <w:szCs w:val="22"/>
        </w:rPr>
      </w:pPr>
      <w:r>
        <w:rPr>
          <w:noProof/>
        </w:rPr>
        <w:t>3</w:t>
      </w:r>
      <w:r>
        <w:rPr>
          <w:noProof/>
        </w:rPr>
        <w:tab/>
        <w:t>Interpretation</w:t>
      </w:r>
      <w:r w:rsidRPr="007D1735">
        <w:rPr>
          <w:rFonts w:ascii="Times" w:hAnsi="Times" w:cs="Times"/>
          <w:noProof/>
        </w:rPr>
        <w:tab/>
      </w:r>
      <w:r w:rsidRPr="007D1735">
        <w:rPr>
          <w:rFonts w:ascii="Times" w:hAnsi="Times" w:cs="Times"/>
          <w:noProof/>
        </w:rPr>
        <w:fldChar w:fldCharType="begin"/>
      </w:r>
      <w:r w:rsidRPr="007D1735">
        <w:rPr>
          <w:rFonts w:ascii="Times" w:hAnsi="Times" w:cs="Times"/>
          <w:noProof/>
        </w:rPr>
        <w:instrText xml:space="preserve"> PAGEREF _Toc347231670 \h </w:instrText>
      </w:r>
      <w:r w:rsidRPr="007D1735">
        <w:rPr>
          <w:rFonts w:ascii="Times" w:hAnsi="Times" w:cs="Times"/>
          <w:noProof/>
        </w:rPr>
      </w:r>
      <w:r w:rsidRPr="007D1735">
        <w:rPr>
          <w:rFonts w:ascii="Times" w:hAnsi="Times" w:cs="Times"/>
          <w:noProof/>
        </w:rPr>
        <w:fldChar w:fldCharType="separate"/>
      </w:r>
      <w:r w:rsidRPr="007D1735">
        <w:rPr>
          <w:rFonts w:ascii="Times" w:hAnsi="Times" w:cs="Times"/>
          <w:noProof/>
        </w:rPr>
        <w:t>2</w:t>
      </w:r>
      <w:r w:rsidRPr="007D1735">
        <w:rPr>
          <w:rFonts w:ascii="Times" w:hAnsi="Times" w:cs="Times"/>
          <w:noProof/>
        </w:rPr>
        <w:fldChar w:fldCharType="end"/>
      </w:r>
    </w:p>
    <w:p w:rsidR="007D1735" w:rsidRDefault="007D1735">
      <w:pPr>
        <w:pStyle w:val="TOC5"/>
        <w:rPr>
          <w:rFonts w:asciiTheme="minorHAnsi" w:eastAsiaTheme="minorEastAsia" w:hAnsiTheme="minorHAnsi" w:cstheme="minorBidi"/>
          <w:iCs w:val="0"/>
          <w:noProof/>
          <w:kern w:val="0"/>
          <w:sz w:val="22"/>
          <w:szCs w:val="22"/>
        </w:rPr>
      </w:pPr>
      <w:r>
        <w:rPr>
          <w:noProof/>
        </w:rPr>
        <w:t>4</w:t>
      </w:r>
      <w:r>
        <w:rPr>
          <w:noProof/>
        </w:rPr>
        <w:tab/>
        <w:t>Effect of section 5 or 6</w:t>
      </w:r>
      <w:r w:rsidRPr="007D1735">
        <w:rPr>
          <w:rFonts w:ascii="Times" w:hAnsi="Times" w:cs="Times"/>
          <w:noProof/>
        </w:rPr>
        <w:tab/>
      </w:r>
      <w:r w:rsidRPr="007D1735">
        <w:rPr>
          <w:rFonts w:ascii="Times" w:hAnsi="Times" w:cs="Times"/>
          <w:noProof/>
        </w:rPr>
        <w:fldChar w:fldCharType="begin"/>
      </w:r>
      <w:r w:rsidRPr="007D1735">
        <w:rPr>
          <w:rFonts w:ascii="Times" w:hAnsi="Times" w:cs="Times"/>
          <w:noProof/>
        </w:rPr>
        <w:instrText xml:space="preserve"> PAGEREF _Toc347231671 \h </w:instrText>
      </w:r>
      <w:r w:rsidRPr="007D1735">
        <w:rPr>
          <w:rFonts w:ascii="Times" w:hAnsi="Times" w:cs="Times"/>
          <w:noProof/>
        </w:rPr>
      </w:r>
      <w:r w:rsidRPr="007D1735">
        <w:rPr>
          <w:rFonts w:ascii="Times" w:hAnsi="Times" w:cs="Times"/>
          <w:noProof/>
        </w:rPr>
        <w:fldChar w:fldCharType="separate"/>
      </w:r>
      <w:r w:rsidRPr="007D1735">
        <w:rPr>
          <w:rFonts w:ascii="Times" w:hAnsi="Times" w:cs="Times"/>
          <w:noProof/>
        </w:rPr>
        <w:t>2</w:t>
      </w:r>
      <w:r w:rsidRPr="007D1735">
        <w:rPr>
          <w:rFonts w:ascii="Times" w:hAnsi="Times" w:cs="Times"/>
          <w:noProof/>
        </w:rPr>
        <w:fldChar w:fldCharType="end"/>
      </w:r>
    </w:p>
    <w:p w:rsidR="007D1735" w:rsidRDefault="007D1735">
      <w:pPr>
        <w:pStyle w:val="TOC5"/>
        <w:rPr>
          <w:rFonts w:asciiTheme="minorHAnsi" w:eastAsiaTheme="minorEastAsia" w:hAnsiTheme="minorHAnsi" w:cstheme="minorBidi"/>
          <w:iCs w:val="0"/>
          <w:noProof/>
          <w:kern w:val="0"/>
          <w:sz w:val="22"/>
          <w:szCs w:val="22"/>
        </w:rPr>
      </w:pPr>
      <w:r>
        <w:rPr>
          <w:noProof/>
        </w:rPr>
        <w:t>5</w:t>
      </w:r>
      <w:r>
        <w:rPr>
          <w:noProof/>
        </w:rPr>
        <w:tab/>
        <w:t>Payments under fisheries agreements entered into with the government of another country</w:t>
      </w:r>
      <w:r w:rsidRPr="007D1735">
        <w:rPr>
          <w:rFonts w:ascii="Times" w:hAnsi="Times" w:cs="Times"/>
          <w:noProof/>
        </w:rPr>
        <w:tab/>
      </w:r>
      <w:r w:rsidRPr="007D1735">
        <w:rPr>
          <w:rFonts w:ascii="Times" w:hAnsi="Times" w:cs="Times"/>
          <w:noProof/>
        </w:rPr>
        <w:fldChar w:fldCharType="begin"/>
      </w:r>
      <w:r w:rsidRPr="007D1735">
        <w:rPr>
          <w:rFonts w:ascii="Times" w:hAnsi="Times" w:cs="Times"/>
          <w:noProof/>
        </w:rPr>
        <w:instrText xml:space="preserve"> PAGEREF _Toc347231672 \h </w:instrText>
      </w:r>
      <w:r w:rsidRPr="007D1735">
        <w:rPr>
          <w:rFonts w:ascii="Times" w:hAnsi="Times" w:cs="Times"/>
          <w:noProof/>
        </w:rPr>
      </w:r>
      <w:r w:rsidRPr="007D1735">
        <w:rPr>
          <w:rFonts w:ascii="Times" w:hAnsi="Times" w:cs="Times"/>
          <w:noProof/>
        </w:rPr>
        <w:fldChar w:fldCharType="separate"/>
      </w:r>
      <w:r w:rsidRPr="007D1735">
        <w:rPr>
          <w:rFonts w:ascii="Times" w:hAnsi="Times" w:cs="Times"/>
          <w:noProof/>
        </w:rPr>
        <w:t>2</w:t>
      </w:r>
      <w:r w:rsidRPr="007D1735">
        <w:rPr>
          <w:rFonts w:ascii="Times" w:hAnsi="Times" w:cs="Times"/>
          <w:noProof/>
        </w:rPr>
        <w:fldChar w:fldCharType="end"/>
      </w:r>
    </w:p>
    <w:p w:rsidR="007D1735" w:rsidRDefault="007D1735">
      <w:pPr>
        <w:pStyle w:val="TOC5"/>
        <w:rPr>
          <w:rFonts w:asciiTheme="minorHAnsi" w:eastAsiaTheme="minorEastAsia" w:hAnsiTheme="minorHAnsi" w:cstheme="minorBidi"/>
          <w:iCs w:val="0"/>
          <w:noProof/>
          <w:kern w:val="0"/>
          <w:sz w:val="22"/>
          <w:szCs w:val="22"/>
        </w:rPr>
      </w:pPr>
      <w:r>
        <w:rPr>
          <w:noProof/>
        </w:rPr>
        <w:t>6</w:t>
      </w:r>
      <w:r>
        <w:rPr>
          <w:noProof/>
        </w:rPr>
        <w:tab/>
        <w:t>Payments under fisheries agreements entered into otherwise than with the government of another country</w:t>
      </w:r>
      <w:r w:rsidRPr="007D1735">
        <w:rPr>
          <w:rFonts w:ascii="Times" w:hAnsi="Times" w:cs="Times"/>
          <w:noProof/>
        </w:rPr>
        <w:tab/>
      </w:r>
      <w:r w:rsidRPr="007D1735">
        <w:rPr>
          <w:rFonts w:ascii="Times" w:hAnsi="Times" w:cs="Times"/>
          <w:noProof/>
        </w:rPr>
        <w:fldChar w:fldCharType="begin"/>
      </w:r>
      <w:r w:rsidRPr="007D1735">
        <w:rPr>
          <w:rFonts w:ascii="Times" w:hAnsi="Times" w:cs="Times"/>
          <w:noProof/>
        </w:rPr>
        <w:instrText xml:space="preserve"> PAGEREF _Toc347231673 \h </w:instrText>
      </w:r>
      <w:r w:rsidRPr="007D1735">
        <w:rPr>
          <w:rFonts w:ascii="Times" w:hAnsi="Times" w:cs="Times"/>
          <w:noProof/>
        </w:rPr>
      </w:r>
      <w:r w:rsidRPr="007D1735">
        <w:rPr>
          <w:rFonts w:ascii="Times" w:hAnsi="Times" w:cs="Times"/>
          <w:noProof/>
        </w:rPr>
        <w:fldChar w:fldCharType="separate"/>
      </w:r>
      <w:r w:rsidRPr="007D1735">
        <w:rPr>
          <w:rFonts w:ascii="Times" w:hAnsi="Times" w:cs="Times"/>
          <w:noProof/>
        </w:rPr>
        <w:t>3</w:t>
      </w:r>
      <w:r w:rsidRPr="007D1735">
        <w:rPr>
          <w:rFonts w:ascii="Times" w:hAnsi="Times" w:cs="Times"/>
          <w:noProof/>
        </w:rPr>
        <w:fldChar w:fldCharType="end"/>
      </w:r>
    </w:p>
    <w:p w:rsidR="007336BA" w:rsidRDefault="007D1735" w:rsidP="007336BA">
      <w:pPr>
        <w:sectPr w:rsidR="007336BA" w:rsidSect="004E23FA">
          <w:headerReference w:type="even" r:id="rId13"/>
          <w:headerReference w:type="default" r:id="rId14"/>
          <w:footerReference w:type="default" r:id="rId15"/>
          <w:pgSz w:w="11906" w:h="16838" w:code="9"/>
          <w:pgMar w:top="2268" w:right="2410" w:bottom="3827" w:left="2410" w:header="567" w:footer="3119" w:gutter="0"/>
          <w:pgNumType w:fmt="lowerRoman" w:start="1"/>
          <w:cols w:space="709"/>
        </w:sectPr>
      </w:pPr>
      <w:r>
        <w:fldChar w:fldCharType="end"/>
      </w:r>
    </w:p>
    <w:p w:rsidR="00CF0469" w:rsidRDefault="00CF0469" w:rsidP="00CF0469">
      <w:r>
        <w:rPr>
          <w:sz w:val="24"/>
        </w:rPr>
        <w:object w:dxaOrig="2146" w:dyaOrig="1561">
          <v:shape id="_x0000_i1026" type="#_x0000_t75" style="width:107.55pt;height:77.6pt" o:ole="" fillcolor="window">
            <v:imagedata r:id="rId16" o:title=""/>
          </v:shape>
          <o:OLEObject Type="Embed" ProgID="Msxml2.SAXXMLReader.5.0" ShapeID="_x0000_i1026" DrawAspect="Content" ObjectID="_1498641112" r:id="rId17"/>
        </w:object>
      </w:r>
    </w:p>
    <w:p w:rsidR="00CF0469" w:rsidRDefault="00CF0469" w:rsidP="00CF0469"/>
    <w:p w:rsidR="00CF0469" w:rsidRDefault="00CF0469" w:rsidP="00CF0469">
      <w:pPr>
        <w:spacing w:line="240" w:lineRule="auto"/>
      </w:pPr>
    </w:p>
    <w:p w:rsidR="00CF0469" w:rsidRDefault="00CF0469" w:rsidP="00931A02">
      <w:pPr>
        <w:pStyle w:val="ShortT"/>
        <w:spacing w:before="800"/>
      </w:pPr>
      <w:r>
        <w:t>Fisheries Agreements (P</w:t>
      </w:r>
      <w:bookmarkStart w:id="0" w:name="_GoBack"/>
      <w:bookmarkEnd w:id="0"/>
      <w:r>
        <w:t>ayments) Act 1991</w:t>
      </w:r>
    </w:p>
    <w:p w:rsidR="00CF0469" w:rsidRPr="00AC0357" w:rsidRDefault="00CF0469" w:rsidP="00CF0469"/>
    <w:p w:rsidR="00CF0469" w:rsidRPr="00AC0357" w:rsidRDefault="00CF0469" w:rsidP="00CF0469">
      <w:pPr>
        <w:pStyle w:val="Actno"/>
        <w:spacing w:before="800"/>
        <w:rPr>
          <w:sz w:val="28"/>
        </w:rPr>
      </w:pPr>
      <w:r w:rsidRPr="00AC0357">
        <w:rPr>
          <w:sz w:val="28"/>
        </w:rPr>
        <w:t>No. 151, 1991</w:t>
      </w:r>
    </w:p>
    <w:p w:rsidR="00CF0469" w:rsidRDefault="00CF0469" w:rsidP="00CF0469">
      <w:pPr>
        <w:pStyle w:val="p1LinesBef"/>
      </w:pPr>
    </w:p>
    <w:p w:rsidR="00CF0469" w:rsidRDefault="00CF0469" w:rsidP="00CF0469">
      <w:pPr>
        <w:spacing w:line="40" w:lineRule="exact"/>
        <w:rPr>
          <w:b/>
          <w:sz w:val="28"/>
          <w:szCs w:val="28"/>
        </w:rPr>
      </w:pPr>
    </w:p>
    <w:p w:rsidR="00CF0469" w:rsidRDefault="00CF0469" w:rsidP="00CF0469">
      <w:pPr>
        <w:pStyle w:val="p1LinesAfter"/>
      </w:pPr>
    </w:p>
    <w:p w:rsidR="00CF0469" w:rsidRDefault="00CF0469" w:rsidP="00CF0469">
      <w:pPr>
        <w:pStyle w:val="LongT"/>
        <w:spacing w:before="400"/>
      </w:pPr>
      <w:r>
        <w:t>An Act relating to payments under certain fisheries agreements</w:t>
      </w:r>
    </w:p>
    <w:p w:rsidR="00CF0469" w:rsidRDefault="00CF0469" w:rsidP="00CF0469">
      <w:pPr>
        <w:pStyle w:val="Header"/>
      </w:pPr>
      <w:r>
        <w:t xml:space="preserve">  </w:t>
      </w:r>
    </w:p>
    <w:p w:rsidR="00CF0469" w:rsidRDefault="00CF0469" w:rsidP="00CF0469">
      <w:pPr>
        <w:pStyle w:val="Header"/>
      </w:pPr>
      <w:r>
        <w:t xml:space="preserve">  </w:t>
      </w:r>
    </w:p>
    <w:p w:rsidR="00CF0469" w:rsidRDefault="00CF0469" w:rsidP="00CF0469">
      <w:pPr>
        <w:pStyle w:val="AssentDt"/>
        <w:spacing w:before="240"/>
        <w:rPr>
          <w:sz w:val="24"/>
          <w:szCs w:val="24"/>
        </w:rPr>
      </w:pPr>
      <w:r>
        <w:rPr>
          <w:sz w:val="24"/>
          <w:szCs w:val="24"/>
        </w:rPr>
        <w:t>[</w:t>
      </w:r>
      <w:r>
        <w:rPr>
          <w:i/>
          <w:sz w:val="24"/>
          <w:szCs w:val="24"/>
        </w:rPr>
        <w:t xml:space="preserve">Assented to </w:t>
      </w:r>
      <w:r w:rsidRPr="00AC0357">
        <w:rPr>
          <w:i/>
          <w:sz w:val="24"/>
          <w:szCs w:val="24"/>
        </w:rPr>
        <w:t>21 Oct 1991</w:t>
      </w:r>
      <w:r>
        <w:rPr>
          <w:sz w:val="24"/>
          <w:szCs w:val="24"/>
        </w:rPr>
        <w:t>]</w:t>
      </w:r>
    </w:p>
    <w:p w:rsidR="00CF0469" w:rsidRPr="00D41BBF" w:rsidRDefault="00CF0469" w:rsidP="00CF0469">
      <w:pPr>
        <w:spacing w:before="240" w:line="240" w:lineRule="auto"/>
        <w:rPr>
          <w:sz w:val="32"/>
          <w:szCs w:val="32"/>
        </w:rPr>
      </w:pPr>
      <w:r w:rsidRPr="00D41BBF">
        <w:rPr>
          <w:sz w:val="32"/>
          <w:szCs w:val="32"/>
        </w:rPr>
        <w:t>The Parliament of Australia enacts:</w:t>
      </w:r>
    </w:p>
    <w:p w:rsidR="00CF0469" w:rsidRDefault="00CF0469" w:rsidP="00CF0469">
      <w:pPr>
        <w:pStyle w:val="ActHead5"/>
      </w:pPr>
      <w:bookmarkStart w:id="1" w:name="_Toc347231668"/>
      <w:r>
        <w:rPr>
          <w:rStyle w:val="CharSectno"/>
        </w:rPr>
        <w:t>1</w:t>
      </w:r>
      <w:r>
        <w:t xml:space="preserve">  Short title</w:t>
      </w:r>
      <w:bookmarkEnd w:id="1"/>
    </w:p>
    <w:p w:rsidR="00CF0469" w:rsidRDefault="00CF0469" w:rsidP="00CF0469">
      <w:pPr>
        <w:pStyle w:val="subsection"/>
      </w:pPr>
      <w:r>
        <w:tab/>
      </w:r>
      <w:r>
        <w:tab/>
        <w:t xml:space="preserve">This Act may be cited as the </w:t>
      </w:r>
      <w:r>
        <w:rPr>
          <w:i/>
        </w:rPr>
        <w:t>Fisheries Agreements (Payments) Act 1991</w:t>
      </w:r>
      <w:r>
        <w:t>.</w:t>
      </w:r>
    </w:p>
    <w:p w:rsidR="00CF0469" w:rsidRDefault="00CF0469" w:rsidP="00CF0469">
      <w:pPr>
        <w:pStyle w:val="ActHead5"/>
      </w:pPr>
      <w:bookmarkStart w:id="2" w:name="_Toc347231669"/>
      <w:r>
        <w:rPr>
          <w:rStyle w:val="CharSectno"/>
        </w:rPr>
        <w:lastRenderedPageBreak/>
        <w:t>2</w:t>
      </w:r>
      <w:r>
        <w:t xml:space="preserve">  Commencement</w:t>
      </w:r>
      <w:bookmarkEnd w:id="2"/>
    </w:p>
    <w:p w:rsidR="00CF0469" w:rsidRDefault="00CF0469" w:rsidP="00CF0469">
      <w:pPr>
        <w:pStyle w:val="subsection"/>
      </w:pPr>
      <w:r>
        <w:tab/>
        <w:t>(1)</w:t>
      </w:r>
      <w:r>
        <w:tab/>
        <w:t>Sections 1 and 2 commence on the day on which this Act receives the Royal Assent.</w:t>
      </w:r>
    </w:p>
    <w:p w:rsidR="00CF0469" w:rsidRDefault="00CF0469" w:rsidP="00CF0469">
      <w:pPr>
        <w:pStyle w:val="subsection"/>
      </w:pPr>
      <w:r>
        <w:tab/>
        <w:t>(2)</w:t>
      </w:r>
      <w:r>
        <w:tab/>
        <w:t>Subject to subsection (3), the remaining provisions of this Act commence on a day to be fixed by Proclamation.</w:t>
      </w:r>
    </w:p>
    <w:p w:rsidR="00CF0469" w:rsidRDefault="00CF0469" w:rsidP="00CF0469">
      <w:pPr>
        <w:pStyle w:val="subsection"/>
      </w:pPr>
      <w:r>
        <w:tab/>
        <w:t>(3)</w:t>
      </w:r>
      <w:r>
        <w:tab/>
        <w:t>If a provision mentioned in subsection (2) does not commence under that subsection within the period of 6 months commencing on the day on which this Act receives the Royal Assent, it commences on the first day after the end of that period.</w:t>
      </w:r>
    </w:p>
    <w:p w:rsidR="00CF0469" w:rsidRDefault="00CF0469" w:rsidP="00CF0469">
      <w:pPr>
        <w:pStyle w:val="ActHead5"/>
      </w:pPr>
      <w:bookmarkStart w:id="3" w:name="_Toc347231670"/>
      <w:r>
        <w:rPr>
          <w:rStyle w:val="CharSectno"/>
        </w:rPr>
        <w:t>3</w:t>
      </w:r>
      <w:r>
        <w:t xml:space="preserve">  Interpretation</w:t>
      </w:r>
      <w:bookmarkEnd w:id="3"/>
    </w:p>
    <w:p w:rsidR="00CF0469" w:rsidRDefault="00CF0469" w:rsidP="00CF0469">
      <w:pPr>
        <w:pStyle w:val="subsection"/>
      </w:pPr>
      <w:r>
        <w:tab/>
      </w:r>
      <w:r>
        <w:tab/>
        <w:t>In this Act, unless the contrary intention appears:</w:t>
      </w:r>
    </w:p>
    <w:p w:rsidR="00CF0469" w:rsidRDefault="00CF0469" w:rsidP="00CF0469">
      <w:pPr>
        <w:pStyle w:val="Definition"/>
      </w:pPr>
      <w:r>
        <w:rPr>
          <w:b/>
          <w:i/>
        </w:rPr>
        <w:t>AFMA</w:t>
      </w:r>
      <w:r>
        <w:t xml:space="preserve"> means the Australian Fisheries Management Authority.</w:t>
      </w:r>
    </w:p>
    <w:p w:rsidR="00CF0469" w:rsidRDefault="00CF0469" w:rsidP="00CF0469">
      <w:pPr>
        <w:pStyle w:val="Definition"/>
      </w:pPr>
      <w:r>
        <w:rPr>
          <w:b/>
          <w:i/>
        </w:rPr>
        <w:t>licence</w:t>
      </w:r>
      <w:r>
        <w:t xml:space="preserve"> means a foreign fishing licence granted under Part 3 of the </w:t>
      </w:r>
      <w:r>
        <w:rPr>
          <w:i/>
        </w:rPr>
        <w:t>Fisheries Management Act 1991</w:t>
      </w:r>
      <w:r>
        <w:t>.</w:t>
      </w:r>
    </w:p>
    <w:p w:rsidR="00CF0469" w:rsidRDefault="00CF0469" w:rsidP="00CF0469">
      <w:pPr>
        <w:pStyle w:val="ActHead5"/>
      </w:pPr>
      <w:bookmarkStart w:id="4" w:name="_Toc347231671"/>
      <w:r>
        <w:rPr>
          <w:rStyle w:val="CharSectno"/>
        </w:rPr>
        <w:t>4</w:t>
      </w:r>
      <w:r>
        <w:t xml:space="preserve">  Effect of section 5 or 6</w:t>
      </w:r>
      <w:bookmarkEnd w:id="4"/>
    </w:p>
    <w:p w:rsidR="00CF0469" w:rsidRDefault="00CF0469" w:rsidP="00CF0469">
      <w:pPr>
        <w:pStyle w:val="subsection"/>
      </w:pPr>
      <w:r>
        <w:tab/>
      </w:r>
      <w:r>
        <w:tab/>
        <w:t>Section 5 or 6 has effect only so far as that section is a law imposing taxation or dealing with the imposition of taxation within the meaning of section 55 of the Constitution.</w:t>
      </w:r>
    </w:p>
    <w:p w:rsidR="00CF0469" w:rsidRDefault="00CF0469" w:rsidP="00CF0469">
      <w:pPr>
        <w:pStyle w:val="ActHead5"/>
      </w:pPr>
      <w:bookmarkStart w:id="5" w:name="_Toc347231672"/>
      <w:r>
        <w:rPr>
          <w:rStyle w:val="CharSectno"/>
        </w:rPr>
        <w:t>5</w:t>
      </w:r>
      <w:r>
        <w:t xml:space="preserve">  Payments under fisheries agreements entered into with the government of another country</w:t>
      </w:r>
      <w:bookmarkEnd w:id="5"/>
    </w:p>
    <w:p w:rsidR="00CF0469" w:rsidRDefault="00CF0469" w:rsidP="00CF0469">
      <w:pPr>
        <w:pStyle w:val="subsection"/>
      </w:pPr>
      <w:r>
        <w:tab/>
        <w:t>(1)</w:t>
      </w:r>
      <w:r>
        <w:tab/>
        <w:t>If:</w:t>
      </w:r>
    </w:p>
    <w:p w:rsidR="00CF0469" w:rsidRDefault="00CF0469" w:rsidP="00CF0469">
      <w:pPr>
        <w:pStyle w:val="paragraph"/>
      </w:pPr>
      <w:r>
        <w:tab/>
        <w:t>(a)</w:t>
      </w:r>
      <w:r>
        <w:tab/>
        <w:t>there is in force an agreement between the Commonwealth and the government of another country; and</w:t>
      </w:r>
    </w:p>
    <w:p w:rsidR="00CF0469" w:rsidRDefault="00CF0469" w:rsidP="00CF0469">
      <w:pPr>
        <w:pStyle w:val="paragraph"/>
        <w:keepNext/>
      </w:pPr>
      <w:r>
        <w:tab/>
        <w:t>(b)</w:t>
      </w:r>
      <w:r>
        <w:tab/>
        <w:t>the agreement contains a provision under which licences are agreed to be granted if an amount specified in the provision is paid to the Commonwealth (whether or not that amount or any part of that amount is to be paid before the grant of any of the licences);</w:t>
      </w:r>
    </w:p>
    <w:p w:rsidR="00CF0469" w:rsidRDefault="00CF0469" w:rsidP="00CF0469">
      <w:pPr>
        <w:pStyle w:val="subsection2"/>
      </w:pPr>
      <w:r>
        <w:t>AFMA must, in determining whether or not to grant any of the licences to which the provision relates, have regard only to the terms of the agreement.</w:t>
      </w:r>
    </w:p>
    <w:p w:rsidR="00CF0469" w:rsidRDefault="00CF0469" w:rsidP="00CF0469">
      <w:pPr>
        <w:pStyle w:val="subsection"/>
      </w:pPr>
      <w:r>
        <w:lastRenderedPageBreak/>
        <w:tab/>
        <w:t>(2)</w:t>
      </w:r>
      <w:r>
        <w:tab/>
        <w:t>Where:</w:t>
      </w:r>
    </w:p>
    <w:p w:rsidR="00CF0469" w:rsidRDefault="00CF0469" w:rsidP="00CF0469">
      <w:pPr>
        <w:pStyle w:val="paragraph"/>
      </w:pPr>
      <w:r>
        <w:tab/>
        <w:t>(a)</w:t>
      </w:r>
      <w:r>
        <w:tab/>
        <w:t>an agreement that contains a provision of a kind mentioned in subsection (1) is in force; and</w:t>
      </w:r>
    </w:p>
    <w:p w:rsidR="00CF0469" w:rsidRDefault="00CF0469" w:rsidP="00CF0469">
      <w:pPr>
        <w:pStyle w:val="paragraph"/>
      </w:pPr>
      <w:r>
        <w:tab/>
        <w:t>(b)</w:t>
      </w:r>
      <w:r>
        <w:tab/>
        <w:t>a licence to which the provision relates has been granted; and</w:t>
      </w:r>
    </w:p>
    <w:p w:rsidR="00CF0469" w:rsidRDefault="00CF0469" w:rsidP="00CF0469">
      <w:pPr>
        <w:pStyle w:val="paragraph"/>
        <w:keepNext/>
      </w:pPr>
      <w:r>
        <w:tab/>
        <w:t>(c)</w:t>
      </w:r>
      <w:r>
        <w:tab/>
        <w:t>the whole or part of an amount specified in the provision is not paid to the Commonwealth in accordance with the terms of the provision;</w:t>
      </w:r>
    </w:p>
    <w:p w:rsidR="00CF0469" w:rsidRDefault="00CF0469" w:rsidP="00CF0469">
      <w:pPr>
        <w:pStyle w:val="subsection2"/>
      </w:pPr>
      <w:r>
        <w:t>AFMA may suspend the licence by written notice given to the holder of the licence.</w:t>
      </w:r>
    </w:p>
    <w:p w:rsidR="00CF0469" w:rsidRDefault="00CF0469" w:rsidP="00CF0469">
      <w:pPr>
        <w:pStyle w:val="subsection"/>
      </w:pPr>
      <w:r>
        <w:tab/>
        <w:t>(3)</w:t>
      </w:r>
      <w:r>
        <w:tab/>
        <w:t>Where AFMA has suspended a licence under subsection (2) and the amount concerned is fully paid, AFMA must revoke the suspension by written notice given to the holder of the licence.</w:t>
      </w:r>
    </w:p>
    <w:p w:rsidR="00CF0469" w:rsidRDefault="00CF0469" w:rsidP="00CF0469">
      <w:pPr>
        <w:pStyle w:val="ActHead5"/>
      </w:pPr>
      <w:bookmarkStart w:id="6" w:name="_Toc347231673"/>
      <w:r>
        <w:rPr>
          <w:rStyle w:val="CharSectno"/>
        </w:rPr>
        <w:t>6</w:t>
      </w:r>
      <w:r>
        <w:t xml:space="preserve">  Payments under fisheries agreements entered into otherwise than with the government of another country</w:t>
      </w:r>
      <w:bookmarkEnd w:id="6"/>
    </w:p>
    <w:p w:rsidR="00CF0469" w:rsidRDefault="00CF0469" w:rsidP="00CF0469">
      <w:pPr>
        <w:pStyle w:val="subsection"/>
      </w:pPr>
      <w:r>
        <w:tab/>
        <w:t>(1)</w:t>
      </w:r>
      <w:r>
        <w:tab/>
        <w:t>Where:</w:t>
      </w:r>
    </w:p>
    <w:p w:rsidR="00CF0469" w:rsidRDefault="00CF0469" w:rsidP="00CF0469">
      <w:pPr>
        <w:pStyle w:val="paragraph"/>
      </w:pPr>
      <w:r>
        <w:tab/>
        <w:t>(a)</w:t>
      </w:r>
      <w:r>
        <w:tab/>
        <w:t>AFMA has entered into an agreement with a person other than the government of another country or with persons none of whom is the government of another country; and</w:t>
      </w:r>
    </w:p>
    <w:p w:rsidR="00CF0469" w:rsidRDefault="00CF0469" w:rsidP="00CF0469">
      <w:pPr>
        <w:pStyle w:val="paragraph"/>
        <w:keepNext/>
      </w:pPr>
      <w:r>
        <w:tab/>
        <w:t>(b)</w:t>
      </w:r>
      <w:r>
        <w:tab/>
        <w:t>the agreement contains a provision under which licences are agreed to be granted if an amount specified in the provision is paid to the Commonwealth;</w:t>
      </w:r>
    </w:p>
    <w:p w:rsidR="00CF0469" w:rsidRDefault="00CF0469" w:rsidP="00CF0469">
      <w:pPr>
        <w:pStyle w:val="subsection2"/>
      </w:pPr>
      <w:r>
        <w:t>AFMA must, in determining whether or not to grant licences to which the provision relates, have regard only to the terms of the agreement.</w:t>
      </w:r>
    </w:p>
    <w:p w:rsidR="00CF0469" w:rsidRDefault="00CF0469" w:rsidP="00CF0469">
      <w:pPr>
        <w:pStyle w:val="subsection"/>
      </w:pPr>
      <w:r>
        <w:tab/>
        <w:t>(2)</w:t>
      </w:r>
      <w:r>
        <w:tab/>
        <w:t>AFMA must not grant any of the licences to which the provision relates unless the amount specified in the provision has been paid to the Commonwealth in accordance with the terms of the provision.</w:t>
      </w:r>
    </w:p>
    <w:p w:rsidR="008C2ACF" w:rsidRDefault="008C2ACF" w:rsidP="008C2ACF">
      <w:pPr>
        <w:sectPr w:rsidR="008C2ACF" w:rsidSect="008C2ACF">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4"/>
      <w:headerReference w:type="default" r:id="rId25"/>
      <w:footerReference w:type="even" r:id="rId26"/>
      <w:footerReference w:type="default" r:id="rId27"/>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Bdr>
        <w:top w:val="single" w:sz="6" w:space="1" w:color="auto"/>
      </w:pBdr>
      <w:rPr>
        <w:sz w:val="18"/>
        <w:szCs w:val="18"/>
      </w:rPr>
    </w:pPr>
  </w:p>
  <w:p w:rsidR="007336BA" w:rsidRDefault="003835E2">
    <w:pPr>
      <w:rPr>
        <w:i/>
      </w:rPr>
    </w:pPr>
    <w:r>
      <w:rPr>
        <w:i/>
      </w:rPr>
      <w:fldChar w:fldCharType="begin"/>
    </w:r>
    <w:r w:rsidR="007336BA">
      <w:rPr>
        <w:i/>
      </w:rPr>
      <w:instrText xml:space="preserve">PAGE  </w:instrText>
    </w:r>
    <w:r>
      <w:rPr>
        <w:i/>
      </w:rPr>
      <w:fldChar w:fldCharType="separate"/>
    </w:r>
    <w:r w:rsidR="007336BA">
      <w:rPr>
        <w:i/>
        <w:noProof/>
      </w:rPr>
      <w:t>6</w:t>
    </w:r>
    <w:r>
      <w:rPr>
        <w:i/>
      </w:rPr>
      <w:fldChar w:fldCharType="end"/>
    </w:r>
    <w:r w:rsidR="007336BA">
      <w:rPr>
        <w:i/>
      </w:rPr>
      <w:t xml:space="preserve">            </w:t>
    </w:r>
    <w:r>
      <w:rPr>
        <w:i/>
      </w:rPr>
      <w:fldChar w:fldCharType="begin"/>
    </w:r>
    <w:r w:rsidR="007336BA">
      <w:rPr>
        <w:i/>
      </w:rPr>
      <w:instrText xml:space="preserve"> STYLEREF ShortT \* CHARFORMAT </w:instrText>
    </w:r>
    <w:r>
      <w:rPr>
        <w:i/>
      </w:rPr>
      <w:fldChar w:fldCharType="separate"/>
    </w:r>
    <w:r w:rsidR="007336BA">
      <w:rPr>
        <w:i/>
        <w:noProof/>
      </w:rPr>
      <w:t>International Bank for Reconstruction and Development (Share Increase) Act 1988</w:t>
    </w:r>
    <w:r>
      <w:rPr>
        <w:i/>
      </w:rPr>
      <w:fldChar w:fldCharType="end"/>
    </w:r>
    <w:r w:rsidR="007336BA">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931A02">
    <w:pPr>
      <w:pStyle w:val="Footer"/>
      <w:rPr>
        <w:i/>
      </w:rPr>
    </w:pPr>
    <w:r>
      <w:fldChar w:fldCharType="begin"/>
    </w:r>
    <w:r>
      <w:instrText xml:space="preserve"> FILENAME   \* MERGEFORMAT </w:instrText>
    </w:r>
    <w:r>
      <w:fldChar w:fldCharType="separate"/>
    </w:r>
    <w:r w:rsidR="007336BA">
      <w:rPr>
        <w:i/>
        <w:noProof/>
      </w:rPr>
      <w:t>IntBankRecDevShareInc1988.doc</w:t>
    </w:r>
    <w:r>
      <w:rPr>
        <w:i/>
        <w:noProof/>
      </w:rPr>
      <w:fldChar w:fldCharType="end"/>
    </w:r>
    <w:r w:rsidR="007336BA">
      <w:rPr>
        <w:i/>
      </w:rPr>
      <w:t xml:space="preserve"> </w:t>
    </w:r>
    <w:r w:rsidR="003835E2">
      <w:rPr>
        <w:i/>
      </w:rPr>
      <w:fldChar w:fldCharType="begin"/>
    </w:r>
    <w:r w:rsidR="007336BA">
      <w:rPr>
        <w:i/>
      </w:rPr>
      <w:instrText xml:space="preserve"> CREATEDATE  \@ "dd/MM/yyyy h:mm am/pm"  \* CHARFORMAT </w:instrText>
    </w:r>
    <w:r w:rsidR="003835E2">
      <w:rPr>
        <w:i/>
      </w:rPr>
      <w:fldChar w:fldCharType="separate"/>
    </w:r>
    <w:r w:rsidR="007336BA">
      <w:rPr>
        <w:i/>
        <w:noProof/>
      </w:rPr>
      <w:t>14/04/2004 2:05 pm</w:t>
    </w:r>
    <w:r w:rsidR="003835E2">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FA" w:rsidRPr="00ED79B6" w:rsidRDefault="004E23FA" w:rsidP="004E23FA">
    <w:pPr>
      <w:pBdr>
        <w:top w:val="single" w:sz="6" w:space="1" w:color="auto"/>
      </w:pBdr>
      <w:spacing w:before="120"/>
      <w:rPr>
        <w:sz w:val="18"/>
      </w:rPr>
    </w:pPr>
  </w:p>
  <w:p w:rsidR="004E23FA" w:rsidRPr="008C2ACF" w:rsidRDefault="003835E2" w:rsidP="004E23FA">
    <w:pPr>
      <w:rPr>
        <w:i/>
        <w:sz w:val="18"/>
      </w:rPr>
    </w:pPr>
    <w:r>
      <w:rPr>
        <w:i/>
        <w:sz w:val="18"/>
      </w:rPr>
      <w:fldChar w:fldCharType="begin"/>
    </w:r>
    <w:r w:rsidR="004E23FA">
      <w:rPr>
        <w:i/>
        <w:sz w:val="18"/>
      </w:rPr>
      <w:instrText xml:space="preserve"> PAGE  \* roman </w:instrText>
    </w:r>
    <w:r>
      <w:rPr>
        <w:i/>
        <w:sz w:val="18"/>
      </w:rPr>
      <w:fldChar w:fldCharType="separate"/>
    </w:r>
    <w:r w:rsidR="00931A02">
      <w:rPr>
        <w:i/>
        <w:noProof/>
        <w:sz w:val="18"/>
      </w:rPr>
      <w:t>i</w:t>
    </w:r>
    <w:r>
      <w:rPr>
        <w:i/>
        <w:sz w:val="18"/>
      </w:rPr>
      <w:fldChar w:fldCharType="end"/>
    </w:r>
    <w:r w:rsidR="004E23FA" w:rsidRPr="00ED79B6">
      <w:rPr>
        <w:i/>
        <w:sz w:val="18"/>
      </w:rPr>
      <w:t xml:space="preserve">       </w:t>
    </w:r>
    <w:r>
      <w:rPr>
        <w:i/>
        <w:sz w:val="18"/>
      </w:rPr>
      <w:fldChar w:fldCharType="begin"/>
    </w:r>
    <w:r w:rsidR="004E23FA">
      <w:rPr>
        <w:i/>
        <w:sz w:val="18"/>
      </w:rPr>
      <w:instrText xml:space="preserve"> STYLEREF  ShortT </w:instrText>
    </w:r>
    <w:r>
      <w:rPr>
        <w:i/>
        <w:sz w:val="18"/>
      </w:rPr>
      <w:fldChar w:fldCharType="separate"/>
    </w:r>
    <w:r w:rsidR="00931A02">
      <w:rPr>
        <w:i/>
        <w:noProof/>
        <w:sz w:val="18"/>
      </w:rPr>
      <w:t>Fisheries Agreements (Payments) Act 1991</w:t>
    </w:r>
    <w:r>
      <w:rPr>
        <w:i/>
        <w:sz w:val="18"/>
      </w:rPr>
      <w:fldChar w:fldCharType="end"/>
    </w:r>
    <w:r w:rsidR="004E23FA" w:rsidRPr="00ED79B6">
      <w:rPr>
        <w:i/>
        <w:sz w:val="18"/>
      </w:rPr>
      <w:t xml:space="preserve">       </w:t>
    </w:r>
    <w:r>
      <w:rPr>
        <w:i/>
        <w:sz w:val="18"/>
      </w:rPr>
      <w:fldChar w:fldCharType="begin"/>
    </w:r>
    <w:r w:rsidR="004E23FA">
      <w:rPr>
        <w:i/>
        <w:sz w:val="18"/>
      </w:rPr>
      <w:instrText xml:space="preserve"> STYLEREF  Actno </w:instrText>
    </w:r>
    <w:r>
      <w:rPr>
        <w:i/>
        <w:sz w:val="18"/>
      </w:rPr>
      <w:fldChar w:fldCharType="separate"/>
    </w:r>
    <w:r w:rsidR="00931A02">
      <w:rPr>
        <w:i/>
        <w:noProof/>
        <w:sz w:val="18"/>
      </w:rPr>
      <w:t>No. 151, 1991</w:t>
    </w:r>
    <w:r>
      <w:rPr>
        <w:i/>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3835E2"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931A02">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931A02">
      <w:rPr>
        <w:i/>
        <w:noProof/>
        <w:webHidden/>
        <w:sz w:val="18"/>
        <w:szCs w:val="18"/>
      </w:rPr>
      <w:t>Fisheries Agreements (Payments) Act 1991</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931A02">
      <w:rPr>
        <w:i/>
        <w:noProof/>
        <w:webHidden/>
        <w:sz w:val="18"/>
        <w:szCs w:val="18"/>
      </w:rPr>
      <w:t>No. 151, 1991</w:t>
    </w:r>
    <w:r w:rsidRPr="00ED79B6">
      <w:rPr>
        <w:i/>
        <w:webHidde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3835E2"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931A02">
      <w:rPr>
        <w:i/>
        <w:noProof/>
        <w:webHidden/>
        <w:sz w:val="18"/>
        <w:szCs w:val="18"/>
      </w:rPr>
      <w:t>Fisheries Agreements (Payments) Act 1991</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931A02">
      <w:rPr>
        <w:i/>
        <w:noProof/>
        <w:webHidden/>
        <w:sz w:val="18"/>
        <w:szCs w:val="18"/>
      </w:rPr>
      <w:t>No. 151, 1991</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931A02">
      <w:rPr>
        <w:i/>
        <w:noProof/>
        <w:webHidden/>
        <w:sz w:val="18"/>
        <w:szCs w:val="18"/>
      </w:rPr>
      <w:t>3</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3E5F0D" w:rsidP="00BE0A27">
    <w:pPr>
      <w:pBdr>
        <w:top w:val="single" w:sz="6" w:space="1" w:color="auto"/>
      </w:pBdr>
      <w:rPr>
        <w:sz w:val="18"/>
      </w:rPr>
    </w:pPr>
  </w:p>
  <w:p w:rsidR="003E5F0D" w:rsidRDefault="003835E2"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931A02">
      <w:rPr>
        <w:i/>
        <w:noProof/>
        <w:sz w:val="18"/>
      </w:rPr>
      <w:t>Fisheries Agreements (Payments) Act 1991</w:t>
    </w:r>
    <w:r>
      <w:rPr>
        <w:i/>
        <w:sz w:val="18"/>
      </w:rPr>
      <w:fldChar w:fldCharType="end"/>
    </w:r>
    <w:r w:rsidR="003E5F0D">
      <w:rPr>
        <w:i/>
        <w:sz w:val="18"/>
      </w:rPr>
      <w:t xml:space="preserve">       </w:t>
    </w:r>
    <w:r>
      <w:rPr>
        <w:i/>
        <w:sz w:val="18"/>
      </w:rPr>
      <w:fldChar w:fldCharType="begin"/>
    </w:r>
    <w:r w:rsidR="003E5F0D">
      <w:rPr>
        <w:i/>
        <w:sz w:val="18"/>
      </w:rPr>
      <w:instrText xml:space="preserve"> STYLEREF Actno </w:instrText>
    </w:r>
    <w:r>
      <w:rPr>
        <w:i/>
        <w:sz w:val="18"/>
      </w:rPr>
      <w:fldChar w:fldCharType="separate"/>
    </w:r>
    <w:r w:rsidR="00931A02">
      <w:rPr>
        <w:i/>
        <w:noProof/>
        <w:sz w:val="18"/>
      </w:rPr>
      <w:t>No. 151, 1991</w:t>
    </w:r>
    <w:r>
      <w:rPr>
        <w:i/>
        <w:sz w:val="18"/>
      </w:rPr>
      <w:fldChar w:fldCharType="end"/>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931A02">
      <w:rPr>
        <w:i/>
        <w:noProof/>
        <w:sz w:val="18"/>
      </w:rPr>
      <w:t>1</w:t>
    </w:r>
    <w:r>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3835E2"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3835E2"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keepNext/>
      <w:rPr>
        <w:sz w:val="20"/>
        <w:szCs w:val="20"/>
      </w:rPr>
    </w:pPr>
  </w:p>
  <w:p w:rsidR="007336BA" w:rsidRDefault="007336BA">
    <w:pPr>
      <w:keepNext/>
      <w:rPr>
        <w:sz w:val="20"/>
        <w:szCs w:val="20"/>
      </w:rPr>
    </w:pPr>
  </w:p>
  <w:p w:rsidR="007336BA" w:rsidRDefault="007336BA">
    <w:pPr>
      <w:keepNext/>
      <w:rPr>
        <w:sz w:val="20"/>
        <w:szCs w:val="20"/>
      </w:rPr>
    </w:pPr>
  </w:p>
  <w:p w:rsidR="007336BA" w:rsidRDefault="007336BA">
    <w:pPr>
      <w:keepNext/>
      <w:rPr>
        <w:sz w:val="24"/>
      </w:rPr>
    </w:pPr>
  </w:p>
  <w:p w:rsidR="007336BA" w:rsidRDefault="007336BA">
    <w:pPr>
      <w:keepNext/>
      <w:rPr>
        <w:sz w:val="24"/>
      </w:rPr>
    </w:pPr>
  </w:p>
  <w:p w:rsidR="007336BA" w:rsidRDefault="007336BA">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pPr>
  </w:p>
  <w:p w:rsidR="007336BA" w:rsidRDefault="007336BA">
    <w:pPr>
      <w:pStyle w:val="headerpartodd0"/>
      <w:jc w:val="right"/>
      <w:rPr>
        <w:i/>
      </w:rPr>
    </w:pPr>
  </w:p>
  <w:p w:rsidR="007336BA" w:rsidRDefault="007336BA">
    <w:pPr>
      <w:pStyle w:val="headerpartodd0"/>
      <w:jc w:val="right"/>
    </w:pPr>
  </w:p>
  <w:p w:rsidR="007336BA" w:rsidRDefault="007336BA">
    <w:pPr>
      <w:pStyle w:val="headerpartodd0"/>
      <w:jc w:val="right"/>
      <w:rPr>
        <w:sz w:val="24"/>
        <w:szCs w:val="24"/>
      </w:rPr>
    </w:pPr>
  </w:p>
  <w:p w:rsidR="007336BA" w:rsidRDefault="007336BA">
    <w:pPr>
      <w:pStyle w:val="headerpartodd0"/>
      <w:pBdr>
        <w:bottom w:val="single" w:sz="6" w:space="1" w:color="auto"/>
      </w:pBdr>
      <w:jc w:val="right"/>
      <w:rPr>
        <w:i/>
        <w:sz w:val="24"/>
        <w:szCs w:val="24"/>
      </w:rPr>
    </w:pPr>
  </w:p>
  <w:p w:rsidR="007336BA" w:rsidRDefault="007336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rPr>
        <w:b/>
      </w:rPr>
    </w:pPr>
  </w:p>
  <w:p w:rsidR="007336BA" w:rsidRDefault="007336BA">
    <w:pPr>
      <w:pStyle w:val="headerpartodd0"/>
      <w:jc w:val="right"/>
      <w:rPr>
        <w:b/>
        <w:i/>
      </w:rPr>
    </w:pPr>
  </w:p>
  <w:p w:rsidR="007336BA" w:rsidRDefault="007336BA">
    <w:pPr>
      <w:pStyle w:val="headerpartodd0"/>
      <w:jc w:val="right"/>
    </w:pPr>
  </w:p>
  <w:p w:rsidR="007336BA" w:rsidRDefault="007336BA">
    <w:pPr>
      <w:pStyle w:val="headerpartodd0"/>
      <w:jc w:val="right"/>
      <w:rPr>
        <w:b/>
        <w:sz w:val="24"/>
        <w:szCs w:val="24"/>
      </w:rPr>
    </w:pPr>
  </w:p>
  <w:p w:rsidR="007336BA" w:rsidRDefault="007336BA">
    <w:pPr>
      <w:pStyle w:val="headerpartodd0"/>
      <w:pBdr>
        <w:bottom w:val="single" w:sz="6" w:space="1" w:color="auto"/>
      </w:pBdr>
      <w:jc w:val="right"/>
      <w:rPr>
        <w:b/>
        <w:i/>
        <w:sz w:val="24"/>
        <w:szCs w:val="24"/>
      </w:rPr>
    </w:pPr>
  </w:p>
  <w:p w:rsidR="007336BA" w:rsidRDefault="007336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3835E2"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3835E2"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3835E2"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3835E2" w:rsidRPr="007A1328">
      <w:rPr>
        <w:webHidden/>
        <w:sz w:val="24"/>
      </w:rPr>
      <w:fldChar w:fldCharType="begin"/>
    </w:r>
    <w:r w:rsidRPr="007A1328">
      <w:rPr>
        <w:webHidden/>
        <w:sz w:val="24"/>
      </w:rPr>
      <w:instrText xml:space="preserve"> STYLEREF CharSectno </w:instrText>
    </w:r>
    <w:r w:rsidR="003835E2" w:rsidRPr="007A1328">
      <w:rPr>
        <w:webHidden/>
        <w:sz w:val="24"/>
      </w:rPr>
      <w:fldChar w:fldCharType="separate"/>
    </w:r>
    <w:r w:rsidR="00931A02">
      <w:rPr>
        <w:noProof/>
        <w:webHidden/>
        <w:sz w:val="24"/>
      </w:rPr>
      <w:t>2</w:t>
    </w:r>
    <w:r w:rsidR="003835E2" w:rsidRPr="007A1328">
      <w:rPr>
        <w:webHidden/>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3835E2"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3835E2"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3835E2"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3835E2" w:rsidRPr="00FF4C0F">
      <w:rPr>
        <w:sz w:val="24"/>
      </w:rPr>
      <w:fldChar w:fldCharType="begin"/>
    </w:r>
    <w:r w:rsidRPr="00FF4C0F">
      <w:rPr>
        <w:sz w:val="24"/>
      </w:rPr>
      <w:instrText xml:space="preserve"> STYLEREF  CharSectno  \* CHARFORMAT </w:instrText>
    </w:r>
    <w:r w:rsidR="003835E2" w:rsidRPr="00FF4C0F">
      <w:rPr>
        <w:sz w:val="24"/>
      </w:rPr>
      <w:fldChar w:fldCharType="separate"/>
    </w:r>
    <w:r w:rsidR="00931A02">
      <w:rPr>
        <w:noProof/>
        <w:sz w:val="24"/>
      </w:rPr>
      <w:t>6</w:t>
    </w:r>
    <w:r w:rsidR="003835E2" w:rsidRPr="00FF4C0F">
      <w:rPr>
        <w:sz w:val="24"/>
      </w:rPr>
      <w:fldChar w:fldCharType="end"/>
    </w:r>
  </w:p>
  <w:p w:rsidR="000E0249" w:rsidRPr="008C6D62" w:rsidRDefault="000E0249" w:rsidP="000E0249">
    <w:pPr>
      <w:pStyle w:val="Header"/>
      <w:pBdr>
        <w:top w:val="single" w:sz="6" w:space="1"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3835E2"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3835E2">
      <w:rPr>
        <w:b/>
        <w:webHidden/>
        <w:sz w:val="20"/>
        <w:szCs w:val="20"/>
      </w:rPr>
      <w:fldChar w:fldCharType="begin"/>
    </w:r>
    <w:r>
      <w:rPr>
        <w:b/>
        <w:webHidden/>
        <w:sz w:val="20"/>
        <w:szCs w:val="20"/>
      </w:rPr>
      <w:instrText xml:space="preserve"> STYLEREF  CharChapNo </w:instrText>
    </w:r>
    <w:r w:rsidR="003835E2">
      <w:rPr>
        <w:b/>
        <w:webHidden/>
        <w:sz w:val="20"/>
        <w:szCs w:val="20"/>
      </w:rPr>
      <w:fldChar w:fldCharType="separate"/>
    </w:r>
    <w:r>
      <w:rPr>
        <w:b/>
        <w:noProof/>
        <w:webHidden/>
        <w:sz w:val="20"/>
        <w:szCs w:val="20"/>
      </w:rPr>
      <w:t>The Schedule</w:t>
    </w:r>
    <w:r w:rsidR="003835E2">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5E2"/>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4F25"/>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735"/>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A02"/>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469"/>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4E4EA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basedOn w:val="DefaultParagraphFont"/>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DABB0-BC8A-4401-8D5D-B27AE660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638</Words>
  <Characters>3314</Characters>
  <Application>Microsoft Office Word</Application>
  <DocSecurity>0</DocSecurity>
  <Lines>473</Lines>
  <Paragraphs>282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2013-01-01T23:18:00Z</cp:lastPrinted>
  <dcterms:created xsi:type="dcterms:W3CDTF">2013-01-29T03:04:00Z</dcterms:created>
  <dcterms:modified xsi:type="dcterms:W3CDTF">2015-07-17T02:23:00Z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