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EBE6D" w14:textId="77777777" w:rsidR="00722AE2" w:rsidRPr="00240B14" w:rsidRDefault="00B16BEC" w:rsidP="00DB7E1F">
      <w:pPr>
        <w:jc w:val="center"/>
        <w:rPr>
          <w:sz w:val="22"/>
        </w:rPr>
      </w:pPr>
      <w:r w:rsidRPr="00240B14">
        <w:rPr>
          <w:noProof/>
          <w:sz w:val="22"/>
          <w:lang w:val="en-AU" w:eastAsia="en-AU"/>
        </w:rPr>
        <w:drawing>
          <wp:inline distT="0" distB="0" distL="0" distR="0" wp14:anchorId="38DC5587" wp14:editId="77C9E818">
            <wp:extent cx="14668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62050"/>
                    </a:xfrm>
                    <a:prstGeom prst="rect">
                      <a:avLst/>
                    </a:prstGeom>
                    <a:noFill/>
                    <a:ln>
                      <a:noFill/>
                    </a:ln>
                  </pic:spPr>
                </pic:pic>
              </a:graphicData>
            </a:graphic>
          </wp:inline>
        </w:drawing>
      </w:r>
    </w:p>
    <w:p w14:paraId="768C0D46" w14:textId="77777777" w:rsidR="00722AE2" w:rsidRPr="00240B14" w:rsidRDefault="00E62BC7" w:rsidP="00DB7E1F">
      <w:pPr>
        <w:shd w:val="clear" w:color="auto" w:fill="FFFFFF"/>
        <w:spacing w:before="1224"/>
        <w:jc w:val="center"/>
        <w:rPr>
          <w:sz w:val="36"/>
        </w:rPr>
      </w:pPr>
      <w:r w:rsidRPr="00240B14">
        <w:rPr>
          <w:b/>
          <w:bCs/>
          <w:sz w:val="36"/>
        </w:rPr>
        <w:t>Customs Amendment Act 1991</w:t>
      </w:r>
    </w:p>
    <w:p w14:paraId="75E620AD" w14:textId="77777777" w:rsidR="00722AE2" w:rsidRPr="00240B14" w:rsidRDefault="00E62BC7" w:rsidP="00DB7E1F">
      <w:pPr>
        <w:shd w:val="clear" w:color="auto" w:fill="FFFFFF"/>
        <w:spacing w:before="1070"/>
        <w:jc w:val="center"/>
        <w:rPr>
          <w:sz w:val="24"/>
        </w:rPr>
      </w:pPr>
      <w:r w:rsidRPr="00240B14">
        <w:rPr>
          <w:b/>
          <w:bCs/>
          <w:sz w:val="24"/>
        </w:rPr>
        <w:t>No. 82 of 1991</w:t>
      </w:r>
    </w:p>
    <w:p w14:paraId="18807C92" w14:textId="77777777" w:rsidR="00722AE2" w:rsidRPr="00240B14" w:rsidRDefault="0033745A" w:rsidP="00DB7E1F">
      <w:pPr>
        <w:shd w:val="clear" w:color="auto" w:fill="FFFFFF"/>
        <w:spacing w:before="2386"/>
        <w:jc w:val="center"/>
        <w:rPr>
          <w:sz w:val="28"/>
        </w:rPr>
      </w:pPr>
      <w:r w:rsidRPr="00240B14">
        <w:rPr>
          <w:b/>
          <w:bCs/>
          <w:noProof/>
          <w:sz w:val="28"/>
          <w:lang w:val="en-AU" w:eastAsia="en-AU"/>
        </w:rPr>
        <mc:AlternateContent>
          <mc:Choice Requires="wps">
            <w:drawing>
              <wp:anchor distT="0" distB="0" distL="114300" distR="114300" simplePos="0" relativeHeight="251659776" behindDoc="0" locked="0" layoutInCell="1" allowOverlap="1" wp14:anchorId="17D9C892" wp14:editId="18F05997">
                <wp:simplePos x="0" y="0"/>
                <wp:positionH relativeFrom="column">
                  <wp:posOffset>54610</wp:posOffset>
                </wp:positionH>
                <wp:positionV relativeFrom="paragraph">
                  <wp:posOffset>813858</wp:posOffset>
                </wp:positionV>
                <wp:extent cx="5866976"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5866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E2264"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64.1pt" to="466.2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3etwEAALcDAAAOAAAAZHJzL2Uyb0RvYy54bWysU01vEzEQvSPxHyzfyW5aEcoqmx5SwQVB&#10;RMsPcL3jrIXtscYmH/+esZNsESBUVVy8Hvu9N/PGs8vbg3diB5Qshl7OZ60UEDQONmx7+e3hw5sb&#10;KVJWYVAOA/TyCEnerl6/Wu5jB1c4ohuABIuE1O1jL8ecY9c0SY/gVZphhMCXBsmrzCFtm4HUntW9&#10;a67adtHskYZIqCElPr07XcpV1TcGdP5iTIIsXC+5tlxXqutjWZvVUnVbUnG0+lyGekEVXtnASSep&#10;O5WV+EH2DylvNWFCk2cafYPGWA3VA7uZt7+5uR9VhOqFm5Pi1Kb0/2T1592GhB16eS1FUJ6f6D6T&#10;stsxizWGwA1EEtelT/uYOoavw4bOUYobKqYPhnz5sh1xqL09Tr2FQxaaD9/eLBbv3y2k0Je75okY&#10;KeWPgF6UTS+dDcW26tTuU8qcjKEXCAelkFPqustHBwXswlcwbIWTzSu7DhGsHYmd4ucfvs+LDdaq&#10;yEIx1rmJ1P6bdMYWGtTBei5xQteMGPJE9DYg/S1rPlxKNSf8xfXJa7H9iMOxPkRtB09HdXae5DJ+&#10;v8aV/vS/rX4CAAD//wMAUEsDBBQABgAIAAAAIQBFfiDR3QAAAAkBAAAPAAAAZHJzL2Rvd25yZXYu&#10;eG1sTI/NTsMwEITvSLyDtZW4UadBtCHEqRA/JzikgQNHN16SqPE6it0k8PQsUiV63JnR7DfZdrad&#10;GHHwrSMFq2UEAqlypqVawcf7y3UCwgdNRneOUME3etjmlxeZTo2baIdjGWrBJeRTraAJoU+l9FWD&#10;Vvul65HY+3KD1YHPoZZm0BOX207GUbSWVrfEHxrd42OD1aE8WgWb59ey6Kent59CbmRRjC4kh0+l&#10;rhbzwz2IgHP4D8MfPqNDzkx7dyTjRacgWXOQ5TiJQbB/dxPfgtifFJln8nxB/gsAAP//AwBQSwEC&#10;LQAUAAYACAAAACEAtoM4kv4AAADhAQAAEwAAAAAAAAAAAAAAAAAAAAAAW0NvbnRlbnRfVHlwZXNd&#10;LnhtbFBLAQItABQABgAIAAAAIQA4/SH/1gAAAJQBAAALAAAAAAAAAAAAAAAAAC8BAABfcmVscy8u&#10;cmVsc1BLAQItABQABgAIAAAAIQAxgA3etwEAALcDAAAOAAAAAAAAAAAAAAAAAC4CAABkcnMvZTJv&#10;RG9jLnhtbFBLAQItABQABgAIAAAAIQBFfiDR3QAAAAkBAAAPAAAAAAAAAAAAAAAAABEEAABkcnMv&#10;ZG93bnJldi54bWxQSwUGAAAAAAQABADzAAAAGwUAAAAA&#10;" strokecolor="black [3040]"/>
            </w:pict>
          </mc:Fallback>
        </mc:AlternateContent>
      </w:r>
      <w:r w:rsidRPr="00240B14">
        <w:rPr>
          <w:b/>
          <w:bCs/>
          <w:noProof/>
          <w:sz w:val="28"/>
          <w:lang w:val="en-AU" w:eastAsia="en-AU"/>
        </w:rPr>
        <mc:AlternateContent>
          <mc:Choice Requires="wps">
            <w:drawing>
              <wp:anchor distT="0" distB="0" distL="114300" distR="114300" simplePos="0" relativeHeight="251657728" behindDoc="0" locked="0" layoutInCell="1" allowOverlap="1" wp14:anchorId="57A9B372" wp14:editId="24560218">
                <wp:simplePos x="0" y="0"/>
                <wp:positionH relativeFrom="column">
                  <wp:posOffset>33443</wp:posOffset>
                </wp:positionH>
                <wp:positionV relativeFrom="paragraph">
                  <wp:posOffset>784225</wp:posOffset>
                </wp:positionV>
                <wp:extent cx="5866976"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5866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3CB069"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61.75pt" to="464.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3ftgEAALcDAAAOAAAAZHJzL2Uyb0RvYy54bWysU8GO0zAQvSPxD5bvNG0lyhI13UNXcEFQ&#10;sewHeJ1xY2F7rLFp2r9n7LZZBAih1V4cj/3em3njyfr26J04ACWLoZOL2VwKCBp7G/adfPj24c2N&#10;FCmr0CuHATp5giRvN69frcfYwhIHdD2QYJGQ2jF2csg5tk2T9ABepRlGCHxpkLzKHNK+6UmNrO5d&#10;s5zPV82I1EdCDSnx6d35Um6qvjGg8xdjEmThOsm15bpSXR/L2mzWqt2TioPVlzLUM6rwygZOOknd&#10;qazED7J/SHmrCROaPNPoGzTGaqge2M1i/pub+0FFqF64OSlObUovJ6s/H3YkbN/JpRRBeX6i+0zK&#10;7ocsthgCNxBJLEufxphahm/Dji5Rijsqpo+GfPmyHXGsvT1NvYVjFpoP396sVu/fraTQ17vmiRgp&#10;5Y+AXpRNJ50NxbZq1eFTypyMoVcIB6WQc+q6yycHBezCVzBshZMtKrsOEWwdiYPi5++/L4oN1qrI&#10;QjHWuYk0/zfpgi00qIP1v8QJXTNiyBPR24D0t6z5eC3VnPFX12evxfYj9qf6ELUdPB3V2WWSy/j9&#10;Glf60/+2+QkAAP//AwBQSwMEFAAGAAgAAAAhAEnHMuXdAAAACQEAAA8AAABkcnMvZG93bnJldi54&#10;bWxMj8FOwzAQRO9I/QdrK3GjDqlK2xCnqgqc4BACB45uvCRR43UUu0ng61mkSnDcmdHsm3Q32VYM&#10;2PvGkYLbRQQCqXSmoUrB+9vTzQaED5qMbh2hgi/0sMtmV6lOjBvpFYciVIJLyCdaQR1Cl0jpyxqt&#10;9gvXIbH36XqrA599JU2vRy63rYyj6E5a3RB/qHWHhxrLU3G2CtaPz0XejQ8v37lcyzwfXNicPpS6&#10;nk/7exABp/AXhl98RoeMmY7uTMaLVsFqyUGW4+UKBPvbeBuDOF4UmaXy/4LsBwAA//8DAFBLAQIt&#10;ABQABgAIAAAAIQC2gziS/gAAAOEBAAATAAAAAAAAAAAAAAAAAAAAAABbQ29udGVudF9UeXBlc10u&#10;eG1sUEsBAi0AFAAGAAgAAAAhADj9If/WAAAAlAEAAAsAAAAAAAAAAAAAAAAALwEAAF9yZWxzLy5y&#10;ZWxzUEsBAi0AFAAGAAgAAAAhAJ51Hd+2AQAAtwMAAA4AAAAAAAAAAAAAAAAALgIAAGRycy9lMm9E&#10;b2MueG1sUEsBAi0AFAAGAAgAAAAhAEnHMuXdAAAACQEAAA8AAAAAAAAAAAAAAAAAEAQAAGRycy9k&#10;b3ducmV2LnhtbFBLBQYAAAAABAAEAPMAAAAaBQAAAAA=&#10;" strokecolor="black [3040]"/>
            </w:pict>
          </mc:Fallback>
        </mc:AlternateContent>
      </w:r>
      <w:r w:rsidR="00E62BC7" w:rsidRPr="00240B14">
        <w:rPr>
          <w:b/>
          <w:bCs/>
          <w:sz w:val="28"/>
        </w:rPr>
        <w:t xml:space="preserve">An Act to amend the </w:t>
      </w:r>
      <w:r w:rsidR="00E62BC7" w:rsidRPr="00240B14">
        <w:rPr>
          <w:b/>
          <w:bCs/>
          <w:i/>
          <w:iCs/>
          <w:sz w:val="28"/>
        </w:rPr>
        <w:t>Customs Act 1901</w:t>
      </w:r>
    </w:p>
    <w:p w14:paraId="143799ED" w14:textId="77777777" w:rsidR="00722AE2" w:rsidRPr="00240B14" w:rsidRDefault="00E62BC7" w:rsidP="00DB7E1F">
      <w:pPr>
        <w:shd w:val="clear" w:color="auto" w:fill="FFFFFF"/>
        <w:spacing w:before="120"/>
        <w:jc w:val="right"/>
        <w:rPr>
          <w:sz w:val="22"/>
        </w:rPr>
      </w:pPr>
      <w:r w:rsidRPr="00240B14">
        <w:rPr>
          <w:sz w:val="22"/>
        </w:rPr>
        <w:t>[</w:t>
      </w:r>
      <w:r w:rsidRPr="00240B14">
        <w:rPr>
          <w:i/>
          <w:iCs/>
          <w:sz w:val="22"/>
        </w:rPr>
        <w:t>Assented to 26 June 1991</w:t>
      </w:r>
      <w:r w:rsidRPr="00240B14">
        <w:rPr>
          <w:sz w:val="22"/>
        </w:rPr>
        <w:t>]</w:t>
      </w:r>
    </w:p>
    <w:p w14:paraId="3418C502" w14:textId="77777777" w:rsidR="00722AE2" w:rsidRPr="00240B14" w:rsidRDefault="00E62BC7" w:rsidP="00DB7E1F">
      <w:pPr>
        <w:shd w:val="clear" w:color="auto" w:fill="FFFFFF"/>
        <w:spacing w:before="120"/>
        <w:ind w:left="341"/>
        <w:rPr>
          <w:sz w:val="22"/>
        </w:rPr>
      </w:pPr>
      <w:r w:rsidRPr="00240B14">
        <w:rPr>
          <w:sz w:val="22"/>
        </w:rPr>
        <w:t>The Parliament of Australia enacts:</w:t>
      </w:r>
    </w:p>
    <w:p w14:paraId="354AA223" w14:textId="77777777" w:rsidR="00722AE2" w:rsidRPr="00240B14" w:rsidRDefault="00E62BC7" w:rsidP="00DB7E1F">
      <w:pPr>
        <w:shd w:val="clear" w:color="auto" w:fill="FFFFFF"/>
        <w:spacing w:before="120"/>
        <w:rPr>
          <w:sz w:val="22"/>
        </w:rPr>
      </w:pPr>
      <w:r w:rsidRPr="00240B14">
        <w:rPr>
          <w:b/>
          <w:bCs/>
          <w:sz w:val="22"/>
        </w:rPr>
        <w:t>Short title etc.</w:t>
      </w:r>
    </w:p>
    <w:p w14:paraId="0B3AEC57" w14:textId="77777777" w:rsidR="00722AE2" w:rsidRPr="00240B14" w:rsidRDefault="00E62BC7" w:rsidP="00DB7E1F">
      <w:pPr>
        <w:shd w:val="clear" w:color="auto" w:fill="FFFFFF"/>
        <w:tabs>
          <w:tab w:val="left" w:pos="629"/>
        </w:tabs>
        <w:spacing w:before="120"/>
        <w:ind w:left="341"/>
        <w:rPr>
          <w:sz w:val="22"/>
        </w:rPr>
      </w:pPr>
      <w:r w:rsidRPr="00240B14">
        <w:rPr>
          <w:b/>
          <w:bCs/>
          <w:sz w:val="22"/>
        </w:rPr>
        <w:t>1.</w:t>
      </w:r>
      <w:r w:rsidRPr="00240B14">
        <w:rPr>
          <w:b/>
          <w:bCs/>
          <w:sz w:val="22"/>
        </w:rPr>
        <w:tab/>
        <w:t xml:space="preserve">(1) </w:t>
      </w:r>
      <w:r w:rsidRPr="00240B14">
        <w:rPr>
          <w:sz w:val="22"/>
        </w:rPr>
        <w:t xml:space="preserve">This Act may be cited as the </w:t>
      </w:r>
      <w:r w:rsidRPr="00240B14">
        <w:rPr>
          <w:i/>
          <w:iCs/>
          <w:sz w:val="22"/>
        </w:rPr>
        <w:t>Customs Amendment Act 1991.</w:t>
      </w:r>
    </w:p>
    <w:p w14:paraId="6E896DFD" w14:textId="77777777" w:rsidR="00722AE2" w:rsidRPr="00240B14" w:rsidRDefault="00E62BC7" w:rsidP="00DB7E1F">
      <w:pPr>
        <w:shd w:val="clear" w:color="auto" w:fill="FFFFFF"/>
        <w:spacing w:before="120"/>
        <w:ind w:left="341"/>
        <w:rPr>
          <w:sz w:val="22"/>
        </w:rPr>
      </w:pPr>
      <w:r w:rsidRPr="00240B14">
        <w:rPr>
          <w:b/>
          <w:bCs/>
          <w:sz w:val="22"/>
        </w:rPr>
        <w:t>(2)</w:t>
      </w:r>
      <w:r w:rsidRPr="00240B14">
        <w:rPr>
          <w:sz w:val="22"/>
        </w:rPr>
        <w:t xml:space="preserve"> In this Act, </w:t>
      </w:r>
      <w:r w:rsidR="00655D6C" w:rsidRPr="00240B14">
        <w:rPr>
          <w:b/>
          <w:bCs/>
          <w:sz w:val="22"/>
        </w:rPr>
        <w:t>“</w:t>
      </w:r>
      <w:r w:rsidRPr="00240B14">
        <w:rPr>
          <w:b/>
          <w:bCs/>
          <w:sz w:val="22"/>
        </w:rPr>
        <w:t>Principal Act</w:t>
      </w:r>
      <w:r w:rsidR="00655D6C" w:rsidRPr="00240B14">
        <w:rPr>
          <w:b/>
          <w:bCs/>
          <w:sz w:val="22"/>
        </w:rPr>
        <w:t>”</w:t>
      </w:r>
      <w:r w:rsidRPr="00240B14">
        <w:rPr>
          <w:b/>
          <w:bCs/>
          <w:sz w:val="22"/>
        </w:rPr>
        <w:t xml:space="preserve"> </w:t>
      </w:r>
      <w:r w:rsidRPr="00240B14">
        <w:rPr>
          <w:sz w:val="22"/>
        </w:rPr>
        <w:t xml:space="preserve">means the </w:t>
      </w:r>
      <w:r w:rsidRPr="00240B14">
        <w:rPr>
          <w:i/>
          <w:iCs/>
          <w:sz w:val="22"/>
        </w:rPr>
        <w:t>Customs Act 1901</w:t>
      </w:r>
      <w:r w:rsidRPr="00240B14">
        <w:rPr>
          <w:sz w:val="22"/>
          <w:vertAlign w:val="superscript"/>
        </w:rPr>
        <w:t>1</w:t>
      </w:r>
      <w:r w:rsidRPr="00240B14">
        <w:rPr>
          <w:i/>
          <w:iCs/>
          <w:sz w:val="22"/>
        </w:rPr>
        <w:t>.</w:t>
      </w:r>
    </w:p>
    <w:p w14:paraId="294D7F71" w14:textId="77777777" w:rsidR="00722AE2" w:rsidRPr="00240B14" w:rsidRDefault="00E62BC7" w:rsidP="00DB7E1F">
      <w:pPr>
        <w:shd w:val="clear" w:color="auto" w:fill="FFFFFF"/>
        <w:spacing w:before="120"/>
        <w:ind w:left="5"/>
        <w:rPr>
          <w:sz w:val="22"/>
        </w:rPr>
      </w:pPr>
      <w:r w:rsidRPr="00240B14">
        <w:rPr>
          <w:b/>
          <w:bCs/>
          <w:sz w:val="22"/>
        </w:rPr>
        <w:t>Commencement</w:t>
      </w:r>
    </w:p>
    <w:p w14:paraId="1D1EE7B2" w14:textId="77777777" w:rsidR="00722AE2" w:rsidRPr="00240B14" w:rsidRDefault="00E62BC7" w:rsidP="00DB7E1F">
      <w:pPr>
        <w:shd w:val="clear" w:color="auto" w:fill="FFFFFF"/>
        <w:tabs>
          <w:tab w:val="left" w:pos="629"/>
        </w:tabs>
        <w:spacing w:before="120"/>
        <w:ind w:left="10" w:firstLine="331"/>
        <w:jc w:val="both"/>
        <w:rPr>
          <w:sz w:val="22"/>
        </w:rPr>
      </w:pPr>
      <w:r w:rsidRPr="00240B14">
        <w:rPr>
          <w:b/>
          <w:bCs/>
          <w:sz w:val="22"/>
        </w:rPr>
        <w:t>2.</w:t>
      </w:r>
      <w:r w:rsidRPr="00240B14">
        <w:rPr>
          <w:b/>
          <w:bCs/>
          <w:sz w:val="22"/>
        </w:rPr>
        <w:tab/>
      </w:r>
      <w:r w:rsidRPr="00240B14">
        <w:rPr>
          <w:sz w:val="22"/>
        </w:rPr>
        <w:t>This Act commences on the day on which it receives the Royal</w:t>
      </w:r>
      <w:r w:rsidR="00954E45" w:rsidRPr="00240B14">
        <w:rPr>
          <w:sz w:val="22"/>
        </w:rPr>
        <w:t xml:space="preserve"> </w:t>
      </w:r>
      <w:r w:rsidRPr="00240B14">
        <w:rPr>
          <w:sz w:val="22"/>
        </w:rPr>
        <w:t>Assent.</w:t>
      </w:r>
    </w:p>
    <w:p w14:paraId="45AB62BE" w14:textId="77777777" w:rsidR="00722AE2" w:rsidRPr="00240B14" w:rsidRDefault="00E62BC7" w:rsidP="00DB7E1F">
      <w:pPr>
        <w:shd w:val="clear" w:color="auto" w:fill="FFFFFF"/>
        <w:spacing w:before="120"/>
        <w:ind w:left="14"/>
        <w:rPr>
          <w:sz w:val="22"/>
        </w:rPr>
      </w:pPr>
      <w:r w:rsidRPr="00240B14">
        <w:rPr>
          <w:b/>
          <w:bCs/>
          <w:sz w:val="22"/>
        </w:rPr>
        <w:t>Interpretation</w:t>
      </w:r>
    </w:p>
    <w:p w14:paraId="5AF7ED03" w14:textId="77777777" w:rsidR="00722AE2" w:rsidRPr="00240B14" w:rsidRDefault="00E62BC7" w:rsidP="00DB7E1F">
      <w:pPr>
        <w:shd w:val="clear" w:color="auto" w:fill="FFFFFF"/>
        <w:tabs>
          <w:tab w:val="left" w:pos="629"/>
        </w:tabs>
        <w:spacing w:before="120"/>
        <w:ind w:left="10" w:firstLine="331"/>
        <w:jc w:val="both"/>
        <w:rPr>
          <w:sz w:val="22"/>
        </w:rPr>
      </w:pPr>
      <w:r w:rsidRPr="00240B14">
        <w:rPr>
          <w:b/>
          <w:bCs/>
          <w:sz w:val="22"/>
        </w:rPr>
        <w:t>3.</w:t>
      </w:r>
      <w:r w:rsidRPr="00240B14">
        <w:rPr>
          <w:b/>
          <w:bCs/>
          <w:sz w:val="22"/>
        </w:rPr>
        <w:tab/>
      </w:r>
      <w:r w:rsidRPr="00240B14">
        <w:rPr>
          <w:sz w:val="22"/>
        </w:rPr>
        <w:t>Section 4 of the Principal Act is amended by omitting paragraph</w:t>
      </w:r>
      <w:r w:rsidR="00954E45" w:rsidRPr="00240B14">
        <w:rPr>
          <w:sz w:val="22"/>
        </w:rPr>
        <w:t xml:space="preserve"> </w:t>
      </w:r>
      <w:r w:rsidRPr="00240B14">
        <w:rPr>
          <w:sz w:val="22"/>
        </w:rPr>
        <w:t xml:space="preserve">(a) of the definition of </w:t>
      </w:r>
      <w:r w:rsidR="00655D6C" w:rsidRPr="00240B14">
        <w:rPr>
          <w:sz w:val="22"/>
        </w:rPr>
        <w:t>“</w:t>
      </w:r>
      <w:r w:rsidRPr="00240B14">
        <w:rPr>
          <w:sz w:val="22"/>
        </w:rPr>
        <w:t>Division 1</w:t>
      </w:r>
      <w:r w:rsidRPr="00240B14">
        <w:rPr>
          <w:smallCaps/>
          <w:sz w:val="22"/>
        </w:rPr>
        <w:t>b</w:t>
      </w:r>
      <w:r w:rsidRPr="00240B14">
        <w:rPr>
          <w:sz w:val="22"/>
        </w:rPr>
        <w:t xml:space="preserve"> Judge</w:t>
      </w:r>
      <w:r w:rsidR="00655D6C" w:rsidRPr="00240B14">
        <w:rPr>
          <w:sz w:val="22"/>
        </w:rPr>
        <w:t>”</w:t>
      </w:r>
      <w:r w:rsidRPr="00240B14">
        <w:rPr>
          <w:sz w:val="22"/>
        </w:rPr>
        <w:t xml:space="preserve"> in subsection (1) and</w:t>
      </w:r>
      <w:r w:rsidR="00954E45" w:rsidRPr="00240B14">
        <w:rPr>
          <w:sz w:val="22"/>
        </w:rPr>
        <w:t xml:space="preserve"> </w:t>
      </w:r>
      <w:r w:rsidRPr="00240B14">
        <w:rPr>
          <w:sz w:val="22"/>
        </w:rPr>
        <w:t>substituting the following paragraph:</w:t>
      </w:r>
    </w:p>
    <w:p w14:paraId="744C6BB2" w14:textId="77777777" w:rsidR="00722AE2" w:rsidRPr="00240B14" w:rsidRDefault="00722AE2" w:rsidP="00DB7E1F">
      <w:pPr>
        <w:shd w:val="clear" w:color="auto" w:fill="FFFFFF"/>
        <w:tabs>
          <w:tab w:val="left" w:pos="629"/>
        </w:tabs>
        <w:spacing w:before="120"/>
        <w:ind w:left="10" w:firstLine="331"/>
        <w:jc w:val="both"/>
        <w:rPr>
          <w:sz w:val="22"/>
        </w:rPr>
        <w:sectPr w:rsidR="00722AE2" w:rsidRPr="00240B14" w:rsidSect="006F670B">
          <w:headerReference w:type="default" r:id="rId9"/>
          <w:pgSz w:w="12240" w:h="15840" w:code="1"/>
          <w:pgMar w:top="1440" w:right="1440" w:bottom="1440" w:left="1440" w:header="720" w:footer="720" w:gutter="0"/>
          <w:cols w:space="60"/>
          <w:noEndnote/>
          <w:titlePg/>
          <w:docGrid w:linePitch="272"/>
        </w:sectPr>
      </w:pPr>
    </w:p>
    <w:p w14:paraId="32CC832D" w14:textId="77777777" w:rsidR="00722AE2" w:rsidRPr="00240B14" w:rsidRDefault="00655D6C" w:rsidP="00DB7E1F">
      <w:pPr>
        <w:shd w:val="clear" w:color="auto" w:fill="FFFFFF"/>
        <w:spacing w:before="120"/>
        <w:ind w:left="917" w:hanging="571"/>
        <w:jc w:val="both"/>
        <w:rPr>
          <w:sz w:val="22"/>
        </w:rPr>
      </w:pPr>
      <w:r w:rsidRPr="00240B14">
        <w:rPr>
          <w:sz w:val="22"/>
        </w:rPr>
        <w:lastRenderedPageBreak/>
        <w:t>“</w:t>
      </w:r>
      <w:r w:rsidR="00E62BC7" w:rsidRPr="00240B14">
        <w:rPr>
          <w:sz w:val="22"/>
        </w:rPr>
        <w:t>(a) a Judge of the Federal Court of Australia, of the Supreme Court of the Australian Capital Territory, or of the Family Court of Australia, in relation to whom a consent under subsection 219</w:t>
      </w:r>
      <w:r w:rsidR="00E62BC7" w:rsidRPr="00240B14">
        <w:rPr>
          <w:smallCaps/>
          <w:sz w:val="22"/>
        </w:rPr>
        <w:t>ra</w:t>
      </w:r>
      <w:r w:rsidR="00E62BC7" w:rsidRPr="00240B14">
        <w:rPr>
          <w:sz w:val="22"/>
        </w:rPr>
        <w:t xml:space="preserve"> (1) and a nomination under subsection 219</w:t>
      </w:r>
      <w:r w:rsidR="00E62BC7" w:rsidRPr="00240B14">
        <w:rPr>
          <w:smallCaps/>
          <w:sz w:val="22"/>
        </w:rPr>
        <w:t>ra</w:t>
      </w:r>
      <w:r w:rsidR="00E62BC7" w:rsidRPr="00240B14">
        <w:rPr>
          <w:sz w:val="22"/>
        </w:rPr>
        <w:t xml:space="preserve"> (2) are in force; or</w:t>
      </w:r>
      <w:r w:rsidRPr="00240B14">
        <w:rPr>
          <w:sz w:val="22"/>
        </w:rPr>
        <w:t>”</w:t>
      </w:r>
      <w:r w:rsidR="00E62BC7" w:rsidRPr="00240B14">
        <w:rPr>
          <w:sz w:val="22"/>
        </w:rPr>
        <w:t>.</w:t>
      </w:r>
    </w:p>
    <w:p w14:paraId="6AD12465" w14:textId="77777777" w:rsidR="00722AE2" w:rsidRPr="00240B14" w:rsidRDefault="00E62BC7" w:rsidP="00DB7E1F">
      <w:pPr>
        <w:shd w:val="clear" w:color="auto" w:fill="FFFFFF"/>
        <w:tabs>
          <w:tab w:val="left" w:pos="648"/>
        </w:tabs>
        <w:spacing w:before="120"/>
        <w:ind w:left="10" w:firstLine="326"/>
        <w:jc w:val="both"/>
        <w:rPr>
          <w:sz w:val="22"/>
        </w:rPr>
      </w:pPr>
      <w:r w:rsidRPr="00240B14">
        <w:rPr>
          <w:b/>
          <w:sz w:val="22"/>
        </w:rPr>
        <w:t>4.</w:t>
      </w:r>
      <w:r w:rsidRPr="00240B14">
        <w:rPr>
          <w:sz w:val="22"/>
        </w:rPr>
        <w:tab/>
        <w:t>Before section 219</w:t>
      </w:r>
      <w:r w:rsidRPr="00240B14">
        <w:rPr>
          <w:smallCaps/>
          <w:sz w:val="22"/>
        </w:rPr>
        <w:t>s</w:t>
      </w:r>
      <w:r w:rsidRPr="00240B14">
        <w:rPr>
          <w:sz w:val="22"/>
        </w:rPr>
        <w:t xml:space="preserve"> of the Principal Act the following section is</w:t>
      </w:r>
      <w:r w:rsidR="00954E45" w:rsidRPr="00240B14">
        <w:rPr>
          <w:sz w:val="22"/>
        </w:rPr>
        <w:t xml:space="preserve"> </w:t>
      </w:r>
      <w:r w:rsidRPr="00240B14">
        <w:rPr>
          <w:sz w:val="22"/>
        </w:rPr>
        <w:t>inserted in Subdivision C of Division 1</w:t>
      </w:r>
      <w:r w:rsidRPr="00240B14">
        <w:rPr>
          <w:smallCaps/>
          <w:sz w:val="22"/>
        </w:rPr>
        <w:t>b</w:t>
      </w:r>
      <w:r w:rsidRPr="00240B14">
        <w:rPr>
          <w:sz w:val="22"/>
        </w:rPr>
        <w:t xml:space="preserve"> of Part XII:</w:t>
      </w:r>
    </w:p>
    <w:p w14:paraId="746E28BB" w14:textId="77777777" w:rsidR="00722AE2" w:rsidRPr="00240B14" w:rsidRDefault="00E62BC7" w:rsidP="00DB7E1F">
      <w:pPr>
        <w:shd w:val="clear" w:color="auto" w:fill="FFFFFF"/>
        <w:spacing w:before="120"/>
        <w:rPr>
          <w:sz w:val="22"/>
        </w:rPr>
      </w:pPr>
      <w:r w:rsidRPr="00240B14">
        <w:rPr>
          <w:b/>
          <w:bCs/>
          <w:sz w:val="22"/>
        </w:rPr>
        <w:t>Certain Judges and Magistrates eligible to give orders under this Subdivision</w:t>
      </w:r>
    </w:p>
    <w:p w14:paraId="411D7975" w14:textId="77777777" w:rsidR="00722AE2" w:rsidRPr="00240B14" w:rsidRDefault="00655D6C" w:rsidP="00DB7E1F">
      <w:pPr>
        <w:shd w:val="clear" w:color="auto" w:fill="FFFFFF"/>
        <w:spacing w:before="120"/>
        <w:ind w:left="5" w:firstLine="346"/>
        <w:jc w:val="both"/>
        <w:rPr>
          <w:sz w:val="22"/>
        </w:rPr>
      </w:pPr>
      <w:r w:rsidRPr="00240B14">
        <w:rPr>
          <w:sz w:val="22"/>
        </w:rPr>
        <w:t>“</w:t>
      </w:r>
      <w:r w:rsidR="00E62BC7" w:rsidRPr="00240B14">
        <w:rPr>
          <w:sz w:val="22"/>
        </w:rPr>
        <w:t>219</w:t>
      </w:r>
      <w:r w:rsidR="00E62BC7" w:rsidRPr="00240B14">
        <w:rPr>
          <w:smallCaps/>
          <w:sz w:val="22"/>
        </w:rPr>
        <w:t>ra</w:t>
      </w:r>
      <w:r w:rsidR="00E62BC7" w:rsidRPr="00240B14">
        <w:rPr>
          <w:sz w:val="22"/>
        </w:rPr>
        <w:t>. (1) A Judge of the Federal Court of Australia, of the Supreme Court of the Australian Capital Territory or of the Family Court of Australia may, by writing, consent to be nominated by the Minister under subsection (2).</w:t>
      </w:r>
    </w:p>
    <w:p w14:paraId="22C94A28" w14:textId="77777777" w:rsidR="00722AE2" w:rsidRPr="00240B14" w:rsidRDefault="00655D6C" w:rsidP="00DB7E1F">
      <w:pPr>
        <w:shd w:val="clear" w:color="auto" w:fill="FFFFFF"/>
        <w:spacing w:before="120"/>
        <w:ind w:left="10" w:firstLine="346"/>
        <w:jc w:val="both"/>
        <w:rPr>
          <w:sz w:val="22"/>
        </w:rPr>
      </w:pPr>
      <w:r w:rsidRPr="00240B14">
        <w:rPr>
          <w:sz w:val="22"/>
        </w:rPr>
        <w:t>“</w:t>
      </w:r>
      <w:r w:rsidR="00E62BC7" w:rsidRPr="00240B14">
        <w:rPr>
          <w:sz w:val="22"/>
        </w:rPr>
        <w:t>(2) The Minister may, by writing, nominate a Judge of a court referred to in subsection (1) in relation to whom a consent is in force under that subsection to be a Division 1</w:t>
      </w:r>
      <w:r w:rsidR="00E62BC7" w:rsidRPr="00240B14">
        <w:rPr>
          <w:smallCaps/>
          <w:sz w:val="22"/>
        </w:rPr>
        <w:t>b</w:t>
      </w:r>
      <w:r w:rsidR="00E62BC7" w:rsidRPr="00240B14">
        <w:rPr>
          <w:sz w:val="22"/>
        </w:rPr>
        <w:t xml:space="preserve"> Judge.</w:t>
      </w:r>
      <w:r w:rsidRPr="00240B14">
        <w:rPr>
          <w:sz w:val="22"/>
        </w:rPr>
        <w:t>”</w:t>
      </w:r>
      <w:r w:rsidR="00E62BC7" w:rsidRPr="00240B14">
        <w:rPr>
          <w:sz w:val="22"/>
        </w:rPr>
        <w:t>.</w:t>
      </w:r>
    </w:p>
    <w:p w14:paraId="1F2EB367" w14:textId="77777777" w:rsidR="00722AE2" w:rsidRPr="00240B14" w:rsidRDefault="00E62BC7" w:rsidP="00DB7E1F">
      <w:pPr>
        <w:shd w:val="clear" w:color="auto" w:fill="FFFFFF"/>
        <w:spacing w:before="120"/>
        <w:ind w:left="10"/>
        <w:rPr>
          <w:sz w:val="22"/>
        </w:rPr>
      </w:pPr>
      <w:r w:rsidRPr="00240B14">
        <w:rPr>
          <w:b/>
          <w:bCs/>
          <w:sz w:val="22"/>
        </w:rPr>
        <w:t>Repeal of section 219</w:t>
      </w:r>
      <w:r w:rsidRPr="00240B14">
        <w:rPr>
          <w:b/>
          <w:bCs/>
          <w:smallCaps/>
          <w:sz w:val="22"/>
        </w:rPr>
        <w:t>ab</w:t>
      </w:r>
    </w:p>
    <w:p w14:paraId="5DA54C36" w14:textId="77777777" w:rsidR="00722AE2" w:rsidRPr="00240B14" w:rsidRDefault="00E62BC7" w:rsidP="00DB7E1F">
      <w:pPr>
        <w:numPr>
          <w:ilvl w:val="0"/>
          <w:numId w:val="1"/>
        </w:numPr>
        <w:shd w:val="clear" w:color="auto" w:fill="FFFFFF"/>
        <w:tabs>
          <w:tab w:val="left" w:pos="648"/>
        </w:tabs>
        <w:spacing w:before="120"/>
        <w:ind w:left="336"/>
        <w:rPr>
          <w:b/>
          <w:bCs/>
          <w:sz w:val="22"/>
        </w:rPr>
      </w:pPr>
      <w:r w:rsidRPr="00240B14">
        <w:rPr>
          <w:sz w:val="22"/>
        </w:rPr>
        <w:t>Section 219</w:t>
      </w:r>
      <w:r w:rsidRPr="00240B14">
        <w:rPr>
          <w:smallCaps/>
          <w:sz w:val="22"/>
        </w:rPr>
        <w:t>ab</w:t>
      </w:r>
      <w:r w:rsidRPr="00240B14">
        <w:rPr>
          <w:sz w:val="22"/>
        </w:rPr>
        <w:t xml:space="preserve"> of the Principal Act is repealed.</w:t>
      </w:r>
    </w:p>
    <w:p w14:paraId="29698CA2" w14:textId="77777777" w:rsidR="00722AE2" w:rsidRPr="00240B14" w:rsidRDefault="00E62BC7" w:rsidP="00DB7E1F">
      <w:pPr>
        <w:numPr>
          <w:ilvl w:val="0"/>
          <w:numId w:val="1"/>
        </w:numPr>
        <w:shd w:val="clear" w:color="auto" w:fill="FFFFFF"/>
        <w:tabs>
          <w:tab w:val="left" w:pos="648"/>
        </w:tabs>
        <w:spacing w:before="120"/>
        <w:ind w:left="10" w:firstLine="326"/>
        <w:jc w:val="both"/>
        <w:rPr>
          <w:sz w:val="22"/>
        </w:rPr>
      </w:pPr>
      <w:r w:rsidRPr="00240B14">
        <w:rPr>
          <w:sz w:val="22"/>
        </w:rPr>
        <w:t>Section 219</w:t>
      </w:r>
      <w:r w:rsidRPr="00240B14">
        <w:rPr>
          <w:smallCaps/>
          <w:sz w:val="22"/>
        </w:rPr>
        <w:t>zl</w:t>
      </w:r>
      <w:r w:rsidRPr="00240B14">
        <w:rPr>
          <w:sz w:val="22"/>
        </w:rPr>
        <w:t xml:space="preserve"> of the Principal Act is repealed and the following section is substituted:</w:t>
      </w:r>
    </w:p>
    <w:p w14:paraId="5144F499" w14:textId="77777777" w:rsidR="00722AE2" w:rsidRPr="00240B14" w:rsidRDefault="00E62BC7" w:rsidP="00DB7E1F">
      <w:pPr>
        <w:shd w:val="clear" w:color="auto" w:fill="FFFFFF"/>
        <w:spacing w:before="120"/>
        <w:ind w:left="29"/>
        <w:rPr>
          <w:sz w:val="22"/>
        </w:rPr>
      </w:pPr>
      <w:r w:rsidRPr="00240B14">
        <w:rPr>
          <w:b/>
          <w:bCs/>
          <w:sz w:val="22"/>
        </w:rPr>
        <w:t>Protection of Judge or Magistrate</w:t>
      </w:r>
    </w:p>
    <w:p w14:paraId="5D6871F0" w14:textId="77777777" w:rsidR="00722AE2" w:rsidRPr="00240B14" w:rsidRDefault="00655D6C" w:rsidP="00DB7E1F">
      <w:pPr>
        <w:shd w:val="clear" w:color="auto" w:fill="FFFFFF"/>
        <w:spacing w:before="120"/>
        <w:ind w:left="34" w:firstLine="346"/>
        <w:jc w:val="both"/>
        <w:rPr>
          <w:sz w:val="22"/>
        </w:rPr>
      </w:pPr>
      <w:r w:rsidRPr="00240B14">
        <w:rPr>
          <w:sz w:val="22"/>
        </w:rPr>
        <w:t>“</w:t>
      </w:r>
      <w:r w:rsidR="00E62BC7" w:rsidRPr="00240B14">
        <w:rPr>
          <w:sz w:val="22"/>
        </w:rPr>
        <w:t>219</w:t>
      </w:r>
      <w:r w:rsidR="00E62BC7" w:rsidRPr="00240B14">
        <w:rPr>
          <w:smallCaps/>
          <w:sz w:val="22"/>
        </w:rPr>
        <w:t>zl</w:t>
      </w:r>
      <w:r w:rsidR="00E62BC7" w:rsidRPr="00240B14">
        <w:rPr>
          <w:sz w:val="22"/>
        </w:rPr>
        <w:t>. (1) A Judge of the Federal Court of Australia, of the Supreme Court of the Australian Capital Territory or of the Family Court of Australia has, in performing a function of, or connected with, issuing a warrant or giving an order under this Part, the same protection and immunity as a Justice of the High Court has in relation to proceedings in the High Court.</w:t>
      </w:r>
    </w:p>
    <w:p w14:paraId="0AE7F4A9" w14:textId="77777777" w:rsidR="00722AE2" w:rsidRPr="00240B14" w:rsidRDefault="00655D6C" w:rsidP="00DB7E1F">
      <w:pPr>
        <w:shd w:val="clear" w:color="auto" w:fill="FFFFFF"/>
        <w:spacing w:before="120"/>
        <w:ind w:left="19" w:firstLine="350"/>
        <w:jc w:val="both"/>
        <w:rPr>
          <w:sz w:val="22"/>
        </w:rPr>
      </w:pPr>
      <w:r w:rsidRPr="00240B14">
        <w:rPr>
          <w:sz w:val="22"/>
        </w:rPr>
        <w:t>“</w:t>
      </w:r>
      <w:r w:rsidR="00E62BC7" w:rsidRPr="00240B14">
        <w:rPr>
          <w:sz w:val="22"/>
        </w:rPr>
        <w:t>(2) A Judge of the Supreme Court of a State, or a Judge of the Supreme Court of the Northern Territory who is not a Judge referred to in subsection (1), has, in performing a function of, or connected with, issuing a warrant or giving an order under this Part, the same protection and immunity as if he or she were performing that function as that Supreme Court or as a member of that Supreme Court.</w:t>
      </w:r>
    </w:p>
    <w:p w14:paraId="7FA19D28" w14:textId="77777777" w:rsidR="00722AE2" w:rsidRPr="00240B14" w:rsidRDefault="00655D6C" w:rsidP="00DB7E1F">
      <w:pPr>
        <w:shd w:val="clear" w:color="auto" w:fill="FFFFFF"/>
        <w:spacing w:before="120"/>
        <w:ind w:left="24" w:firstLine="346"/>
        <w:jc w:val="both"/>
        <w:rPr>
          <w:sz w:val="22"/>
        </w:rPr>
      </w:pPr>
      <w:r w:rsidRPr="00240B14">
        <w:rPr>
          <w:sz w:val="22"/>
        </w:rPr>
        <w:t>“</w:t>
      </w:r>
      <w:r w:rsidR="00E62BC7" w:rsidRPr="00240B14">
        <w:rPr>
          <w:sz w:val="22"/>
        </w:rPr>
        <w:t>(3) A Magistrate performing a function of, or connected with, issuing a warrant or giving an order under this Part has the same protection and immunity as if he or she were performing that function as a Magistrates Court or as a member of a Magistrates Court.</w:t>
      </w:r>
      <w:r w:rsidRPr="00240B14">
        <w:rPr>
          <w:sz w:val="22"/>
        </w:rPr>
        <w:t>”</w:t>
      </w:r>
      <w:r w:rsidR="00E62BC7" w:rsidRPr="00240B14">
        <w:rPr>
          <w:sz w:val="22"/>
        </w:rPr>
        <w:t>.</w:t>
      </w:r>
    </w:p>
    <w:p w14:paraId="7616F659" w14:textId="77777777" w:rsidR="00722AE2" w:rsidRPr="00240B14" w:rsidRDefault="00E62BC7" w:rsidP="00DB7E1F">
      <w:pPr>
        <w:shd w:val="clear" w:color="auto" w:fill="FFFFFF"/>
        <w:spacing w:before="120"/>
        <w:ind w:left="34"/>
        <w:rPr>
          <w:sz w:val="22"/>
        </w:rPr>
      </w:pPr>
      <w:r w:rsidRPr="00240B14">
        <w:rPr>
          <w:b/>
          <w:bCs/>
          <w:sz w:val="22"/>
        </w:rPr>
        <w:t>Interpretation</w:t>
      </w:r>
    </w:p>
    <w:p w14:paraId="69F5A70C" w14:textId="77777777" w:rsidR="00722AE2" w:rsidRPr="00240B14" w:rsidRDefault="00E62BC7" w:rsidP="00DB7E1F">
      <w:pPr>
        <w:shd w:val="clear" w:color="auto" w:fill="FFFFFF"/>
        <w:tabs>
          <w:tab w:val="left" w:pos="648"/>
        </w:tabs>
        <w:spacing w:before="120"/>
        <w:ind w:left="336"/>
        <w:rPr>
          <w:sz w:val="22"/>
        </w:rPr>
      </w:pPr>
      <w:r w:rsidRPr="00240B14">
        <w:rPr>
          <w:b/>
          <w:bCs/>
          <w:sz w:val="22"/>
        </w:rPr>
        <w:t>7.</w:t>
      </w:r>
      <w:r w:rsidRPr="00240B14">
        <w:rPr>
          <w:b/>
          <w:bCs/>
          <w:sz w:val="22"/>
        </w:rPr>
        <w:tab/>
      </w:r>
      <w:r w:rsidRPr="00240B14">
        <w:rPr>
          <w:sz w:val="22"/>
        </w:rPr>
        <w:t>Section 269</w:t>
      </w:r>
      <w:r w:rsidRPr="00240B14">
        <w:rPr>
          <w:smallCaps/>
          <w:sz w:val="22"/>
        </w:rPr>
        <w:t>t</w:t>
      </w:r>
      <w:r w:rsidRPr="00240B14">
        <w:rPr>
          <w:sz w:val="22"/>
        </w:rPr>
        <w:t xml:space="preserve"> of the Principal Act is amended:</w:t>
      </w:r>
    </w:p>
    <w:p w14:paraId="101654CC" w14:textId="77777777" w:rsidR="00722AE2" w:rsidRPr="00240B14" w:rsidRDefault="00E62BC7" w:rsidP="00DB7E1F">
      <w:pPr>
        <w:shd w:val="clear" w:color="auto" w:fill="FFFFFF"/>
        <w:spacing w:before="120"/>
        <w:ind w:left="427"/>
        <w:rPr>
          <w:sz w:val="22"/>
        </w:rPr>
      </w:pPr>
      <w:r w:rsidRPr="00240B14">
        <w:rPr>
          <w:sz w:val="22"/>
        </w:rPr>
        <w:t>(a) by inserting in subsection (1) the following definitions:</w:t>
      </w:r>
    </w:p>
    <w:p w14:paraId="43BFDCFE" w14:textId="12D62F29" w:rsidR="00722AE2" w:rsidRPr="00240B14" w:rsidRDefault="00655D6C" w:rsidP="00DB7E1F">
      <w:pPr>
        <w:shd w:val="clear" w:color="auto" w:fill="FFFFFF"/>
        <w:spacing w:before="120"/>
        <w:ind w:left="821"/>
        <w:rPr>
          <w:sz w:val="22"/>
        </w:rPr>
      </w:pPr>
      <w:r w:rsidRPr="00F4540F">
        <w:rPr>
          <w:bCs/>
          <w:sz w:val="22"/>
        </w:rPr>
        <w:t>“</w:t>
      </w:r>
      <w:r w:rsidR="00E62BC7" w:rsidRPr="00240B14">
        <w:rPr>
          <w:b/>
          <w:bCs/>
          <w:sz w:val="22"/>
        </w:rPr>
        <w:t xml:space="preserve"> </w:t>
      </w:r>
      <w:r w:rsidRPr="00240B14">
        <w:rPr>
          <w:b/>
          <w:bCs/>
          <w:sz w:val="22"/>
        </w:rPr>
        <w:t>‘</w:t>
      </w:r>
      <w:r w:rsidR="00E62BC7" w:rsidRPr="00240B14">
        <w:rPr>
          <w:b/>
          <w:bCs/>
          <w:sz w:val="22"/>
        </w:rPr>
        <w:t>agricultural operations</w:t>
      </w:r>
      <w:r w:rsidRPr="00240B14">
        <w:rPr>
          <w:b/>
          <w:bCs/>
          <w:sz w:val="22"/>
        </w:rPr>
        <w:t>’</w:t>
      </w:r>
      <w:r w:rsidR="00E62BC7" w:rsidRPr="00240B14">
        <w:rPr>
          <w:sz w:val="22"/>
        </w:rPr>
        <w:t xml:space="preserve"> means:</w:t>
      </w:r>
    </w:p>
    <w:p w14:paraId="328DCFAB" w14:textId="77777777" w:rsidR="00722AE2" w:rsidRPr="00240B14" w:rsidRDefault="00722AE2" w:rsidP="00DB7E1F">
      <w:pPr>
        <w:shd w:val="clear" w:color="auto" w:fill="FFFFFF"/>
        <w:spacing w:before="120"/>
        <w:ind w:left="821"/>
        <w:rPr>
          <w:sz w:val="22"/>
        </w:rPr>
        <w:sectPr w:rsidR="00722AE2" w:rsidRPr="00240B14" w:rsidSect="00565AA4">
          <w:pgSz w:w="12240" w:h="15840" w:code="1"/>
          <w:pgMar w:top="1440" w:right="1440" w:bottom="1440" w:left="1440" w:header="720" w:footer="720" w:gutter="0"/>
          <w:cols w:space="60"/>
          <w:noEndnote/>
        </w:sectPr>
      </w:pPr>
    </w:p>
    <w:p w14:paraId="0564B355" w14:textId="77777777" w:rsidR="00722AE2" w:rsidRPr="00240B14" w:rsidRDefault="00E62BC7" w:rsidP="00DB7E1F">
      <w:pPr>
        <w:numPr>
          <w:ilvl w:val="0"/>
          <w:numId w:val="2"/>
        </w:numPr>
        <w:shd w:val="clear" w:color="auto" w:fill="FFFFFF"/>
        <w:tabs>
          <w:tab w:val="left" w:pos="1051"/>
        </w:tabs>
        <w:spacing w:before="120"/>
        <w:ind w:left="653"/>
        <w:rPr>
          <w:sz w:val="22"/>
        </w:rPr>
      </w:pPr>
      <w:r w:rsidRPr="00240B14">
        <w:rPr>
          <w:sz w:val="22"/>
        </w:rPr>
        <w:lastRenderedPageBreak/>
        <w:t>the cultivation or gathering in of crops; or</w:t>
      </w:r>
    </w:p>
    <w:p w14:paraId="0340800D" w14:textId="77777777" w:rsidR="00722AE2" w:rsidRPr="00240B14" w:rsidRDefault="00E62BC7" w:rsidP="00DB7E1F">
      <w:pPr>
        <w:numPr>
          <w:ilvl w:val="0"/>
          <w:numId w:val="2"/>
        </w:numPr>
        <w:shd w:val="clear" w:color="auto" w:fill="FFFFFF"/>
        <w:tabs>
          <w:tab w:val="left" w:pos="1051"/>
        </w:tabs>
        <w:spacing w:before="120"/>
        <w:ind w:left="653"/>
        <w:rPr>
          <w:sz w:val="22"/>
        </w:rPr>
      </w:pPr>
      <w:r w:rsidRPr="00240B14">
        <w:rPr>
          <w:sz w:val="22"/>
        </w:rPr>
        <w:t>the rearing of live-stock; or</w:t>
      </w:r>
    </w:p>
    <w:p w14:paraId="5C7D20BA" w14:textId="77777777" w:rsidR="00BB6F51" w:rsidRPr="00240B14" w:rsidRDefault="00E62BC7" w:rsidP="00DB7E1F">
      <w:pPr>
        <w:numPr>
          <w:ilvl w:val="0"/>
          <w:numId w:val="3"/>
        </w:numPr>
        <w:shd w:val="clear" w:color="auto" w:fill="FFFFFF"/>
        <w:tabs>
          <w:tab w:val="left" w:pos="1051"/>
        </w:tabs>
        <w:spacing w:before="120"/>
        <w:ind w:left="398" w:firstLine="254"/>
        <w:rPr>
          <w:sz w:val="22"/>
        </w:rPr>
      </w:pPr>
      <w:r w:rsidRPr="00240B14">
        <w:rPr>
          <w:sz w:val="22"/>
        </w:rPr>
        <w:t>the conduct of forestry operations;</w:t>
      </w:r>
    </w:p>
    <w:p w14:paraId="475D6DA4" w14:textId="77777777" w:rsidR="00722AE2" w:rsidRPr="00240B14" w:rsidRDefault="00E62BC7" w:rsidP="00BB6F51">
      <w:pPr>
        <w:shd w:val="clear" w:color="auto" w:fill="FFFFFF"/>
        <w:tabs>
          <w:tab w:val="left" w:pos="1051"/>
        </w:tabs>
        <w:spacing w:before="120"/>
        <w:ind w:left="432"/>
        <w:rPr>
          <w:sz w:val="22"/>
        </w:rPr>
      </w:pPr>
      <w:r w:rsidRPr="00240B14">
        <w:rPr>
          <w:sz w:val="22"/>
        </w:rPr>
        <w:t>and includes:</w:t>
      </w:r>
    </w:p>
    <w:p w14:paraId="664416E6" w14:textId="77777777" w:rsidR="00722AE2" w:rsidRPr="00240B14" w:rsidRDefault="00E62BC7" w:rsidP="00DB7E1F">
      <w:pPr>
        <w:numPr>
          <w:ilvl w:val="0"/>
          <w:numId w:val="2"/>
        </w:numPr>
        <w:shd w:val="clear" w:color="auto" w:fill="FFFFFF"/>
        <w:tabs>
          <w:tab w:val="left" w:pos="1051"/>
        </w:tabs>
        <w:spacing w:before="120"/>
        <w:ind w:left="653"/>
        <w:rPr>
          <w:sz w:val="22"/>
        </w:rPr>
      </w:pPr>
      <w:r w:rsidRPr="00240B14">
        <w:rPr>
          <w:sz w:val="22"/>
        </w:rPr>
        <w:t>viticulture, horticulture or apiculture; or</w:t>
      </w:r>
    </w:p>
    <w:p w14:paraId="5D2F6C17" w14:textId="77777777" w:rsidR="00722AE2" w:rsidRPr="00240B14" w:rsidRDefault="00E62BC7" w:rsidP="00DB7E1F">
      <w:pPr>
        <w:shd w:val="clear" w:color="auto" w:fill="FFFFFF"/>
        <w:tabs>
          <w:tab w:val="left" w:pos="1051"/>
        </w:tabs>
        <w:spacing w:before="120"/>
        <w:ind w:left="1051" w:hanging="374"/>
        <w:rPr>
          <w:sz w:val="22"/>
        </w:rPr>
      </w:pPr>
      <w:r w:rsidRPr="00240B14">
        <w:rPr>
          <w:sz w:val="22"/>
        </w:rPr>
        <w:t>(e)</w:t>
      </w:r>
      <w:r w:rsidRPr="00240B14">
        <w:rPr>
          <w:sz w:val="22"/>
        </w:rPr>
        <w:tab/>
        <w:t>hunting or trapping carried on for the purpose of a</w:t>
      </w:r>
      <w:r w:rsidR="00954E45" w:rsidRPr="00240B14">
        <w:rPr>
          <w:sz w:val="22"/>
        </w:rPr>
        <w:t xml:space="preserve"> </w:t>
      </w:r>
      <w:r w:rsidRPr="00240B14">
        <w:rPr>
          <w:sz w:val="22"/>
        </w:rPr>
        <w:t>business;</w:t>
      </w:r>
    </w:p>
    <w:p w14:paraId="7F5295D4" w14:textId="3F5CEE5C" w:rsidR="00722AE2" w:rsidRPr="00240B14" w:rsidRDefault="00655D6C" w:rsidP="00DB7E1F">
      <w:pPr>
        <w:shd w:val="clear" w:color="auto" w:fill="FFFFFF"/>
        <w:spacing w:before="120"/>
        <w:ind w:left="394"/>
        <w:rPr>
          <w:sz w:val="22"/>
        </w:rPr>
      </w:pPr>
      <w:r w:rsidRPr="00240B14">
        <w:rPr>
          <w:b/>
          <w:bCs/>
          <w:sz w:val="22"/>
        </w:rPr>
        <w:t>‘</w:t>
      </w:r>
      <w:r w:rsidR="00E62BC7" w:rsidRPr="00240B14">
        <w:rPr>
          <w:b/>
          <w:bCs/>
          <w:sz w:val="22"/>
        </w:rPr>
        <w:t>fish</w:t>
      </w:r>
      <w:r w:rsidRPr="00240B14">
        <w:rPr>
          <w:b/>
          <w:bCs/>
          <w:sz w:val="22"/>
        </w:rPr>
        <w:t>’</w:t>
      </w:r>
      <w:r w:rsidR="00E62BC7" w:rsidRPr="00240B14">
        <w:rPr>
          <w:b/>
          <w:bCs/>
          <w:sz w:val="22"/>
        </w:rPr>
        <w:t xml:space="preserve"> </w:t>
      </w:r>
      <w:r w:rsidR="00E62BC7" w:rsidRPr="00240B14">
        <w:rPr>
          <w:sz w:val="22"/>
        </w:rPr>
        <w:t xml:space="preserve">means freshwater or salt-water fish, and includes turtles, </w:t>
      </w:r>
      <w:r w:rsidR="00E62BC7" w:rsidRPr="00240B14">
        <w:rPr>
          <w:sz w:val="22"/>
          <w:lang w:val="fr-FR"/>
        </w:rPr>
        <w:t xml:space="preserve">dugong, </w:t>
      </w:r>
      <w:r w:rsidR="00F4540F">
        <w:rPr>
          <w:sz w:val="22"/>
          <w:lang w:val="fr-FR"/>
        </w:rPr>
        <w:t>c</w:t>
      </w:r>
      <w:proofErr w:type="spellStart"/>
      <w:r w:rsidR="00E62BC7" w:rsidRPr="00240B14">
        <w:rPr>
          <w:sz w:val="22"/>
        </w:rPr>
        <w:t>rustacea</w:t>
      </w:r>
      <w:proofErr w:type="spellEnd"/>
      <w:r w:rsidR="00E62BC7" w:rsidRPr="00240B14">
        <w:rPr>
          <w:sz w:val="22"/>
        </w:rPr>
        <w:t xml:space="preserve">, </w:t>
      </w:r>
      <w:proofErr w:type="spellStart"/>
      <w:r w:rsidR="00E62BC7" w:rsidRPr="00240B14">
        <w:rPr>
          <w:sz w:val="22"/>
        </w:rPr>
        <w:t>molluscs</w:t>
      </w:r>
      <w:proofErr w:type="spellEnd"/>
      <w:r w:rsidR="00E62BC7" w:rsidRPr="00240B14">
        <w:rPr>
          <w:sz w:val="22"/>
        </w:rPr>
        <w:t xml:space="preserve"> or any other living resources of the sea or of the sea-bed;</w:t>
      </w:r>
    </w:p>
    <w:p w14:paraId="1E4AE04D" w14:textId="77777777" w:rsidR="00722AE2" w:rsidRPr="00240B14" w:rsidRDefault="00655D6C" w:rsidP="00DB7E1F">
      <w:pPr>
        <w:shd w:val="clear" w:color="auto" w:fill="FFFFFF"/>
        <w:spacing w:before="120"/>
        <w:ind w:left="394"/>
        <w:rPr>
          <w:sz w:val="22"/>
        </w:rPr>
      </w:pPr>
      <w:r w:rsidRPr="00240B14">
        <w:rPr>
          <w:b/>
          <w:bCs/>
          <w:sz w:val="22"/>
        </w:rPr>
        <w:t>‘</w:t>
      </w:r>
      <w:r w:rsidR="00E62BC7" w:rsidRPr="00240B14">
        <w:rPr>
          <w:b/>
          <w:bCs/>
          <w:sz w:val="22"/>
        </w:rPr>
        <w:t>fishing operations</w:t>
      </w:r>
      <w:r w:rsidRPr="00240B14">
        <w:rPr>
          <w:b/>
          <w:bCs/>
          <w:sz w:val="22"/>
        </w:rPr>
        <w:t>’</w:t>
      </w:r>
      <w:r w:rsidR="00E62BC7" w:rsidRPr="00240B14">
        <w:rPr>
          <w:b/>
          <w:bCs/>
          <w:sz w:val="22"/>
        </w:rPr>
        <w:t xml:space="preserve"> </w:t>
      </w:r>
      <w:r w:rsidR="00E62BC7" w:rsidRPr="00240B14">
        <w:rPr>
          <w:sz w:val="22"/>
        </w:rPr>
        <w:t>means:</w:t>
      </w:r>
    </w:p>
    <w:p w14:paraId="398BAE3C" w14:textId="77777777" w:rsidR="00722AE2" w:rsidRPr="00240B14" w:rsidRDefault="00E62BC7" w:rsidP="00DB7E1F">
      <w:pPr>
        <w:numPr>
          <w:ilvl w:val="0"/>
          <w:numId w:val="4"/>
        </w:numPr>
        <w:shd w:val="clear" w:color="auto" w:fill="FFFFFF"/>
        <w:tabs>
          <w:tab w:val="left" w:pos="1046"/>
        </w:tabs>
        <w:spacing w:before="120"/>
        <w:ind w:left="653"/>
        <w:rPr>
          <w:sz w:val="22"/>
        </w:rPr>
      </w:pPr>
      <w:r w:rsidRPr="00240B14">
        <w:rPr>
          <w:sz w:val="22"/>
        </w:rPr>
        <w:t>the taking, catching or capturing of fish; or</w:t>
      </w:r>
    </w:p>
    <w:p w14:paraId="3EA7F97B" w14:textId="77777777" w:rsidR="00722AE2" w:rsidRPr="00240B14" w:rsidRDefault="00E62BC7" w:rsidP="00DB7E1F">
      <w:pPr>
        <w:numPr>
          <w:ilvl w:val="0"/>
          <w:numId w:val="4"/>
        </w:numPr>
        <w:shd w:val="clear" w:color="auto" w:fill="FFFFFF"/>
        <w:tabs>
          <w:tab w:val="left" w:pos="1046"/>
        </w:tabs>
        <w:spacing w:before="120"/>
        <w:ind w:left="653"/>
        <w:rPr>
          <w:sz w:val="22"/>
        </w:rPr>
      </w:pPr>
      <w:r w:rsidRPr="00240B14">
        <w:rPr>
          <w:sz w:val="22"/>
        </w:rPr>
        <w:t>the farming of fish; or</w:t>
      </w:r>
    </w:p>
    <w:p w14:paraId="4D1ABAAD" w14:textId="77777777" w:rsidR="00722AE2" w:rsidRPr="00240B14" w:rsidRDefault="00E62BC7" w:rsidP="00DB7E1F">
      <w:pPr>
        <w:numPr>
          <w:ilvl w:val="0"/>
          <w:numId w:val="4"/>
        </w:numPr>
        <w:shd w:val="clear" w:color="auto" w:fill="FFFFFF"/>
        <w:tabs>
          <w:tab w:val="left" w:pos="1046"/>
        </w:tabs>
        <w:spacing w:before="120"/>
        <w:ind w:left="653"/>
        <w:rPr>
          <w:sz w:val="22"/>
        </w:rPr>
      </w:pPr>
      <w:r w:rsidRPr="00240B14">
        <w:rPr>
          <w:sz w:val="22"/>
        </w:rPr>
        <w:t>pearling operations;</w:t>
      </w:r>
    </w:p>
    <w:p w14:paraId="15785445" w14:textId="77777777" w:rsidR="00722AE2" w:rsidRPr="00240B14" w:rsidRDefault="00655D6C" w:rsidP="00DB7E1F">
      <w:pPr>
        <w:shd w:val="clear" w:color="auto" w:fill="FFFFFF"/>
        <w:spacing w:before="120"/>
        <w:ind w:left="389"/>
        <w:jc w:val="both"/>
        <w:rPr>
          <w:sz w:val="22"/>
        </w:rPr>
      </w:pPr>
      <w:r w:rsidRPr="00240B14">
        <w:rPr>
          <w:b/>
          <w:bCs/>
          <w:sz w:val="22"/>
        </w:rPr>
        <w:t>‘</w:t>
      </w:r>
      <w:r w:rsidR="00E62BC7" w:rsidRPr="00240B14">
        <w:rPr>
          <w:b/>
          <w:bCs/>
          <w:sz w:val="22"/>
        </w:rPr>
        <w:t>forestry operations</w:t>
      </w:r>
      <w:r w:rsidRPr="00240B14">
        <w:rPr>
          <w:b/>
          <w:bCs/>
          <w:sz w:val="22"/>
        </w:rPr>
        <w:t>’</w:t>
      </w:r>
      <w:r w:rsidR="00E62BC7" w:rsidRPr="00240B14">
        <w:rPr>
          <w:b/>
          <w:bCs/>
          <w:sz w:val="22"/>
        </w:rPr>
        <w:t xml:space="preserve"> </w:t>
      </w:r>
      <w:r w:rsidR="00E62BC7" w:rsidRPr="00240B14">
        <w:rPr>
          <w:sz w:val="22"/>
        </w:rPr>
        <w:t>means the felling, in a forest or plantation, of standing timber;</w:t>
      </w:r>
    </w:p>
    <w:p w14:paraId="4445913D" w14:textId="314A579A" w:rsidR="00722AE2" w:rsidRPr="00240B14" w:rsidRDefault="00655D6C" w:rsidP="00DB7E1F">
      <w:pPr>
        <w:shd w:val="clear" w:color="auto" w:fill="FFFFFF"/>
        <w:spacing w:before="120"/>
        <w:ind w:left="394"/>
        <w:jc w:val="both"/>
        <w:rPr>
          <w:sz w:val="22"/>
        </w:rPr>
      </w:pPr>
      <w:r w:rsidRPr="00240B14">
        <w:rPr>
          <w:b/>
          <w:bCs/>
          <w:sz w:val="22"/>
        </w:rPr>
        <w:t>‘</w:t>
      </w:r>
      <w:r w:rsidR="00E62BC7" w:rsidRPr="00240B14">
        <w:rPr>
          <w:b/>
          <w:bCs/>
          <w:sz w:val="22"/>
        </w:rPr>
        <w:t>production cost</w:t>
      </w:r>
      <w:r w:rsidRPr="00240B14">
        <w:rPr>
          <w:b/>
          <w:bCs/>
          <w:sz w:val="22"/>
        </w:rPr>
        <w:t>’</w:t>
      </w:r>
      <w:r w:rsidR="00E62BC7" w:rsidRPr="00F4540F">
        <w:rPr>
          <w:bCs/>
          <w:sz w:val="22"/>
        </w:rPr>
        <w:t>,</w:t>
      </w:r>
      <w:r w:rsidR="00E62BC7" w:rsidRPr="00240B14">
        <w:rPr>
          <w:b/>
          <w:bCs/>
          <w:sz w:val="22"/>
        </w:rPr>
        <w:t xml:space="preserve"> </w:t>
      </w:r>
      <w:r w:rsidR="00E62BC7" w:rsidRPr="00240B14">
        <w:rPr>
          <w:sz w:val="22"/>
        </w:rPr>
        <w:t xml:space="preserve">in relation to processed agricultural goods, means the sum of the direct </w:t>
      </w:r>
      <w:proofErr w:type="spellStart"/>
      <w:r w:rsidR="00E62BC7" w:rsidRPr="00240B14">
        <w:rPr>
          <w:sz w:val="22"/>
        </w:rPr>
        <w:t>labour</w:t>
      </w:r>
      <w:proofErr w:type="spellEnd"/>
      <w:r w:rsidR="00E62BC7" w:rsidRPr="00240B14">
        <w:rPr>
          <w:sz w:val="22"/>
        </w:rPr>
        <w:t xml:space="preserve"> costs, the direct material costs and the factory overhead costs incurred in relation to those goods;</w:t>
      </w:r>
    </w:p>
    <w:p w14:paraId="3BE1B783" w14:textId="77777777" w:rsidR="00722AE2" w:rsidRPr="00240B14" w:rsidRDefault="00655D6C" w:rsidP="00DB7E1F">
      <w:pPr>
        <w:shd w:val="clear" w:color="auto" w:fill="FFFFFF"/>
        <w:spacing w:before="120"/>
        <w:ind w:left="389"/>
        <w:rPr>
          <w:sz w:val="22"/>
        </w:rPr>
      </w:pPr>
      <w:r w:rsidRPr="00240B14">
        <w:rPr>
          <w:b/>
          <w:bCs/>
          <w:sz w:val="22"/>
        </w:rPr>
        <w:t>‘</w:t>
      </w:r>
      <w:r w:rsidR="00E62BC7" w:rsidRPr="00240B14">
        <w:rPr>
          <w:b/>
          <w:bCs/>
          <w:sz w:val="22"/>
        </w:rPr>
        <w:t>raw agricultural goods</w:t>
      </w:r>
      <w:r w:rsidRPr="00240B14">
        <w:rPr>
          <w:b/>
          <w:bCs/>
          <w:sz w:val="22"/>
        </w:rPr>
        <w:t>’</w:t>
      </w:r>
      <w:r w:rsidR="00E62BC7" w:rsidRPr="00240B14">
        <w:rPr>
          <w:b/>
          <w:bCs/>
          <w:sz w:val="22"/>
        </w:rPr>
        <w:t xml:space="preserve"> </w:t>
      </w:r>
      <w:r w:rsidR="00E62BC7" w:rsidRPr="00240B14">
        <w:rPr>
          <w:sz w:val="22"/>
        </w:rPr>
        <w:t>means goods directly obtained by the undertaking</w:t>
      </w:r>
      <w:r w:rsidRPr="00240B14">
        <w:rPr>
          <w:sz w:val="22"/>
        </w:rPr>
        <w:t xml:space="preserve"> </w:t>
      </w:r>
      <w:r w:rsidR="00E62BC7" w:rsidRPr="00240B14">
        <w:rPr>
          <w:sz w:val="22"/>
        </w:rPr>
        <w:t>of any</w:t>
      </w:r>
      <w:r w:rsidRPr="00240B14">
        <w:rPr>
          <w:sz w:val="22"/>
        </w:rPr>
        <w:t xml:space="preserve"> </w:t>
      </w:r>
      <w:r w:rsidR="00E62BC7" w:rsidRPr="00240B14">
        <w:rPr>
          <w:sz w:val="22"/>
        </w:rPr>
        <w:t>agricultural</w:t>
      </w:r>
      <w:r w:rsidRPr="00240B14">
        <w:rPr>
          <w:sz w:val="22"/>
        </w:rPr>
        <w:t xml:space="preserve"> </w:t>
      </w:r>
      <w:r w:rsidR="00E62BC7" w:rsidRPr="00240B14">
        <w:rPr>
          <w:sz w:val="22"/>
        </w:rPr>
        <w:t>operation</w:t>
      </w:r>
      <w:r w:rsidRPr="00240B14">
        <w:rPr>
          <w:sz w:val="22"/>
        </w:rPr>
        <w:t xml:space="preserve"> </w:t>
      </w:r>
      <w:r w:rsidR="00E62BC7" w:rsidRPr="00240B14">
        <w:rPr>
          <w:sz w:val="22"/>
        </w:rPr>
        <w:t>or</w:t>
      </w:r>
      <w:r w:rsidRPr="00240B14">
        <w:rPr>
          <w:sz w:val="22"/>
        </w:rPr>
        <w:t xml:space="preserve"> </w:t>
      </w:r>
      <w:r w:rsidR="00E62BC7" w:rsidRPr="00240B14">
        <w:rPr>
          <w:sz w:val="22"/>
        </w:rPr>
        <w:t>any</w:t>
      </w:r>
      <w:r w:rsidRPr="00240B14">
        <w:rPr>
          <w:sz w:val="22"/>
        </w:rPr>
        <w:t xml:space="preserve"> </w:t>
      </w:r>
      <w:r w:rsidR="00E62BC7" w:rsidRPr="00240B14">
        <w:rPr>
          <w:sz w:val="22"/>
        </w:rPr>
        <w:t>fishing operation;</w:t>
      </w:r>
      <w:r w:rsidRPr="00240B14">
        <w:rPr>
          <w:sz w:val="22"/>
        </w:rPr>
        <w:t>”</w:t>
      </w:r>
      <w:r w:rsidR="00E62BC7" w:rsidRPr="00240B14">
        <w:rPr>
          <w:sz w:val="22"/>
        </w:rPr>
        <w:t>;</w:t>
      </w:r>
    </w:p>
    <w:p w14:paraId="5D49FB13" w14:textId="77777777" w:rsidR="00722AE2" w:rsidRPr="00240B14" w:rsidRDefault="00E62BC7" w:rsidP="00DB7E1F">
      <w:pPr>
        <w:shd w:val="clear" w:color="auto" w:fill="FFFFFF"/>
        <w:spacing w:before="120"/>
        <w:ind w:left="389" w:hanging="389"/>
        <w:rPr>
          <w:sz w:val="22"/>
        </w:rPr>
      </w:pPr>
      <w:r w:rsidRPr="00240B14">
        <w:rPr>
          <w:b/>
          <w:bCs/>
          <w:sz w:val="22"/>
        </w:rPr>
        <w:t>(b)</w:t>
      </w:r>
      <w:r w:rsidRPr="00240B14">
        <w:rPr>
          <w:sz w:val="22"/>
        </w:rPr>
        <w:t xml:space="preserve"> by</w:t>
      </w:r>
      <w:r w:rsidR="00655D6C" w:rsidRPr="00240B14">
        <w:rPr>
          <w:sz w:val="22"/>
        </w:rPr>
        <w:t xml:space="preserve"> </w:t>
      </w:r>
      <w:r w:rsidRPr="00240B14">
        <w:rPr>
          <w:sz w:val="22"/>
        </w:rPr>
        <w:t>omitting</w:t>
      </w:r>
      <w:r w:rsidR="00655D6C" w:rsidRPr="00240B14">
        <w:rPr>
          <w:sz w:val="22"/>
        </w:rPr>
        <w:t xml:space="preserve"> </w:t>
      </w:r>
      <w:r w:rsidRPr="00240B14">
        <w:rPr>
          <w:sz w:val="22"/>
        </w:rPr>
        <w:t>subsection</w:t>
      </w:r>
      <w:r w:rsidR="00655D6C" w:rsidRPr="00240B14">
        <w:rPr>
          <w:sz w:val="22"/>
        </w:rPr>
        <w:t xml:space="preserve"> </w:t>
      </w:r>
      <w:r w:rsidRPr="00240B14">
        <w:rPr>
          <w:sz w:val="22"/>
        </w:rPr>
        <w:t>(4)</w:t>
      </w:r>
      <w:r w:rsidR="00655D6C" w:rsidRPr="00240B14">
        <w:rPr>
          <w:sz w:val="22"/>
        </w:rPr>
        <w:t xml:space="preserve"> </w:t>
      </w:r>
      <w:r w:rsidRPr="00240B14">
        <w:rPr>
          <w:sz w:val="22"/>
        </w:rPr>
        <w:t>and</w:t>
      </w:r>
      <w:r w:rsidR="00655D6C" w:rsidRPr="00240B14">
        <w:rPr>
          <w:sz w:val="22"/>
        </w:rPr>
        <w:t xml:space="preserve"> </w:t>
      </w:r>
      <w:r w:rsidRPr="00240B14">
        <w:rPr>
          <w:sz w:val="22"/>
        </w:rPr>
        <w:t>substituting</w:t>
      </w:r>
      <w:r w:rsidR="00655D6C" w:rsidRPr="00240B14">
        <w:rPr>
          <w:sz w:val="22"/>
        </w:rPr>
        <w:t xml:space="preserve"> </w:t>
      </w:r>
      <w:r w:rsidRPr="00240B14">
        <w:rPr>
          <w:sz w:val="22"/>
        </w:rPr>
        <w:t>the</w:t>
      </w:r>
      <w:r w:rsidR="00655D6C" w:rsidRPr="00240B14">
        <w:rPr>
          <w:sz w:val="22"/>
        </w:rPr>
        <w:t xml:space="preserve"> </w:t>
      </w:r>
      <w:r w:rsidRPr="00240B14">
        <w:rPr>
          <w:sz w:val="22"/>
        </w:rPr>
        <w:t>following subsections:</w:t>
      </w:r>
    </w:p>
    <w:p w14:paraId="7A31E39D" w14:textId="77777777" w:rsidR="00722AE2" w:rsidRPr="00240B14" w:rsidRDefault="00655D6C" w:rsidP="00DB7E1F">
      <w:pPr>
        <w:shd w:val="clear" w:color="auto" w:fill="FFFFFF"/>
        <w:spacing w:before="120"/>
        <w:ind w:left="389" w:firstLine="226"/>
        <w:jc w:val="both"/>
        <w:rPr>
          <w:sz w:val="22"/>
        </w:rPr>
      </w:pPr>
      <w:r w:rsidRPr="00240B14">
        <w:rPr>
          <w:sz w:val="22"/>
        </w:rPr>
        <w:t>“</w:t>
      </w:r>
      <w:r w:rsidR="00E62BC7" w:rsidRPr="00240B14">
        <w:rPr>
          <w:sz w:val="22"/>
        </w:rPr>
        <w:t>(4) For the purposes of this Part, if, in relation to goods of a particular kind, there is a person or there are persons who produce like goods in Australia:</w:t>
      </w:r>
    </w:p>
    <w:p w14:paraId="66F5E476" w14:textId="77777777" w:rsidR="00722AE2" w:rsidRPr="00240B14" w:rsidRDefault="00E62BC7" w:rsidP="00DB7E1F">
      <w:pPr>
        <w:numPr>
          <w:ilvl w:val="0"/>
          <w:numId w:val="5"/>
        </w:numPr>
        <w:shd w:val="clear" w:color="auto" w:fill="FFFFFF"/>
        <w:tabs>
          <w:tab w:val="left" w:pos="1042"/>
        </w:tabs>
        <w:spacing w:before="120"/>
        <w:ind w:left="1042" w:hanging="394"/>
        <w:rPr>
          <w:sz w:val="22"/>
        </w:rPr>
      </w:pPr>
      <w:r w:rsidRPr="00240B14">
        <w:rPr>
          <w:sz w:val="22"/>
        </w:rPr>
        <w:t>there is an Australian industry in respect of those like goods; and</w:t>
      </w:r>
    </w:p>
    <w:p w14:paraId="024A6866" w14:textId="77777777" w:rsidR="00722AE2" w:rsidRPr="00240B14" w:rsidRDefault="00E62BC7" w:rsidP="00DB7E1F">
      <w:pPr>
        <w:numPr>
          <w:ilvl w:val="0"/>
          <w:numId w:val="5"/>
        </w:numPr>
        <w:shd w:val="clear" w:color="auto" w:fill="FFFFFF"/>
        <w:tabs>
          <w:tab w:val="left" w:pos="1042"/>
        </w:tabs>
        <w:spacing w:before="120"/>
        <w:ind w:left="1042" w:hanging="394"/>
        <w:rPr>
          <w:sz w:val="22"/>
        </w:rPr>
      </w:pPr>
      <w:r w:rsidRPr="00240B14">
        <w:rPr>
          <w:sz w:val="22"/>
        </w:rPr>
        <w:t xml:space="preserve">subject to subsection </w:t>
      </w:r>
      <w:r w:rsidRPr="00240B14">
        <w:rPr>
          <w:smallCaps/>
          <w:sz w:val="22"/>
        </w:rPr>
        <w:t xml:space="preserve">(4a), </w:t>
      </w:r>
      <w:r w:rsidRPr="00240B14">
        <w:rPr>
          <w:sz w:val="22"/>
        </w:rPr>
        <w:t>the industry consists of that person or those persons.</w:t>
      </w:r>
    </w:p>
    <w:p w14:paraId="7B93C93F" w14:textId="77777777" w:rsidR="00722AE2" w:rsidRPr="00240B14" w:rsidRDefault="00655D6C" w:rsidP="00DB7E1F">
      <w:pPr>
        <w:shd w:val="clear" w:color="auto" w:fill="FFFFFF"/>
        <w:spacing w:before="120"/>
        <w:ind w:left="384" w:firstLine="221"/>
        <w:jc w:val="both"/>
        <w:rPr>
          <w:sz w:val="22"/>
        </w:rPr>
      </w:pPr>
      <w:r w:rsidRPr="00240B14">
        <w:rPr>
          <w:smallCaps/>
          <w:sz w:val="22"/>
        </w:rPr>
        <w:t>“</w:t>
      </w:r>
      <w:r w:rsidR="00E62BC7" w:rsidRPr="00240B14">
        <w:rPr>
          <w:smallCaps/>
          <w:sz w:val="22"/>
        </w:rPr>
        <w:t xml:space="preserve">(4a) </w:t>
      </w:r>
      <w:r w:rsidR="00E62BC7" w:rsidRPr="00240B14">
        <w:rPr>
          <w:sz w:val="22"/>
        </w:rPr>
        <w:t>Where, in relation to goods of a particular kind first referred to in subsection (4), the like goods referred to in that subsection are close processed agricultural goods, then, despite subsection (4), the industry in respect of those close processed agricultural goods consists not only of the person or persons producing the processed goods but also of the person or persons producing the raw agricultural goods from which the processed goods are derived.</w:t>
      </w:r>
    </w:p>
    <w:p w14:paraId="6F9C7EEE" w14:textId="77777777" w:rsidR="00722AE2" w:rsidRPr="00240B14" w:rsidRDefault="00655D6C" w:rsidP="00DB7E1F">
      <w:pPr>
        <w:shd w:val="clear" w:color="auto" w:fill="FFFFFF"/>
        <w:spacing w:before="120"/>
        <w:ind w:left="379" w:firstLine="221"/>
        <w:jc w:val="both"/>
        <w:rPr>
          <w:sz w:val="22"/>
        </w:rPr>
      </w:pPr>
      <w:r w:rsidRPr="00240B14">
        <w:rPr>
          <w:sz w:val="22"/>
        </w:rPr>
        <w:t>“</w:t>
      </w:r>
      <w:r w:rsidR="00E62BC7" w:rsidRPr="00240B14">
        <w:rPr>
          <w:sz w:val="22"/>
        </w:rPr>
        <w:t>(4</w:t>
      </w:r>
      <w:r w:rsidR="00E62BC7" w:rsidRPr="00240B14">
        <w:rPr>
          <w:smallCaps/>
          <w:sz w:val="22"/>
        </w:rPr>
        <w:t>b</w:t>
      </w:r>
      <w:r w:rsidR="00E62BC7" w:rsidRPr="00240B14">
        <w:rPr>
          <w:sz w:val="22"/>
        </w:rPr>
        <w:t xml:space="preserve">) For the purposes of subsection </w:t>
      </w:r>
      <w:r w:rsidR="00E62BC7" w:rsidRPr="00240B14">
        <w:rPr>
          <w:smallCaps/>
          <w:sz w:val="22"/>
        </w:rPr>
        <w:t xml:space="preserve">(4a), </w:t>
      </w:r>
      <w:r w:rsidR="00E62BC7" w:rsidRPr="00240B14">
        <w:rPr>
          <w:sz w:val="22"/>
        </w:rPr>
        <w:t>processed agricultural goods derived from raw agricultural goods are not to be taken to be close processed agricultural goods unless the Comptroller is satisfied that:</w:t>
      </w:r>
    </w:p>
    <w:p w14:paraId="61BE69C5" w14:textId="77777777" w:rsidR="00722AE2" w:rsidRPr="00240B14" w:rsidRDefault="00722AE2" w:rsidP="00DB7E1F">
      <w:pPr>
        <w:shd w:val="clear" w:color="auto" w:fill="FFFFFF"/>
        <w:spacing w:before="120"/>
        <w:ind w:left="379" w:firstLine="221"/>
        <w:jc w:val="both"/>
        <w:rPr>
          <w:sz w:val="22"/>
        </w:rPr>
        <w:sectPr w:rsidR="00722AE2" w:rsidRPr="00240B14" w:rsidSect="00565AA4">
          <w:pgSz w:w="12240" w:h="15840" w:code="1"/>
          <w:pgMar w:top="1440" w:right="1440" w:bottom="1440" w:left="1440" w:header="720" w:footer="720" w:gutter="0"/>
          <w:cols w:space="60"/>
          <w:noEndnote/>
        </w:sectPr>
      </w:pPr>
    </w:p>
    <w:p w14:paraId="60EC8767" w14:textId="77777777" w:rsidR="00722AE2" w:rsidRPr="00240B14" w:rsidRDefault="00E62BC7" w:rsidP="00DB7E1F">
      <w:pPr>
        <w:numPr>
          <w:ilvl w:val="0"/>
          <w:numId w:val="6"/>
        </w:numPr>
        <w:shd w:val="clear" w:color="auto" w:fill="FFFFFF"/>
        <w:tabs>
          <w:tab w:val="left" w:pos="1426"/>
        </w:tabs>
        <w:spacing w:before="120"/>
        <w:ind w:left="1426" w:hanging="389"/>
        <w:rPr>
          <w:sz w:val="22"/>
        </w:rPr>
      </w:pPr>
      <w:r w:rsidRPr="00240B14">
        <w:rPr>
          <w:sz w:val="22"/>
        </w:rPr>
        <w:lastRenderedPageBreak/>
        <w:t>the raw agricultural goods are devoted substantially or completely to the processed agricultural goods; and</w:t>
      </w:r>
    </w:p>
    <w:p w14:paraId="6D135647" w14:textId="77777777" w:rsidR="00722AE2" w:rsidRPr="00240B14" w:rsidRDefault="00E62BC7" w:rsidP="00DB7E1F">
      <w:pPr>
        <w:numPr>
          <w:ilvl w:val="0"/>
          <w:numId w:val="6"/>
        </w:numPr>
        <w:shd w:val="clear" w:color="auto" w:fill="FFFFFF"/>
        <w:tabs>
          <w:tab w:val="left" w:pos="1426"/>
        </w:tabs>
        <w:spacing w:before="120"/>
        <w:ind w:left="1426" w:hanging="389"/>
        <w:rPr>
          <w:sz w:val="22"/>
        </w:rPr>
      </w:pPr>
      <w:r w:rsidRPr="00240B14">
        <w:rPr>
          <w:sz w:val="22"/>
        </w:rPr>
        <w:t>the processed agricultural goods are derived substantially or completely from the raw agricultural goods; and</w:t>
      </w:r>
    </w:p>
    <w:p w14:paraId="19E1D629" w14:textId="77777777" w:rsidR="00722AE2" w:rsidRPr="00240B14" w:rsidRDefault="00E62BC7" w:rsidP="00DB7E1F">
      <w:pPr>
        <w:numPr>
          <w:ilvl w:val="0"/>
          <w:numId w:val="6"/>
        </w:numPr>
        <w:shd w:val="clear" w:color="auto" w:fill="FFFFFF"/>
        <w:tabs>
          <w:tab w:val="left" w:pos="1426"/>
        </w:tabs>
        <w:spacing w:before="120"/>
        <w:ind w:left="1037"/>
        <w:rPr>
          <w:sz w:val="22"/>
        </w:rPr>
      </w:pPr>
      <w:r w:rsidRPr="00240B14">
        <w:rPr>
          <w:sz w:val="22"/>
        </w:rPr>
        <w:t>either:</w:t>
      </w:r>
    </w:p>
    <w:p w14:paraId="07E199D2" w14:textId="77777777" w:rsidR="00722AE2" w:rsidRPr="00240B14" w:rsidRDefault="00E62BC7" w:rsidP="00DB7E1F">
      <w:pPr>
        <w:shd w:val="clear" w:color="auto" w:fill="FFFFFF"/>
        <w:spacing w:before="120"/>
        <w:ind w:left="2078" w:hanging="336"/>
        <w:rPr>
          <w:sz w:val="22"/>
        </w:rPr>
      </w:pPr>
      <w:r w:rsidRPr="00240B14">
        <w:rPr>
          <w:sz w:val="22"/>
        </w:rPr>
        <w:t>(</w:t>
      </w:r>
      <w:proofErr w:type="spellStart"/>
      <w:r w:rsidRPr="00240B14">
        <w:rPr>
          <w:sz w:val="22"/>
        </w:rPr>
        <w:t>i</w:t>
      </w:r>
      <w:proofErr w:type="spellEnd"/>
      <w:r w:rsidRPr="00240B14">
        <w:rPr>
          <w:sz w:val="22"/>
        </w:rPr>
        <w:t>) there is a close relationship between the price of the processed agricultural goods and the price of the raw agricultural goods; or</w:t>
      </w:r>
    </w:p>
    <w:p w14:paraId="74D6C63B" w14:textId="77777777" w:rsidR="00722AE2" w:rsidRPr="00240B14" w:rsidRDefault="00E62BC7" w:rsidP="00DB7E1F">
      <w:pPr>
        <w:shd w:val="clear" w:color="auto" w:fill="FFFFFF"/>
        <w:spacing w:before="120"/>
        <w:ind w:left="2088" w:hanging="408"/>
        <w:rPr>
          <w:sz w:val="22"/>
        </w:rPr>
      </w:pPr>
      <w:r w:rsidRPr="00240B14">
        <w:rPr>
          <w:sz w:val="22"/>
        </w:rPr>
        <w:t>(ii) a significant part of the production cost of the processed agricultural goods, whether or not there is a market in Australia for those goods, is, or would be, constituted by the cost to the producer of those goods of the raw agricultural goods.</w:t>
      </w:r>
    </w:p>
    <w:p w14:paraId="6E7FC76F" w14:textId="77777777" w:rsidR="00722AE2" w:rsidRPr="00240B14" w:rsidRDefault="00655D6C" w:rsidP="00DB7E1F">
      <w:pPr>
        <w:shd w:val="clear" w:color="auto" w:fill="FFFFFF"/>
        <w:spacing w:before="120"/>
        <w:ind w:left="782" w:firstLine="211"/>
        <w:rPr>
          <w:sz w:val="22"/>
        </w:rPr>
      </w:pPr>
      <w:r w:rsidRPr="00240B14">
        <w:rPr>
          <w:sz w:val="22"/>
        </w:rPr>
        <w:t>“</w:t>
      </w:r>
      <w:r w:rsidR="00E62BC7" w:rsidRPr="00240B14">
        <w:rPr>
          <w:sz w:val="22"/>
        </w:rPr>
        <w:t>(4</w:t>
      </w:r>
      <w:r w:rsidR="00E62BC7" w:rsidRPr="00240B14">
        <w:rPr>
          <w:smallCaps/>
          <w:sz w:val="22"/>
        </w:rPr>
        <w:t>c</w:t>
      </w:r>
      <w:r w:rsidR="00E62BC7" w:rsidRPr="00240B14">
        <w:rPr>
          <w:sz w:val="22"/>
        </w:rPr>
        <w:t>) Where</w:t>
      </w:r>
      <w:r w:rsidRPr="00240B14">
        <w:rPr>
          <w:sz w:val="22"/>
        </w:rPr>
        <w:t xml:space="preserve"> </w:t>
      </w:r>
      <w:r w:rsidR="00E62BC7" w:rsidRPr="00240B14">
        <w:rPr>
          <w:sz w:val="22"/>
        </w:rPr>
        <w:t>the</w:t>
      </w:r>
      <w:r w:rsidRPr="00240B14">
        <w:rPr>
          <w:sz w:val="22"/>
        </w:rPr>
        <w:t xml:space="preserve"> </w:t>
      </w:r>
      <w:r w:rsidR="00E62BC7" w:rsidRPr="00240B14">
        <w:rPr>
          <w:sz w:val="22"/>
        </w:rPr>
        <w:t>Comptroller</w:t>
      </w:r>
      <w:r w:rsidRPr="00240B14">
        <w:rPr>
          <w:sz w:val="22"/>
        </w:rPr>
        <w:t xml:space="preserve"> </w:t>
      </w:r>
      <w:r w:rsidR="00E62BC7" w:rsidRPr="00240B14">
        <w:rPr>
          <w:sz w:val="22"/>
        </w:rPr>
        <w:t>is</w:t>
      </w:r>
      <w:r w:rsidRPr="00240B14">
        <w:rPr>
          <w:sz w:val="22"/>
        </w:rPr>
        <w:t xml:space="preserve"> </w:t>
      </w:r>
      <w:r w:rsidR="00E62BC7" w:rsidRPr="00240B14">
        <w:rPr>
          <w:sz w:val="22"/>
        </w:rPr>
        <w:t>satisfied</w:t>
      </w:r>
      <w:r w:rsidRPr="00240B14">
        <w:rPr>
          <w:sz w:val="22"/>
        </w:rPr>
        <w:t xml:space="preserve"> </w:t>
      </w:r>
      <w:r w:rsidR="00E62BC7" w:rsidRPr="00240B14">
        <w:rPr>
          <w:sz w:val="22"/>
        </w:rPr>
        <w:t>that</w:t>
      </w:r>
      <w:r w:rsidRPr="00240B14">
        <w:rPr>
          <w:sz w:val="22"/>
        </w:rPr>
        <w:t xml:space="preserve"> </w:t>
      </w:r>
      <w:r w:rsidR="00E62BC7" w:rsidRPr="00240B14">
        <w:rPr>
          <w:sz w:val="22"/>
        </w:rPr>
        <w:t>sufficient information has not been furnished or is not available to enable the production cost of processed</w:t>
      </w:r>
      <w:r w:rsidRPr="00240B14">
        <w:rPr>
          <w:sz w:val="22"/>
        </w:rPr>
        <w:t xml:space="preserve"> </w:t>
      </w:r>
      <w:r w:rsidR="00E62BC7" w:rsidRPr="00240B14">
        <w:rPr>
          <w:sz w:val="22"/>
        </w:rPr>
        <w:t>agricultural goods to be ascertained for the purpose of subsection (4</w:t>
      </w:r>
      <w:r w:rsidR="00E62BC7" w:rsidRPr="00240B14">
        <w:rPr>
          <w:smallCaps/>
          <w:sz w:val="22"/>
        </w:rPr>
        <w:t>b</w:t>
      </w:r>
      <w:r w:rsidR="00E62BC7" w:rsidRPr="00240B14">
        <w:rPr>
          <w:sz w:val="22"/>
        </w:rPr>
        <w:t>), the production cost of those goods is such amount as is determined by the Comptroller having regard to all relevant information.</w:t>
      </w:r>
      <w:r w:rsidRPr="00240B14">
        <w:rPr>
          <w:sz w:val="22"/>
        </w:rPr>
        <w:t>”</w:t>
      </w:r>
      <w:r w:rsidR="00E62BC7" w:rsidRPr="00240B14">
        <w:rPr>
          <w:sz w:val="22"/>
        </w:rPr>
        <w:t>.</w:t>
      </w:r>
    </w:p>
    <w:p w14:paraId="3712CCDC" w14:textId="77777777" w:rsidR="00722AE2" w:rsidRPr="00240B14" w:rsidRDefault="00E62BC7" w:rsidP="00DB7E1F">
      <w:pPr>
        <w:shd w:val="clear" w:color="auto" w:fill="FFFFFF"/>
        <w:spacing w:before="120"/>
        <w:rPr>
          <w:sz w:val="22"/>
        </w:rPr>
      </w:pPr>
      <w:r w:rsidRPr="00240B14">
        <w:rPr>
          <w:b/>
          <w:bCs/>
          <w:sz w:val="22"/>
        </w:rPr>
        <w:t>Comptroller to have regard to same considerations as Minister in certain circumstances</w:t>
      </w:r>
    </w:p>
    <w:p w14:paraId="6749DE2C" w14:textId="77777777" w:rsidR="00722AE2" w:rsidRPr="00240B14" w:rsidRDefault="00E62BC7" w:rsidP="00DB7E1F">
      <w:pPr>
        <w:shd w:val="clear" w:color="auto" w:fill="FFFFFF"/>
        <w:spacing w:before="120"/>
        <w:ind w:left="5" w:firstLine="331"/>
        <w:rPr>
          <w:sz w:val="22"/>
        </w:rPr>
      </w:pPr>
      <w:r w:rsidRPr="00240B14">
        <w:rPr>
          <w:b/>
          <w:bCs/>
          <w:sz w:val="22"/>
        </w:rPr>
        <w:t xml:space="preserve">8. </w:t>
      </w:r>
      <w:r w:rsidRPr="00240B14">
        <w:rPr>
          <w:sz w:val="22"/>
        </w:rPr>
        <w:t>Section 269</w:t>
      </w:r>
      <w:r w:rsidRPr="00240B14">
        <w:rPr>
          <w:smallCaps/>
          <w:sz w:val="22"/>
        </w:rPr>
        <w:t>te</w:t>
      </w:r>
      <w:r w:rsidRPr="00240B14">
        <w:rPr>
          <w:sz w:val="22"/>
        </w:rPr>
        <w:t xml:space="preserve"> of the Principal Act is amended by omitting subsection (1) and substituting the following subsection:</w:t>
      </w:r>
    </w:p>
    <w:p w14:paraId="17DD3E6A" w14:textId="77777777" w:rsidR="00722AE2" w:rsidRPr="00240B14" w:rsidRDefault="00655D6C" w:rsidP="00DB7E1F">
      <w:pPr>
        <w:shd w:val="clear" w:color="auto" w:fill="FFFFFF"/>
        <w:spacing w:before="120"/>
        <w:ind w:left="346"/>
        <w:rPr>
          <w:sz w:val="22"/>
        </w:rPr>
      </w:pPr>
      <w:r w:rsidRPr="00240B14">
        <w:rPr>
          <w:sz w:val="22"/>
        </w:rPr>
        <w:t>“</w:t>
      </w:r>
      <w:r w:rsidR="00E62BC7" w:rsidRPr="00240B14">
        <w:rPr>
          <w:sz w:val="22"/>
        </w:rPr>
        <w:t>(1) Where the Comptroller:</w:t>
      </w:r>
    </w:p>
    <w:p w14:paraId="1DB028B9" w14:textId="77777777" w:rsidR="00722AE2" w:rsidRPr="00240B14" w:rsidRDefault="00E62BC7" w:rsidP="00DB7E1F">
      <w:pPr>
        <w:numPr>
          <w:ilvl w:val="0"/>
          <w:numId w:val="7"/>
        </w:numPr>
        <w:shd w:val="clear" w:color="auto" w:fill="FFFFFF"/>
        <w:tabs>
          <w:tab w:val="left" w:pos="787"/>
        </w:tabs>
        <w:spacing w:before="120"/>
        <w:ind w:left="787" w:hanging="398"/>
        <w:jc w:val="both"/>
        <w:rPr>
          <w:sz w:val="22"/>
        </w:rPr>
      </w:pPr>
      <w:r w:rsidRPr="00240B14">
        <w:rPr>
          <w:sz w:val="22"/>
        </w:rPr>
        <w:t>in making a decision under section 269</w:t>
      </w:r>
      <w:r w:rsidRPr="00240B14">
        <w:rPr>
          <w:smallCaps/>
          <w:sz w:val="22"/>
        </w:rPr>
        <w:t>tc</w:t>
      </w:r>
      <w:r w:rsidRPr="00240B14">
        <w:rPr>
          <w:sz w:val="22"/>
        </w:rPr>
        <w:t xml:space="preserve"> to accept or reject an application in relation to the goods the subject of the application; or</w:t>
      </w:r>
    </w:p>
    <w:p w14:paraId="0A170E3D" w14:textId="77777777" w:rsidR="00722AE2" w:rsidRPr="00240B14" w:rsidRDefault="00E62BC7" w:rsidP="00DB7E1F">
      <w:pPr>
        <w:numPr>
          <w:ilvl w:val="0"/>
          <w:numId w:val="7"/>
        </w:numPr>
        <w:shd w:val="clear" w:color="auto" w:fill="FFFFFF"/>
        <w:tabs>
          <w:tab w:val="left" w:pos="787"/>
        </w:tabs>
        <w:spacing w:before="120"/>
        <w:ind w:left="787" w:hanging="398"/>
        <w:jc w:val="both"/>
        <w:rPr>
          <w:sz w:val="22"/>
        </w:rPr>
      </w:pPr>
      <w:r w:rsidRPr="00240B14">
        <w:rPr>
          <w:sz w:val="22"/>
        </w:rPr>
        <w:t>in making a preliminary finding under section 269</w:t>
      </w:r>
      <w:r w:rsidRPr="00240B14">
        <w:rPr>
          <w:smallCaps/>
          <w:sz w:val="22"/>
        </w:rPr>
        <w:t>td</w:t>
      </w:r>
      <w:r w:rsidRPr="00240B14">
        <w:rPr>
          <w:sz w:val="22"/>
        </w:rPr>
        <w:t xml:space="preserve"> in relation to those goods;</w:t>
      </w:r>
    </w:p>
    <w:p w14:paraId="3189E326" w14:textId="77777777" w:rsidR="00722AE2" w:rsidRPr="00240B14" w:rsidRDefault="00E62BC7" w:rsidP="00DB7E1F">
      <w:pPr>
        <w:shd w:val="clear" w:color="auto" w:fill="FFFFFF"/>
        <w:spacing w:before="120"/>
        <w:ind w:left="5"/>
        <w:jc w:val="both"/>
        <w:rPr>
          <w:sz w:val="22"/>
        </w:rPr>
      </w:pPr>
      <w:r w:rsidRPr="00240B14">
        <w:rPr>
          <w:sz w:val="22"/>
        </w:rPr>
        <w:t>is required to determine any matter ordinarily required to be determined by the Minister under the Anti-Dumping Act in respect of those goods, the Comptroller:</w:t>
      </w:r>
    </w:p>
    <w:p w14:paraId="11DBE9FF" w14:textId="77777777" w:rsidR="00722AE2" w:rsidRPr="00240B14" w:rsidRDefault="00E62BC7" w:rsidP="00DB7E1F">
      <w:pPr>
        <w:numPr>
          <w:ilvl w:val="0"/>
          <w:numId w:val="8"/>
        </w:numPr>
        <w:shd w:val="clear" w:color="auto" w:fill="FFFFFF"/>
        <w:tabs>
          <w:tab w:val="left" w:pos="787"/>
        </w:tabs>
        <w:spacing w:before="120"/>
        <w:ind w:left="787" w:hanging="398"/>
        <w:jc w:val="both"/>
        <w:rPr>
          <w:sz w:val="22"/>
        </w:rPr>
      </w:pPr>
      <w:r w:rsidRPr="00240B14">
        <w:rPr>
          <w:sz w:val="22"/>
        </w:rPr>
        <w:t>must determine the matter in like manner as if he or she was the Minister; and</w:t>
      </w:r>
    </w:p>
    <w:p w14:paraId="3CAC9029" w14:textId="77777777" w:rsidR="00722AE2" w:rsidRPr="00240B14" w:rsidRDefault="00E62BC7" w:rsidP="00DB7E1F">
      <w:pPr>
        <w:numPr>
          <w:ilvl w:val="0"/>
          <w:numId w:val="8"/>
        </w:numPr>
        <w:shd w:val="clear" w:color="auto" w:fill="FFFFFF"/>
        <w:tabs>
          <w:tab w:val="left" w:pos="787"/>
        </w:tabs>
        <w:spacing w:before="120"/>
        <w:ind w:left="787" w:hanging="398"/>
        <w:jc w:val="both"/>
        <w:rPr>
          <w:sz w:val="22"/>
        </w:rPr>
      </w:pPr>
      <w:r w:rsidRPr="00240B14">
        <w:rPr>
          <w:sz w:val="22"/>
        </w:rPr>
        <w:t>must have regard to the same considerations (other than the considerations referred to in subsection 8 (5</w:t>
      </w:r>
      <w:r w:rsidRPr="00240B14">
        <w:rPr>
          <w:smallCaps/>
          <w:sz w:val="22"/>
        </w:rPr>
        <w:t>a</w:t>
      </w:r>
      <w:r w:rsidRPr="00240B14">
        <w:rPr>
          <w:sz w:val="22"/>
        </w:rPr>
        <w:t xml:space="preserve">), 9 </w:t>
      </w:r>
      <w:r w:rsidRPr="00240B14">
        <w:rPr>
          <w:smallCaps/>
          <w:sz w:val="22"/>
        </w:rPr>
        <w:t xml:space="preserve">(5a), </w:t>
      </w:r>
      <w:r w:rsidRPr="00240B14">
        <w:rPr>
          <w:sz w:val="22"/>
        </w:rPr>
        <w:t>10 (5</w:t>
      </w:r>
      <w:r w:rsidRPr="00240B14">
        <w:rPr>
          <w:smallCaps/>
          <w:sz w:val="22"/>
        </w:rPr>
        <w:t>a</w:t>
      </w:r>
      <w:r w:rsidRPr="00240B14">
        <w:rPr>
          <w:sz w:val="22"/>
        </w:rPr>
        <w:t xml:space="preserve">) or 11 </w:t>
      </w:r>
      <w:r w:rsidRPr="00240B14">
        <w:rPr>
          <w:smallCaps/>
          <w:sz w:val="22"/>
        </w:rPr>
        <w:t xml:space="preserve">(5a) </w:t>
      </w:r>
      <w:r w:rsidRPr="00240B14">
        <w:rPr>
          <w:sz w:val="22"/>
        </w:rPr>
        <w:t>of that Act, whichever is appropriate) to which the Minister would be required to have regard under that Act if the Minister were determining the matter.</w:t>
      </w:r>
      <w:r w:rsidR="00655D6C" w:rsidRPr="00240B14">
        <w:rPr>
          <w:sz w:val="22"/>
        </w:rPr>
        <w:t>”</w:t>
      </w:r>
      <w:r w:rsidRPr="00240B14">
        <w:rPr>
          <w:sz w:val="22"/>
        </w:rPr>
        <w:t>.</w:t>
      </w:r>
    </w:p>
    <w:p w14:paraId="43235B66" w14:textId="77777777" w:rsidR="00722AE2" w:rsidRPr="00240B14" w:rsidRDefault="00E62BC7" w:rsidP="00DB7E1F">
      <w:pPr>
        <w:shd w:val="clear" w:color="auto" w:fill="FFFFFF"/>
        <w:spacing w:before="120"/>
        <w:ind w:left="5"/>
        <w:rPr>
          <w:sz w:val="22"/>
        </w:rPr>
      </w:pPr>
      <w:r w:rsidRPr="00240B14">
        <w:rPr>
          <w:b/>
          <w:bCs/>
          <w:sz w:val="22"/>
        </w:rPr>
        <w:t>Periods during which certain notices and undertakings to remain in force</w:t>
      </w:r>
    </w:p>
    <w:p w14:paraId="3E761E1D" w14:textId="77777777" w:rsidR="00722AE2" w:rsidRPr="00240B14" w:rsidRDefault="00E62BC7" w:rsidP="00DB7E1F">
      <w:pPr>
        <w:shd w:val="clear" w:color="auto" w:fill="FFFFFF"/>
        <w:spacing w:before="120"/>
        <w:ind w:left="403"/>
        <w:rPr>
          <w:sz w:val="22"/>
        </w:rPr>
      </w:pPr>
      <w:r w:rsidRPr="00240B14">
        <w:rPr>
          <w:b/>
          <w:bCs/>
          <w:sz w:val="22"/>
        </w:rPr>
        <w:t>9.</w:t>
      </w:r>
      <w:r w:rsidRPr="00240B14">
        <w:rPr>
          <w:sz w:val="22"/>
        </w:rPr>
        <w:t xml:space="preserve"> </w:t>
      </w:r>
      <w:r w:rsidRPr="00240B14">
        <w:rPr>
          <w:b/>
          <w:bCs/>
          <w:sz w:val="22"/>
        </w:rPr>
        <w:t xml:space="preserve">(1) </w:t>
      </w:r>
      <w:r w:rsidRPr="00240B14">
        <w:rPr>
          <w:sz w:val="22"/>
        </w:rPr>
        <w:t>Section 269</w:t>
      </w:r>
      <w:r w:rsidRPr="00240B14">
        <w:rPr>
          <w:smallCaps/>
          <w:sz w:val="22"/>
        </w:rPr>
        <w:t>tm</w:t>
      </w:r>
      <w:r w:rsidRPr="00240B14">
        <w:rPr>
          <w:sz w:val="22"/>
        </w:rPr>
        <w:t xml:space="preserve"> of the Principal Act is amended:</w:t>
      </w:r>
    </w:p>
    <w:p w14:paraId="546E1201" w14:textId="77777777" w:rsidR="00722AE2" w:rsidRPr="00240B14" w:rsidRDefault="00E62BC7" w:rsidP="00DB7E1F">
      <w:pPr>
        <w:shd w:val="clear" w:color="auto" w:fill="FFFFFF"/>
        <w:spacing w:before="120"/>
        <w:ind w:left="797" w:hanging="394"/>
        <w:jc w:val="both"/>
        <w:rPr>
          <w:sz w:val="22"/>
        </w:rPr>
      </w:pPr>
      <w:r w:rsidRPr="00240B14">
        <w:rPr>
          <w:b/>
          <w:bCs/>
          <w:sz w:val="22"/>
        </w:rPr>
        <w:t>(a)</w:t>
      </w:r>
      <w:r w:rsidRPr="00240B14">
        <w:rPr>
          <w:sz w:val="22"/>
        </w:rPr>
        <w:t xml:space="preserve"> by omitting subsections (1), (2) and (3) and substituting the following subsections:</w:t>
      </w:r>
    </w:p>
    <w:p w14:paraId="1DB5978B" w14:textId="77777777" w:rsidR="00722AE2" w:rsidRPr="00240B14" w:rsidRDefault="00722AE2" w:rsidP="00DB7E1F">
      <w:pPr>
        <w:shd w:val="clear" w:color="auto" w:fill="FFFFFF"/>
        <w:spacing w:before="120"/>
        <w:ind w:left="797" w:hanging="394"/>
        <w:jc w:val="both"/>
        <w:rPr>
          <w:sz w:val="22"/>
        </w:rPr>
        <w:sectPr w:rsidR="00722AE2" w:rsidRPr="00240B14" w:rsidSect="00565AA4">
          <w:pgSz w:w="12240" w:h="15840" w:code="1"/>
          <w:pgMar w:top="1440" w:right="1440" w:bottom="1440" w:left="1440" w:header="720" w:footer="720" w:gutter="0"/>
          <w:cols w:space="60"/>
          <w:noEndnote/>
        </w:sectPr>
      </w:pPr>
    </w:p>
    <w:p w14:paraId="5A83678B" w14:textId="77777777" w:rsidR="00722AE2" w:rsidRPr="00240B14" w:rsidRDefault="00655D6C" w:rsidP="00DB7E1F">
      <w:pPr>
        <w:shd w:val="clear" w:color="auto" w:fill="FFFFFF"/>
        <w:spacing w:before="120"/>
        <w:ind w:left="754" w:firstLine="216"/>
        <w:jc w:val="both"/>
        <w:rPr>
          <w:sz w:val="22"/>
        </w:rPr>
      </w:pPr>
      <w:r w:rsidRPr="00240B14">
        <w:rPr>
          <w:sz w:val="22"/>
        </w:rPr>
        <w:lastRenderedPageBreak/>
        <w:t>“</w:t>
      </w:r>
      <w:r w:rsidR="00E62BC7" w:rsidRPr="00240B14">
        <w:rPr>
          <w:sz w:val="22"/>
        </w:rPr>
        <w:t>(1) Where a notice is published after this section commences under a relevant notification provision in respect of goods of a particular kind, that notice expires 3 years after the day on which it is published unless it is revoked before the end of that period.</w:t>
      </w:r>
    </w:p>
    <w:p w14:paraId="7E28143D" w14:textId="77777777" w:rsidR="00722AE2" w:rsidRPr="00240B14" w:rsidRDefault="00655D6C" w:rsidP="00DB7E1F">
      <w:pPr>
        <w:shd w:val="clear" w:color="auto" w:fill="FFFFFF"/>
        <w:spacing w:before="120"/>
        <w:ind w:left="763" w:firstLine="216"/>
        <w:jc w:val="both"/>
        <w:rPr>
          <w:sz w:val="22"/>
        </w:rPr>
      </w:pPr>
      <w:r w:rsidRPr="00240B14">
        <w:rPr>
          <w:sz w:val="22"/>
        </w:rPr>
        <w:t>“</w:t>
      </w:r>
      <w:r w:rsidR="00E62BC7" w:rsidRPr="00240B14">
        <w:rPr>
          <w:sz w:val="22"/>
        </w:rPr>
        <w:t>(2) Where an undertaking is entered into after this section commences under a relevant undertaking provision in respect of goods of a particular kind, that undertaking expires 3 years after the day on which it was entered into unless provision is made for its earlier expiration.</w:t>
      </w:r>
      <w:r w:rsidRPr="00240B14">
        <w:rPr>
          <w:sz w:val="22"/>
        </w:rPr>
        <w:t>”</w:t>
      </w:r>
      <w:r w:rsidR="00E62BC7" w:rsidRPr="00240B14">
        <w:rPr>
          <w:sz w:val="22"/>
        </w:rPr>
        <w:t>;</w:t>
      </w:r>
    </w:p>
    <w:p w14:paraId="629D52B5" w14:textId="77777777" w:rsidR="00722AE2" w:rsidRPr="00240B14" w:rsidRDefault="00E62BC7" w:rsidP="00DB7E1F">
      <w:pPr>
        <w:shd w:val="clear" w:color="auto" w:fill="FFFFFF"/>
        <w:spacing w:before="120"/>
        <w:ind w:left="374"/>
        <w:jc w:val="both"/>
        <w:rPr>
          <w:sz w:val="22"/>
        </w:rPr>
      </w:pPr>
      <w:r w:rsidRPr="00240B14">
        <w:rPr>
          <w:b/>
          <w:bCs/>
          <w:sz w:val="22"/>
        </w:rPr>
        <w:t>(b)</w:t>
      </w:r>
      <w:r w:rsidRPr="00240B14">
        <w:rPr>
          <w:sz w:val="22"/>
        </w:rPr>
        <w:t xml:space="preserve"> by omitting subsection (6).</w:t>
      </w:r>
    </w:p>
    <w:p w14:paraId="487ACEFB" w14:textId="77777777" w:rsidR="00722AE2" w:rsidRPr="00240B14" w:rsidRDefault="00E62BC7" w:rsidP="00DB7E1F">
      <w:pPr>
        <w:numPr>
          <w:ilvl w:val="0"/>
          <w:numId w:val="9"/>
        </w:numPr>
        <w:shd w:val="clear" w:color="auto" w:fill="FFFFFF"/>
        <w:tabs>
          <w:tab w:val="left" w:pos="725"/>
        </w:tabs>
        <w:spacing w:before="120"/>
        <w:ind w:firstLine="336"/>
        <w:jc w:val="both"/>
        <w:rPr>
          <w:b/>
          <w:bCs/>
          <w:sz w:val="22"/>
        </w:rPr>
      </w:pPr>
      <w:r w:rsidRPr="00240B14">
        <w:rPr>
          <w:sz w:val="22"/>
        </w:rPr>
        <w:t>Where a notice was published under a relevant notification provision of the Principal Act before this section commences, subsections 269</w:t>
      </w:r>
      <w:r w:rsidRPr="00240B14">
        <w:rPr>
          <w:smallCaps/>
          <w:sz w:val="22"/>
        </w:rPr>
        <w:t>tm</w:t>
      </w:r>
      <w:r w:rsidRPr="00240B14">
        <w:rPr>
          <w:sz w:val="22"/>
        </w:rPr>
        <w:t xml:space="preserve"> (1) and (3) of the Principal Act as in force immediately before this section commences continue in force in relation to that notice as if the amendments made by paragraph (1) (a) of this section had not been made.</w:t>
      </w:r>
    </w:p>
    <w:p w14:paraId="2A635C3C" w14:textId="77777777" w:rsidR="00722AE2" w:rsidRPr="00240B14" w:rsidRDefault="00E62BC7" w:rsidP="00DB7E1F">
      <w:pPr>
        <w:numPr>
          <w:ilvl w:val="0"/>
          <w:numId w:val="9"/>
        </w:numPr>
        <w:shd w:val="clear" w:color="auto" w:fill="FFFFFF"/>
        <w:tabs>
          <w:tab w:val="left" w:pos="725"/>
        </w:tabs>
        <w:spacing w:before="120"/>
        <w:ind w:firstLine="336"/>
        <w:jc w:val="both"/>
        <w:rPr>
          <w:b/>
          <w:bCs/>
          <w:sz w:val="22"/>
        </w:rPr>
      </w:pPr>
      <w:r w:rsidRPr="00240B14">
        <w:rPr>
          <w:sz w:val="22"/>
        </w:rPr>
        <w:t>Where an undertaking was entered into under a relevant undertaking provision of the Principal Act before this section commences, subsections 269</w:t>
      </w:r>
      <w:r w:rsidRPr="00240B14">
        <w:rPr>
          <w:smallCaps/>
          <w:sz w:val="22"/>
        </w:rPr>
        <w:t>tm</w:t>
      </w:r>
      <w:r w:rsidRPr="00240B14">
        <w:rPr>
          <w:sz w:val="22"/>
        </w:rPr>
        <w:t xml:space="preserve"> (2) and (3) of the Principal Act as in force immediately before this section commences continue in force in relation to that undertaking as if the amendments made by paragraph (1) (a) of this section had not been made.</w:t>
      </w:r>
    </w:p>
    <w:p w14:paraId="40D63699" w14:textId="77777777" w:rsidR="00722AE2" w:rsidRPr="00240B14" w:rsidRDefault="00E62BC7" w:rsidP="00DB7E1F">
      <w:pPr>
        <w:numPr>
          <w:ilvl w:val="0"/>
          <w:numId w:val="9"/>
        </w:numPr>
        <w:shd w:val="clear" w:color="auto" w:fill="FFFFFF"/>
        <w:tabs>
          <w:tab w:val="left" w:pos="725"/>
        </w:tabs>
        <w:spacing w:before="120"/>
        <w:ind w:firstLine="336"/>
        <w:jc w:val="both"/>
        <w:rPr>
          <w:b/>
          <w:bCs/>
          <w:sz w:val="22"/>
        </w:rPr>
      </w:pPr>
      <w:r w:rsidRPr="00240B14">
        <w:rPr>
          <w:sz w:val="22"/>
        </w:rPr>
        <w:t>For the purposes of subsection</w:t>
      </w:r>
      <w:bookmarkStart w:id="0" w:name="_GoBack"/>
      <w:bookmarkEnd w:id="0"/>
      <w:r w:rsidRPr="00240B14">
        <w:rPr>
          <w:sz w:val="22"/>
        </w:rPr>
        <w:t xml:space="preserve">s (2) and (3), </w:t>
      </w:r>
      <w:r w:rsidR="00655D6C" w:rsidRPr="00240B14">
        <w:rPr>
          <w:sz w:val="22"/>
        </w:rPr>
        <w:t>“</w:t>
      </w:r>
      <w:r w:rsidRPr="00240B14">
        <w:rPr>
          <w:sz w:val="22"/>
        </w:rPr>
        <w:t>relevant notification provision</w:t>
      </w:r>
      <w:r w:rsidR="00655D6C" w:rsidRPr="00240B14">
        <w:rPr>
          <w:sz w:val="22"/>
        </w:rPr>
        <w:t>”</w:t>
      </w:r>
      <w:r w:rsidRPr="00240B14">
        <w:rPr>
          <w:sz w:val="22"/>
        </w:rPr>
        <w:t xml:space="preserve"> and </w:t>
      </w:r>
      <w:r w:rsidR="00655D6C" w:rsidRPr="00240B14">
        <w:rPr>
          <w:sz w:val="22"/>
        </w:rPr>
        <w:t>“</w:t>
      </w:r>
      <w:r w:rsidRPr="00240B14">
        <w:rPr>
          <w:sz w:val="22"/>
        </w:rPr>
        <w:t>relevant undertaking provision</w:t>
      </w:r>
      <w:r w:rsidR="00655D6C" w:rsidRPr="00240B14">
        <w:rPr>
          <w:sz w:val="22"/>
        </w:rPr>
        <w:t>”</w:t>
      </w:r>
      <w:r w:rsidRPr="00240B14">
        <w:rPr>
          <w:sz w:val="22"/>
        </w:rPr>
        <w:t xml:space="preserve"> have the same meaning as they have under section 269</w:t>
      </w:r>
      <w:r w:rsidRPr="00240B14">
        <w:rPr>
          <w:smallCaps/>
          <w:sz w:val="22"/>
        </w:rPr>
        <w:t>tm</w:t>
      </w:r>
      <w:r w:rsidRPr="00240B14">
        <w:rPr>
          <w:sz w:val="22"/>
        </w:rPr>
        <w:t xml:space="preserve"> of the Principal Act.</w:t>
      </w:r>
    </w:p>
    <w:p w14:paraId="74F96C63" w14:textId="77777777" w:rsidR="00722AE2" w:rsidRPr="00240B14" w:rsidRDefault="00935A88" w:rsidP="00525608">
      <w:pPr>
        <w:shd w:val="clear" w:color="auto" w:fill="FFFFFF"/>
        <w:spacing w:before="720"/>
        <w:jc w:val="center"/>
        <w:rPr>
          <w:sz w:val="22"/>
        </w:rPr>
      </w:pPr>
      <w:r w:rsidRPr="00240B14">
        <w:rPr>
          <w:b/>
          <w:bCs/>
          <w:noProof/>
          <w:sz w:val="22"/>
          <w:lang w:val="en-AU" w:eastAsia="en-AU"/>
        </w:rPr>
        <mc:AlternateContent>
          <mc:Choice Requires="wps">
            <w:drawing>
              <wp:anchor distT="0" distB="0" distL="114300" distR="114300" simplePos="0" relativeHeight="251658752" behindDoc="0" locked="0" layoutInCell="1" allowOverlap="1" wp14:anchorId="129B18DB" wp14:editId="63153DA2">
                <wp:simplePos x="0" y="0"/>
                <wp:positionH relativeFrom="column">
                  <wp:posOffset>-32808</wp:posOffset>
                </wp:positionH>
                <wp:positionV relativeFrom="paragraph">
                  <wp:posOffset>230505</wp:posOffset>
                </wp:positionV>
                <wp:extent cx="597746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5977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6B808"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6pt,18.15pt" to="46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tJtgEAALcDAAAOAAAAZHJzL2Uyb0RvYy54bWysU8GO0zAQvSPxD5bvNO2qbCFquoeu4IKg&#10;YpcP8DrjxsL2WGPTtH/P2G2zCBBCiIvjsd97M288Wd8dvRMHoGQxdHIxm0sBQWNvw76TXx7fvXoj&#10;Rcoq9MphgE6eIMm7zcsX6zG2cIMDuh5IsEhI7Rg7OeQc26ZJegCv0gwjBL40SF5lDmnf9KRGVveu&#10;uZnPb5sRqY+EGlLi0/vzpdxUfWNA50/GJMjCdZJry3Wluj6VtdmsVbsnFQerL2Wof6jCKxs46SR1&#10;r7IS38j+IuWtJkxo8kyjb9AYq6F6YDeL+U9uHgYVoXrh5qQ4tSn9P1n98bAjYftOLqUIyvMTPWRS&#10;dj9kscUQuIFIYln6NMbUMnwbdnSJUtxRMX005MuX7Yhj7e1p6i0cs9B8+PrtarW8XUmhr3fNMzFS&#10;yu8BvSibTjobim3VqsOHlDkZQ68QDkoh59R1l08OCtiFz2DYCidbVHYdItg6EgfFz99/XRQbrFWR&#10;hWKscxNp/mfSBVtoUAfrb4kTumbEkCeitwHpd1nz8VqqOeOvrs9ei+0n7E/1IWo7eDqqs8skl/H7&#10;Ma705/9t8x0AAP//AwBQSwMEFAAGAAgAAAAhALCPV4LeAAAACAEAAA8AAABkcnMvZG93bnJldi54&#10;bWxMj81OwzAQhO9IvIO1SNxap41I2zROhfg5wSEEDhy38ZJEjddR7CaBp8eIAxxnZzTzbXaYTSdG&#10;GlxrWcFqGYEgrqxuuVbw9vq42IJwHlljZ5kUfJKDQ355kWGq7cQvNJa+FqGEXYoKGu/7VEpXNWTQ&#10;LW1PHLwPOxj0QQ611ANOodx0ch1FiTTYclhosKe7hqpTeTYKNg9PZdFP989fhdzIohit357elbq+&#10;mm/3IDzN/i8MP/gBHfLAdLRn1k50ChY365BUECcxiODv4mQF4vh7kHkm/z+QfwMAAP//AwBQSwEC&#10;LQAUAAYACAAAACEAtoM4kv4AAADhAQAAEwAAAAAAAAAAAAAAAAAAAAAAW0NvbnRlbnRfVHlwZXNd&#10;LnhtbFBLAQItABQABgAIAAAAIQA4/SH/1gAAAJQBAAALAAAAAAAAAAAAAAAAAC8BAABfcmVscy8u&#10;cmVsc1BLAQItABQABgAIAAAAIQAsQFtJtgEAALcDAAAOAAAAAAAAAAAAAAAAAC4CAABkcnMvZTJv&#10;RG9jLnhtbFBLAQItABQABgAIAAAAIQCwj1eC3gAAAAgBAAAPAAAAAAAAAAAAAAAAABAEAABkcnMv&#10;ZG93bnJldi54bWxQSwUGAAAAAAQABADzAAAAGwUAAAAA&#10;" strokecolor="black [3040]"/>
            </w:pict>
          </mc:Fallback>
        </mc:AlternateContent>
      </w:r>
      <w:r w:rsidR="00E62BC7" w:rsidRPr="00240B14">
        <w:rPr>
          <w:b/>
          <w:bCs/>
          <w:sz w:val="22"/>
        </w:rPr>
        <w:t>NOTE</w:t>
      </w:r>
    </w:p>
    <w:p w14:paraId="1FC005E2" w14:textId="77777777" w:rsidR="00722AE2" w:rsidRPr="00240B14" w:rsidRDefault="00E62BC7" w:rsidP="00DB7E1F">
      <w:pPr>
        <w:shd w:val="clear" w:color="auto" w:fill="FFFFFF"/>
        <w:spacing w:before="120"/>
        <w:ind w:left="322" w:hanging="269"/>
        <w:jc w:val="both"/>
      </w:pPr>
      <w:r w:rsidRPr="00240B14">
        <w:t xml:space="preserve">1. No. 6, 1901, as amended. For previous amendments, see No. 21, 1906; </w:t>
      </w:r>
      <w:r w:rsidRPr="00240B14">
        <w:rPr>
          <w:lang w:val="fr-FR"/>
        </w:rPr>
        <w:t xml:space="preserve">Nos. </w:t>
      </w:r>
      <w:r w:rsidRPr="00240B14">
        <w:t xml:space="preserve">9 and 36, 1910; No. 9, 1914; No. 10, 1916; No. 41, 1920; No. 19, 1922; No. 12, 1923; No. 22, 1925; No. 6, 1930; </w:t>
      </w:r>
      <w:r w:rsidRPr="00240B14">
        <w:rPr>
          <w:lang w:val="fr-FR"/>
        </w:rPr>
        <w:t xml:space="preserve">Nos. </w:t>
      </w:r>
      <w:r w:rsidRPr="00240B14">
        <w:t xml:space="preserve">7 and 45, 1934; No. 7, 1935; No. 85, 1936; No. 54, 1947; No. 45, 1949; </w:t>
      </w:r>
      <w:r w:rsidRPr="00240B14">
        <w:rPr>
          <w:lang w:val="fr-FR"/>
        </w:rPr>
        <w:t xml:space="preserve">Nos. </w:t>
      </w:r>
      <w:r w:rsidRPr="00240B14">
        <w:t xml:space="preserve">56 and 80, 1950; No. 56, 1951; No. 108, 1952; No. 47, 1953; No. 66, 1954; No. 37, 1957; No. 54, 1959; </w:t>
      </w:r>
      <w:r w:rsidRPr="00240B14">
        <w:rPr>
          <w:lang w:val="fr-FR"/>
        </w:rPr>
        <w:t xml:space="preserve">Nos. </w:t>
      </w:r>
      <w:r w:rsidRPr="00240B14">
        <w:t xml:space="preserve">42 and 111, 1960; No. 48, 1963; </w:t>
      </w:r>
      <w:r w:rsidRPr="00240B14">
        <w:rPr>
          <w:lang w:val="fr-FR"/>
        </w:rPr>
        <w:t xml:space="preserve">Nos. </w:t>
      </w:r>
      <w:r w:rsidRPr="00240B14">
        <w:t xml:space="preserve">29, 82 and 133, 1965; No. 28, 1966; No. 54, 1967; </w:t>
      </w:r>
      <w:r w:rsidRPr="00240B14">
        <w:rPr>
          <w:lang w:val="fr-FR"/>
        </w:rPr>
        <w:t xml:space="preserve">Nos. </w:t>
      </w:r>
      <w:r w:rsidRPr="00240B14">
        <w:t xml:space="preserve">14 and 104, 1968; </w:t>
      </w:r>
      <w:r w:rsidRPr="00240B14">
        <w:rPr>
          <w:lang w:val="fr-FR"/>
        </w:rPr>
        <w:t xml:space="preserve">Nos. </w:t>
      </w:r>
      <w:r w:rsidRPr="00240B14">
        <w:t xml:space="preserve">12 and 134, 1971; No. 162, 1973; No. 216, 1973 (as amended by No. 20, 1974); </w:t>
      </w:r>
      <w:r w:rsidRPr="00240B14">
        <w:rPr>
          <w:lang w:val="fr-FR"/>
        </w:rPr>
        <w:t xml:space="preserve">Nos. </w:t>
      </w:r>
      <w:r w:rsidRPr="00240B14">
        <w:t xml:space="preserve">28 and 120, 1974; </w:t>
      </w:r>
      <w:r w:rsidRPr="00240B14">
        <w:rPr>
          <w:lang w:val="fr-FR"/>
        </w:rPr>
        <w:t xml:space="preserve">Nos. </w:t>
      </w:r>
      <w:r w:rsidRPr="00240B14">
        <w:t xml:space="preserve">56, 77 and 107, 1975; </w:t>
      </w:r>
      <w:r w:rsidRPr="00240B14">
        <w:rPr>
          <w:lang w:val="fr-FR"/>
        </w:rPr>
        <w:t xml:space="preserve">Nos. </w:t>
      </w:r>
      <w:r w:rsidRPr="00240B14">
        <w:t xml:space="preserve">41, 91 and 174, 1976; No. 154, 1977; </w:t>
      </w:r>
      <w:r w:rsidRPr="00240B14">
        <w:rPr>
          <w:lang w:val="fr-FR"/>
        </w:rPr>
        <w:t xml:space="preserve">Nos. </w:t>
      </w:r>
      <w:r w:rsidRPr="00240B14">
        <w:t xml:space="preserve">36 and 183, 1978; </w:t>
      </w:r>
      <w:r w:rsidRPr="00240B14">
        <w:rPr>
          <w:lang w:val="fr-FR"/>
        </w:rPr>
        <w:t xml:space="preserve">Nos. </w:t>
      </w:r>
      <w:r w:rsidRPr="00240B14">
        <w:t xml:space="preserve">92, 116, 177 and 180, 1979; </w:t>
      </w:r>
      <w:r w:rsidRPr="00240B14">
        <w:rPr>
          <w:lang w:val="fr-FR"/>
        </w:rPr>
        <w:t xml:space="preserve">Nos. </w:t>
      </w:r>
      <w:r w:rsidRPr="00240B14">
        <w:t xml:space="preserve">13, 15 and 110, 1980; </w:t>
      </w:r>
      <w:r w:rsidRPr="00240B14">
        <w:rPr>
          <w:lang w:val="fr-FR"/>
        </w:rPr>
        <w:t xml:space="preserve">Nos. </w:t>
      </w:r>
      <w:r w:rsidRPr="00240B14">
        <w:t xml:space="preserve">45, 64, 67, 152 and 157, 1981; </w:t>
      </w:r>
      <w:r w:rsidRPr="00240B14">
        <w:rPr>
          <w:lang w:val="fr-FR"/>
        </w:rPr>
        <w:t xml:space="preserve">Nos. </w:t>
      </w:r>
      <w:r w:rsidRPr="00240B14">
        <w:t xml:space="preserve">48, 51, 80, 108, 115 and 137, 1982; No. 81, 1982 (as amended by No. 39, 1983); </w:t>
      </w:r>
      <w:r w:rsidRPr="00240B14">
        <w:rPr>
          <w:lang w:val="fr-FR"/>
        </w:rPr>
        <w:t xml:space="preserve">Nos. </w:t>
      </w:r>
      <w:r w:rsidRPr="00240B14">
        <w:t xml:space="preserve">19, 39 and 101, 1983; </w:t>
      </w:r>
      <w:r w:rsidRPr="00240B14">
        <w:rPr>
          <w:lang w:val="fr-FR"/>
        </w:rPr>
        <w:t xml:space="preserve">Nos. </w:t>
      </w:r>
      <w:r w:rsidRPr="00240B14">
        <w:t xml:space="preserve">2, 22, 63, 72 and 165, 1984; </w:t>
      </w:r>
      <w:r w:rsidRPr="00240B14">
        <w:rPr>
          <w:lang w:val="fr-FR"/>
        </w:rPr>
        <w:t xml:space="preserve">Nos. </w:t>
      </w:r>
      <w:r w:rsidRPr="00240B14">
        <w:t xml:space="preserve">39, 40 and 175, 1985; </w:t>
      </w:r>
      <w:r w:rsidRPr="00240B14">
        <w:rPr>
          <w:lang w:val="fr-FR"/>
        </w:rPr>
        <w:t xml:space="preserve">Nos. </w:t>
      </w:r>
      <w:r w:rsidRPr="00240B14">
        <w:t xml:space="preserve">10, 34 and 149, 1986; </w:t>
      </w:r>
      <w:r w:rsidRPr="00240B14">
        <w:rPr>
          <w:lang w:val="fr-FR"/>
        </w:rPr>
        <w:t xml:space="preserve">Nos. </w:t>
      </w:r>
      <w:r w:rsidRPr="00240B14">
        <w:t xml:space="preserve">51, 76, 81, 104 and 141, 1987; </w:t>
      </w:r>
      <w:r w:rsidRPr="00240B14">
        <w:rPr>
          <w:lang w:val="fr-FR"/>
        </w:rPr>
        <w:t xml:space="preserve">Nos. </w:t>
      </w:r>
      <w:r w:rsidRPr="00240B14">
        <w:t xml:space="preserve">63, 66, 76, 99, 120 and 121, 1988; </w:t>
      </w:r>
      <w:r w:rsidRPr="00240B14">
        <w:rPr>
          <w:lang w:val="fr-FR"/>
        </w:rPr>
        <w:t xml:space="preserve">Nos. </w:t>
      </w:r>
      <w:r w:rsidRPr="00240B14">
        <w:t xml:space="preserve">23, 24, 78, 108 and 174, 1989; and </w:t>
      </w:r>
      <w:r w:rsidRPr="00240B14">
        <w:rPr>
          <w:lang w:val="fr-FR"/>
        </w:rPr>
        <w:t xml:space="preserve">Nos. </w:t>
      </w:r>
      <w:r w:rsidRPr="00240B14">
        <w:t>6, 11, 37, 70 and 79, 1990.</w:t>
      </w:r>
    </w:p>
    <w:p w14:paraId="24AE6294" w14:textId="77777777" w:rsidR="00722AE2" w:rsidRPr="00240B14" w:rsidRDefault="00722AE2" w:rsidP="00DB7E1F">
      <w:pPr>
        <w:shd w:val="clear" w:color="auto" w:fill="FFFFFF"/>
        <w:spacing w:before="120"/>
        <w:ind w:left="322" w:hanging="269"/>
        <w:jc w:val="both"/>
        <w:sectPr w:rsidR="00722AE2" w:rsidRPr="00240B14" w:rsidSect="00565AA4">
          <w:pgSz w:w="12240" w:h="15840" w:code="1"/>
          <w:pgMar w:top="1440" w:right="1440" w:bottom="1440" w:left="1440" w:header="720" w:footer="720" w:gutter="0"/>
          <w:cols w:space="60"/>
          <w:noEndnote/>
        </w:sectPr>
      </w:pPr>
    </w:p>
    <w:p w14:paraId="51089970" w14:textId="77777777" w:rsidR="00722AE2" w:rsidRPr="00240B14" w:rsidRDefault="00E62BC7" w:rsidP="00DB7E1F">
      <w:pPr>
        <w:shd w:val="clear" w:color="auto" w:fill="FFFFFF"/>
        <w:spacing w:before="120"/>
      </w:pPr>
      <w:r w:rsidRPr="00240B14">
        <w:lastRenderedPageBreak/>
        <w:t>[</w:t>
      </w:r>
      <w:r w:rsidRPr="00240B14">
        <w:rPr>
          <w:i/>
          <w:iCs/>
        </w:rPr>
        <w:t>Minister</w:t>
      </w:r>
      <w:r w:rsidR="00655D6C" w:rsidRPr="00240B14">
        <w:rPr>
          <w:i/>
          <w:iCs/>
        </w:rPr>
        <w:t>’</w:t>
      </w:r>
      <w:r w:rsidRPr="00240B14">
        <w:rPr>
          <w:i/>
          <w:iCs/>
        </w:rPr>
        <w:t>s second reading speech made in</w:t>
      </w:r>
      <w:r w:rsidRPr="00240B14">
        <w:rPr>
          <w:rFonts w:eastAsia="Times New Roman"/>
        </w:rPr>
        <w:t>—</w:t>
      </w:r>
    </w:p>
    <w:p w14:paraId="51F33714" w14:textId="77777777" w:rsidR="00722AE2" w:rsidRPr="00240B14" w:rsidRDefault="00E62BC7" w:rsidP="00525608">
      <w:pPr>
        <w:shd w:val="clear" w:color="auto" w:fill="FFFFFF"/>
        <w:ind w:left="758"/>
      </w:pPr>
      <w:r w:rsidRPr="00240B14">
        <w:rPr>
          <w:i/>
          <w:iCs/>
        </w:rPr>
        <w:t>House of Representatives on 9 May 1991</w:t>
      </w:r>
    </w:p>
    <w:p w14:paraId="7A94C87D" w14:textId="77777777" w:rsidR="00E62BC7" w:rsidRPr="00240B14" w:rsidRDefault="00E62BC7" w:rsidP="00525608">
      <w:pPr>
        <w:shd w:val="clear" w:color="auto" w:fill="FFFFFF"/>
        <w:ind w:left="758"/>
      </w:pPr>
      <w:r w:rsidRPr="00240B14">
        <w:rPr>
          <w:i/>
          <w:iCs/>
        </w:rPr>
        <w:t>Senate on 29 May 1991</w:t>
      </w:r>
      <w:r w:rsidR="004120F7">
        <w:t>]</w:t>
      </w:r>
    </w:p>
    <w:sectPr w:rsidR="00E62BC7" w:rsidRPr="00240B14" w:rsidSect="00565AA4">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8DD9A" w15:done="0"/>
  <w15:commentEx w15:paraId="60B79688" w15:done="0"/>
  <w15:commentEx w15:paraId="1CB1F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8DD9A" w16cid:durableId="207B8F54"/>
  <w16cid:commentId w16cid:paraId="60B79688" w16cid:durableId="207B8F7A"/>
  <w16cid:commentId w16cid:paraId="1CB1F23C" w16cid:durableId="207B8F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28746" w14:textId="77777777" w:rsidR="001B68EC" w:rsidRDefault="001B68EC" w:rsidP="006F670B">
      <w:r>
        <w:separator/>
      </w:r>
    </w:p>
  </w:endnote>
  <w:endnote w:type="continuationSeparator" w:id="0">
    <w:p w14:paraId="5F5BC3C5" w14:textId="77777777" w:rsidR="001B68EC" w:rsidRDefault="001B68EC" w:rsidP="006F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1FCB4" w14:textId="77777777" w:rsidR="001B68EC" w:rsidRDefault="001B68EC" w:rsidP="006F670B">
      <w:r>
        <w:separator/>
      </w:r>
    </w:p>
  </w:footnote>
  <w:footnote w:type="continuationSeparator" w:id="0">
    <w:p w14:paraId="38679D1B" w14:textId="77777777" w:rsidR="001B68EC" w:rsidRDefault="001B68EC" w:rsidP="006F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DDE0" w14:textId="77777777" w:rsidR="006F670B" w:rsidRPr="006F670B" w:rsidRDefault="006F670B" w:rsidP="006F670B">
    <w:pPr>
      <w:pStyle w:val="Header"/>
      <w:tabs>
        <w:tab w:val="left" w:pos="2520"/>
      </w:tabs>
      <w:jc w:val="center"/>
      <w:rPr>
        <w:sz w:val="22"/>
      </w:rPr>
    </w:pPr>
    <w:r w:rsidRPr="006F670B">
      <w:rPr>
        <w:i/>
        <w:iCs/>
        <w:sz w:val="22"/>
        <w:szCs w:val="24"/>
        <w:lang w:val="en-IN"/>
      </w:rPr>
      <w:t>Customs Amendment</w:t>
    </w:r>
    <w:r>
      <w:rPr>
        <w:i/>
        <w:iCs/>
        <w:sz w:val="22"/>
        <w:szCs w:val="24"/>
        <w:lang w:val="en-IN"/>
      </w:rPr>
      <w:tab/>
    </w:r>
    <w:r w:rsidRPr="006F670B">
      <w:rPr>
        <w:i/>
        <w:iCs/>
        <w:sz w:val="22"/>
        <w:szCs w:val="24"/>
        <w:lang w:val="en-IN"/>
      </w:rPr>
      <w:t>No. 82,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6FFD"/>
    <w:multiLevelType w:val="singleLevel"/>
    <w:tmpl w:val="22300110"/>
    <w:lvl w:ilvl="0">
      <w:start w:val="2"/>
      <w:numFmt w:val="decimal"/>
      <w:lvlText w:val="(%1)"/>
      <w:legacy w:legacy="1" w:legacySpace="0" w:legacyIndent="389"/>
      <w:lvlJc w:val="left"/>
      <w:rPr>
        <w:rFonts w:ascii="Times New Roman" w:hAnsi="Times New Roman" w:cs="Times New Roman" w:hint="default"/>
      </w:rPr>
    </w:lvl>
  </w:abstractNum>
  <w:abstractNum w:abstractNumId="1">
    <w:nsid w:val="41372892"/>
    <w:multiLevelType w:val="singleLevel"/>
    <w:tmpl w:val="6B0AC1BA"/>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43C21A7A"/>
    <w:multiLevelType w:val="singleLevel"/>
    <w:tmpl w:val="C2FE25FE"/>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49092D0C"/>
    <w:multiLevelType w:val="singleLevel"/>
    <w:tmpl w:val="444CA658"/>
    <w:lvl w:ilvl="0">
      <w:start w:val="5"/>
      <w:numFmt w:val="decimal"/>
      <w:lvlText w:val="%1."/>
      <w:legacy w:legacy="1" w:legacySpace="0" w:legacyIndent="312"/>
      <w:lvlJc w:val="left"/>
      <w:rPr>
        <w:rFonts w:ascii="Times New Roman" w:hAnsi="Times New Roman" w:cs="Times New Roman" w:hint="default"/>
        <w:b/>
      </w:rPr>
    </w:lvl>
  </w:abstractNum>
  <w:abstractNum w:abstractNumId="4">
    <w:nsid w:val="56263590"/>
    <w:multiLevelType w:val="singleLevel"/>
    <w:tmpl w:val="326CCA74"/>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691E74C0"/>
    <w:multiLevelType w:val="singleLevel"/>
    <w:tmpl w:val="74101CB2"/>
    <w:lvl w:ilvl="0">
      <w:start w:val="3"/>
      <w:numFmt w:val="lowerLetter"/>
      <w:lvlText w:val="(%1)"/>
      <w:legacy w:legacy="1" w:legacySpace="0" w:legacyIndent="398"/>
      <w:lvlJc w:val="left"/>
      <w:rPr>
        <w:rFonts w:ascii="Times New Roman" w:hAnsi="Times New Roman" w:cs="Times New Roman" w:hint="default"/>
      </w:rPr>
    </w:lvl>
  </w:abstractNum>
  <w:abstractNum w:abstractNumId="6">
    <w:nsid w:val="72380DF3"/>
    <w:multiLevelType w:val="singleLevel"/>
    <w:tmpl w:val="C3C8677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7BC5158B"/>
    <w:multiLevelType w:val="singleLevel"/>
    <w:tmpl w:val="326CCA74"/>
    <w:lvl w:ilvl="0">
      <w:start w:val="1"/>
      <w:numFmt w:val="lowerLetter"/>
      <w:lvlText w:val="(%1)"/>
      <w:legacy w:legacy="1" w:legacySpace="0" w:legacyIndent="398"/>
      <w:lvlJc w:val="left"/>
      <w:rPr>
        <w:rFonts w:ascii="Times New Roman" w:hAnsi="Times New Roman" w:cs="Times New Roman" w:hint="default"/>
      </w:rPr>
    </w:lvl>
  </w:abstractNum>
  <w:num w:numId="1">
    <w:abstractNumId w:val="3"/>
  </w:num>
  <w:num w:numId="2">
    <w:abstractNumId w:val="7"/>
  </w:num>
  <w:num w:numId="3">
    <w:abstractNumId w:val="7"/>
    <w:lvlOverride w:ilvl="0">
      <w:lvl w:ilvl="0">
        <w:start w:val="1"/>
        <w:numFmt w:val="lowerLetter"/>
        <w:lvlText w:val="(%1)"/>
        <w:legacy w:legacy="1" w:legacySpace="0" w:legacyIndent="399"/>
        <w:lvlJc w:val="left"/>
        <w:rPr>
          <w:rFonts w:ascii="Times New Roman" w:hAnsi="Times New Roman" w:cs="Times New Roman" w:hint="default"/>
        </w:rPr>
      </w:lvl>
    </w:lvlOverride>
  </w:num>
  <w:num w:numId="4">
    <w:abstractNumId w:val="1"/>
  </w:num>
  <w:num w:numId="5">
    <w:abstractNumId w:val="2"/>
  </w:num>
  <w:num w:numId="6">
    <w:abstractNumId w:val="6"/>
  </w:num>
  <w:num w:numId="7">
    <w:abstractNumId w:val="4"/>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6C"/>
    <w:rsid w:val="00042A9E"/>
    <w:rsid w:val="00054919"/>
    <w:rsid w:val="001B68EC"/>
    <w:rsid w:val="00240B14"/>
    <w:rsid w:val="0029209D"/>
    <w:rsid w:val="00333584"/>
    <w:rsid w:val="00336BDA"/>
    <w:rsid w:val="0033745A"/>
    <w:rsid w:val="003414A1"/>
    <w:rsid w:val="003474D3"/>
    <w:rsid w:val="004120F7"/>
    <w:rsid w:val="004326DC"/>
    <w:rsid w:val="00477668"/>
    <w:rsid w:val="00506A75"/>
    <w:rsid w:val="00525608"/>
    <w:rsid w:val="00535382"/>
    <w:rsid w:val="005373BB"/>
    <w:rsid w:val="00565AA4"/>
    <w:rsid w:val="005B15CA"/>
    <w:rsid w:val="00655D6C"/>
    <w:rsid w:val="006F670B"/>
    <w:rsid w:val="00712C17"/>
    <w:rsid w:val="00722AE2"/>
    <w:rsid w:val="007A36A3"/>
    <w:rsid w:val="008344E1"/>
    <w:rsid w:val="008A5C07"/>
    <w:rsid w:val="00935A88"/>
    <w:rsid w:val="00954E45"/>
    <w:rsid w:val="009B574E"/>
    <w:rsid w:val="009F1F42"/>
    <w:rsid w:val="00A5492C"/>
    <w:rsid w:val="00AB2A8A"/>
    <w:rsid w:val="00AE6775"/>
    <w:rsid w:val="00B0794C"/>
    <w:rsid w:val="00B16BEC"/>
    <w:rsid w:val="00BB6F51"/>
    <w:rsid w:val="00C6103C"/>
    <w:rsid w:val="00D3734F"/>
    <w:rsid w:val="00D737A0"/>
    <w:rsid w:val="00D80A98"/>
    <w:rsid w:val="00DB7E1F"/>
    <w:rsid w:val="00DC786F"/>
    <w:rsid w:val="00E62BC7"/>
    <w:rsid w:val="00EC242F"/>
    <w:rsid w:val="00F244E0"/>
    <w:rsid w:val="00F4540F"/>
    <w:rsid w:val="00FA10AF"/>
    <w:rsid w:val="00FB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6B3D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0B"/>
    <w:pPr>
      <w:tabs>
        <w:tab w:val="center" w:pos="4513"/>
        <w:tab w:val="right" w:pos="9026"/>
      </w:tabs>
    </w:pPr>
  </w:style>
  <w:style w:type="character" w:customStyle="1" w:styleId="HeaderChar">
    <w:name w:val="Header Char"/>
    <w:basedOn w:val="DefaultParagraphFont"/>
    <w:link w:val="Header"/>
    <w:uiPriority w:val="99"/>
    <w:rsid w:val="006F670B"/>
    <w:rPr>
      <w:rFonts w:ascii="Times New Roman" w:hAnsi="Times New Roman" w:cs="Times New Roman"/>
      <w:sz w:val="20"/>
      <w:szCs w:val="20"/>
    </w:rPr>
  </w:style>
  <w:style w:type="paragraph" w:styleId="Footer">
    <w:name w:val="footer"/>
    <w:basedOn w:val="Normal"/>
    <w:link w:val="FooterChar"/>
    <w:uiPriority w:val="99"/>
    <w:unhideWhenUsed/>
    <w:rsid w:val="006F670B"/>
    <w:pPr>
      <w:tabs>
        <w:tab w:val="center" w:pos="4513"/>
        <w:tab w:val="right" w:pos="9026"/>
      </w:tabs>
    </w:pPr>
  </w:style>
  <w:style w:type="character" w:customStyle="1" w:styleId="FooterChar">
    <w:name w:val="Footer Char"/>
    <w:basedOn w:val="DefaultParagraphFont"/>
    <w:link w:val="Footer"/>
    <w:uiPriority w:val="99"/>
    <w:rsid w:val="006F670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42A9E"/>
    <w:rPr>
      <w:rFonts w:ascii="Tahoma" w:hAnsi="Tahoma" w:cs="Tahoma"/>
      <w:sz w:val="16"/>
      <w:szCs w:val="16"/>
    </w:rPr>
  </w:style>
  <w:style w:type="character" w:customStyle="1" w:styleId="BalloonTextChar">
    <w:name w:val="Balloon Text Char"/>
    <w:basedOn w:val="DefaultParagraphFont"/>
    <w:link w:val="BalloonText"/>
    <w:uiPriority w:val="99"/>
    <w:semiHidden/>
    <w:rsid w:val="00042A9E"/>
    <w:rPr>
      <w:rFonts w:ascii="Tahoma" w:hAnsi="Tahoma" w:cs="Tahoma"/>
      <w:sz w:val="16"/>
      <w:szCs w:val="16"/>
    </w:rPr>
  </w:style>
  <w:style w:type="character" w:styleId="CommentReference">
    <w:name w:val="annotation reference"/>
    <w:basedOn w:val="DefaultParagraphFont"/>
    <w:uiPriority w:val="99"/>
    <w:semiHidden/>
    <w:unhideWhenUsed/>
    <w:rsid w:val="005373BB"/>
    <w:rPr>
      <w:sz w:val="16"/>
      <w:szCs w:val="16"/>
    </w:rPr>
  </w:style>
  <w:style w:type="paragraph" w:styleId="CommentText">
    <w:name w:val="annotation text"/>
    <w:basedOn w:val="Normal"/>
    <w:link w:val="CommentTextChar"/>
    <w:uiPriority w:val="99"/>
    <w:semiHidden/>
    <w:unhideWhenUsed/>
    <w:rsid w:val="005373BB"/>
  </w:style>
  <w:style w:type="character" w:customStyle="1" w:styleId="CommentTextChar">
    <w:name w:val="Comment Text Char"/>
    <w:basedOn w:val="DefaultParagraphFont"/>
    <w:link w:val="CommentText"/>
    <w:uiPriority w:val="99"/>
    <w:semiHidden/>
    <w:rsid w:val="005373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BB"/>
    <w:rPr>
      <w:b/>
      <w:bCs/>
    </w:rPr>
  </w:style>
  <w:style w:type="character" w:customStyle="1" w:styleId="CommentSubjectChar">
    <w:name w:val="Comment Subject Char"/>
    <w:basedOn w:val="CommentTextChar"/>
    <w:link w:val="CommentSubject"/>
    <w:uiPriority w:val="99"/>
    <w:semiHidden/>
    <w:rsid w:val="005373BB"/>
    <w:rPr>
      <w:rFonts w:ascii="Times New Roman" w:hAnsi="Times New Roman" w:cs="Times New Roman"/>
      <w:b/>
      <w:bCs/>
      <w:sz w:val="20"/>
      <w:szCs w:val="20"/>
    </w:rPr>
  </w:style>
  <w:style w:type="paragraph" w:styleId="Revision">
    <w:name w:val="Revision"/>
    <w:hidden/>
    <w:uiPriority w:val="99"/>
    <w:semiHidden/>
    <w:rsid w:val="00F4540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0B"/>
    <w:pPr>
      <w:tabs>
        <w:tab w:val="center" w:pos="4513"/>
        <w:tab w:val="right" w:pos="9026"/>
      </w:tabs>
    </w:pPr>
  </w:style>
  <w:style w:type="character" w:customStyle="1" w:styleId="HeaderChar">
    <w:name w:val="Header Char"/>
    <w:basedOn w:val="DefaultParagraphFont"/>
    <w:link w:val="Header"/>
    <w:uiPriority w:val="99"/>
    <w:rsid w:val="006F670B"/>
    <w:rPr>
      <w:rFonts w:ascii="Times New Roman" w:hAnsi="Times New Roman" w:cs="Times New Roman"/>
      <w:sz w:val="20"/>
      <w:szCs w:val="20"/>
    </w:rPr>
  </w:style>
  <w:style w:type="paragraph" w:styleId="Footer">
    <w:name w:val="footer"/>
    <w:basedOn w:val="Normal"/>
    <w:link w:val="FooterChar"/>
    <w:uiPriority w:val="99"/>
    <w:unhideWhenUsed/>
    <w:rsid w:val="006F670B"/>
    <w:pPr>
      <w:tabs>
        <w:tab w:val="center" w:pos="4513"/>
        <w:tab w:val="right" w:pos="9026"/>
      </w:tabs>
    </w:pPr>
  </w:style>
  <w:style w:type="character" w:customStyle="1" w:styleId="FooterChar">
    <w:name w:val="Footer Char"/>
    <w:basedOn w:val="DefaultParagraphFont"/>
    <w:link w:val="Footer"/>
    <w:uiPriority w:val="99"/>
    <w:rsid w:val="006F670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42A9E"/>
    <w:rPr>
      <w:rFonts w:ascii="Tahoma" w:hAnsi="Tahoma" w:cs="Tahoma"/>
      <w:sz w:val="16"/>
      <w:szCs w:val="16"/>
    </w:rPr>
  </w:style>
  <w:style w:type="character" w:customStyle="1" w:styleId="BalloonTextChar">
    <w:name w:val="Balloon Text Char"/>
    <w:basedOn w:val="DefaultParagraphFont"/>
    <w:link w:val="BalloonText"/>
    <w:uiPriority w:val="99"/>
    <w:semiHidden/>
    <w:rsid w:val="00042A9E"/>
    <w:rPr>
      <w:rFonts w:ascii="Tahoma" w:hAnsi="Tahoma" w:cs="Tahoma"/>
      <w:sz w:val="16"/>
      <w:szCs w:val="16"/>
    </w:rPr>
  </w:style>
  <w:style w:type="character" w:styleId="CommentReference">
    <w:name w:val="annotation reference"/>
    <w:basedOn w:val="DefaultParagraphFont"/>
    <w:uiPriority w:val="99"/>
    <w:semiHidden/>
    <w:unhideWhenUsed/>
    <w:rsid w:val="005373BB"/>
    <w:rPr>
      <w:sz w:val="16"/>
      <w:szCs w:val="16"/>
    </w:rPr>
  </w:style>
  <w:style w:type="paragraph" w:styleId="CommentText">
    <w:name w:val="annotation text"/>
    <w:basedOn w:val="Normal"/>
    <w:link w:val="CommentTextChar"/>
    <w:uiPriority w:val="99"/>
    <w:semiHidden/>
    <w:unhideWhenUsed/>
    <w:rsid w:val="005373BB"/>
  </w:style>
  <w:style w:type="character" w:customStyle="1" w:styleId="CommentTextChar">
    <w:name w:val="Comment Text Char"/>
    <w:basedOn w:val="DefaultParagraphFont"/>
    <w:link w:val="CommentText"/>
    <w:uiPriority w:val="99"/>
    <w:semiHidden/>
    <w:rsid w:val="005373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BB"/>
    <w:rPr>
      <w:b/>
      <w:bCs/>
    </w:rPr>
  </w:style>
  <w:style w:type="character" w:customStyle="1" w:styleId="CommentSubjectChar">
    <w:name w:val="Comment Subject Char"/>
    <w:basedOn w:val="CommentTextChar"/>
    <w:link w:val="CommentSubject"/>
    <w:uiPriority w:val="99"/>
    <w:semiHidden/>
    <w:rsid w:val="005373BB"/>
    <w:rPr>
      <w:rFonts w:ascii="Times New Roman" w:hAnsi="Times New Roman" w:cs="Times New Roman"/>
      <w:b/>
      <w:bCs/>
      <w:sz w:val="20"/>
      <w:szCs w:val="20"/>
    </w:rPr>
  </w:style>
  <w:style w:type="paragraph" w:styleId="Revision">
    <w:name w:val="Revision"/>
    <w:hidden/>
    <w:uiPriority w:val="99"/>
    <w:semiHidden/>
    <w:rsid w:val="00F4540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8030</Characters>
  <Application>Microsoft Office Word</Application>
  <DocSecurity>0</DocSecurity>
  <Lines>223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Ziegler, Liesl</cp:lastModifiedBy>
  <cp:revision>3</cp:revision>
  <dcterms:created xsi:type="dcterms:W3CDTF">2019-05-06T19:02:00Z</dcterms:created>
  <dcterms:modified xsi:type="dcterms:W3CDTF">2019-10-11T05:25:00Z</dcterms:modified>
</cp:coreProperties>
</file>