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1790E" w14:textId="77777777" w:rsidR="00A2470D" w:rsidRPr="00F109D3" w:rsidRDefault="00A2470D" w:rsidP="00A2470D">
      <w:pPr>
        <w:shd w:val="clear" w:color="auto" w:fill="FFFFFF"/>
        <w:ind w:left="197"/>
        <w:jc w:val="center"/>
        <w:rPr>
          <w:b/>
          <w:bCs/>
          <w:sz w:val="28"/>
          <w:szCs w:val="24"/>
        </w:rPr>
      </w:pPr>
      <w:r w:rsidRPr="00F109D3">
        <w:rPr>
          <w:noProof/>
          <w:sz w:val="24"/>
          <w:szCs w:val="24"/>
          <w:lang w:val="en-AU" w:eastAsia="en-AU"/>
        </w:rPr>
        <w:drawing>
          <wp:inline distT="0" distB="0" distL="0" distR="0" wp14:anchorId="0C984915" wp14:editId="49385B68">
            <wp:extent cx="1880235" cy="12725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235" cy="1272540"/>
                    </a:xfrm>
                    <a:prstGeom prst="rect">
                      <a:avLst/>
                    </a:prstGeom>
                    <a:noFill/>
                    <a:ln>
                      <a:noFill/>
                    </a:ln>
                  </pic:spPr>
                </pic:pic>
              </a:graphicData>
            </a:graphic>
          </wp:inline>
        </w:drawing>
      </w:r>
    </w:p>
    <w:p w14:paraId="5E8DAF6D" w14:textId="77777777" w:rsidR="00C51C52" w:rsidRPr="00F109D3" w:rsidRDefault="00C51C52" w:rsidP="00A2470D">
      <w:pPr>
        <w:shd w:val="clear" w:color="auto" w:fill="FFFFFF"/>
        <w:spacing w:before="720"/>
        <w:jc w:val="center"/>
        <w:rPr>
          <w:sz w:val="36"/>
          <w:szCs w:val="24"/>
        </w:rPr>
      </w:pPr>
      <w:r w:rsidRPr="00F109D3">
        <w:rPr>
          <w:b/>
          <w:bCs/>
          <w:sz w:val="36"/>
          <w:szCs w:val="24"/>
        </w:rPr>
        <w:t>Superannuation Supervisory Levy Act 1991</w:t>
      </w:r>
    </w:p>
    <w:p w14:paraId="7C8FE247" w14:textId="77777777" w:rsidR="00C51C52" w:rsidRPr="00CF0298" w:rsidRDefault="00C51C52" w:rsidP="00A2470D">
      <w:pPr>
        <w:shd w:val="clear" w:color="auto" w:fill="FFFFFF"/>
        <w:spacing w:before="874"/>
        <w:ind w:left="134"/>
        <w:jc w:val="center"/>
        <w:rPr>
          <w:sz w:val="28"/>
          <w:szCs w:val="28"/>
        </w:rPr>
      </w:pPr>
      <w:r w:rsidRPr="00CF0298">
        <w:rPr>
          <w:b/>
          <w:bCs/>
          <w:sz w:val="28"/>
          <w:szCs w:val="28"/>
        </w:rPr>
        <w:t>No. 61 of 1991</w:t>
      </w:r>
    </w:p>
    <w:p w14:paraId="36E8BD66" w14:textId="77777777" w:rsidR="00C51C52" w:rsidRPr="00CF0298" w:rsidRDefault="00CB6DB7" w:rsidP="00A2470D">
      <w:pPr>
        <w:shd w:val="clear" w:color="auto" w:fill="FFFFFF"/>
        <w:spacing w:before="2122"/>
        <w:jc w:val="center"/>
        <w:rPr>
          <w:sz w:val="28"/>
          <w:szCs w:val="28"/>
        </w:rPr>
      </w:pPr>
      <w:r w:rsidRPr="00CF0298">
        <w:rPr>
          <w:b/>
          <w:bCs/>
          <w:noProof/>
          <w:sz w:val="28"/>
          <w:szCs w:val="28"/>
          <w:lang w:val="en-AU" w:eastAsia="en-AU"/>
        </w:rPr>
        <mc:AlternateContent>
          <mc:Choice Requires="wps">
            <w:drawing>
              <wp:anchor distT="0" distB="0" distL="114300" distR="114300" simplePos="0" relativeHeight="251659776" behindDoc="0" locked="0" layoutInCell="1" allowOverlap="1" wp14:anchorId="12178824" wp14:editId="2BCE7B03">
                <wp:simplePos x="0" y="0"/>
                <wp:positionH relativeFrom="column">
                  <wp:posOffset>-64506</wp:posOffset>
                </wp:positionH>
                <wp:positionV relativeFrom="paragraph">
                  <wp:posOffset>436880</wp:posOffset>
                </wp:positionV>
                <wp:extent cx="5926347"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5926347"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1E9C2"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1pt,34.4pt" to="461.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" strokecolor="black [3040]" strokeweight=".5pt"/>
            </w:pict>
          </mc:Fallback>
        </mc:AlternateContent>
      </w:r>
      <w:r w:rsidRPr="00CF0298">
        <w:rPr>
          <w:b/>
          <w:bCs/>
          <w:noProof/>
          <w:sz w:val="28"/>
          <w:szCs w:val="28"/>
          <w:lang w:val="en-AU" w:eastAsia="en-AU"/>
        </w:rPr>
        <mc:AlternateContent>
          <mc:Choice Requires="wps">
            <w:drawing>
              <wp:anchor distT="0" distB="0" distL="114300" distR="114300" simplePos="0" relativeHeight="251657728" behindDoc="0" locked="0" layoutInCell="1" allowOverlap="1" wp14:anchorId="2B51E2D4" wp14:editId="7F77B674">
                <wp:simplePos x="0" y="0"/>
                <wp:positionH relativeFrom="column">
                  <wp:posOffset>-60386</wp:posOffset>
                </wp:positionH>
                <wp:positionV relativeFrom="paragraph">
                  <wp:posOffset>463119</wp:posOffset>
                </wp:positionV>
                <wp:extent cx="5926347"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592634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6BDD9"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75pt,36.45pt" to="461.9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" strokecolor="black [3040]" strokeweight="1.5pt"/>
            </w:pict>
          </mc:Fallback>
        </mc:AlternateContent>
      </w:r>
      <w:r w:rsidR="00C51C52" w:rsidRPr="00CF0298">
        <w:rPr>
          <w:b/>
          <w:bCs/>
          <w:sz w:val="28"/>
          <w:szCs w:val="28"/>
        </w:rPr>
        <w:t xml:space="preserve">An Act to impose a levy on the lodgment of certain returns under the </w:t>
      </w:r>
      <w:r w:rsidR="00C51C52" w:rsidRPr="00CF0298">
        <w:rPr>
          <w:b/>
          <w:bCs/>
          <w:i/>
          <w:iCs/>
          <w:sz w:val="28"/>
          <w:szCs w:val="28"/>
        </w:rPr>
        <w:t>Occupational Superannuation Standards Act 1987</w:t>
      </w:r>
    </w:p>
    <w:p w14:paraId="19B6B26C" w14:textId="77777777" w:rsidR="00C51C52" w:rsidRPr="00F109D3" w:rsidRDefault="00C51C52" w:rsidP="00A2470D">
      <w:pPr>
        <w:shd w:val="clear" w:color="auto" w:fill="FFFFFF"/>
        <w:spacing w:before="360" w:after="360"/>
        <w:jc w:val="right"/>
        <w:rPr>
          <w:sz w:val="22"/>
          <w:szCs w:val="24"/>
        </w:rPr>
      </w:pPr>
      <w:r w:rsidRPr="00F109D3">
        <w:rPr>
          <w:i/>
          <w:iCs/>
          <w:sz w:val="22"/>
          <w:szCs w:val="24"/>
        </w:rPr>
        <w:t>[Assented to 20 May 1991]</w:t>
      </w:r>
    </w:p>
    <w:p w14:paraId="10E78DD6" w14:textId="77777777" w:rsidR="00C51C52" w:rsidRPr="00F109D3" w:rsidRDefault="00C51C52" w:rsidP="00A2470D">
      <w:pPr>
        <w:shd w:val="clear" w:color="auto" w:fill="FFFFFF"/>
        <w:ind w:left="355"/>
        <w:rPr>
          <w:sz w:val="22"/>
          <w:szCs w:val="24"/>
        </w:rPr>
      </w:pPr>
      <w:r w:rsidRPr="00F109D3">
        <w:rPr>
          <w:sz w:val="22"/>
          <w:szCs w:val="24"/>
        </w:rPr>
        <w:t>The Parliament of Australia enacts:</w:t>
      </w:r>
    </w:p>
    <w:p w14:paraId="1E3911DA" w14:textId="77777777" w:rsidR="00C51C52" w:rsidRPr="00F109D3" w:rsidRDefault="00C51C52" w:rsidP="00A2470D">
      <w:pPr>
        <w:shd w:val="clear" w:color="auto" w:fill="FFFFFF"/>
        <w:spacing w:before="144"/>
        <w:ind w:left="14"/>
        <w:rPr>
          <w:sz w:val="22"/>
          <w:szCs w:val="24"/>
        </w:rPr>
      </w:pPr>
      <w:r w:rsidRPr="00F109D3">
        <w:rPr>
          <w:b/>
          <w:bCs/>
          <w:sz w:val="22"/>
          <w:szCs w:val="24"/>
        </w:rPr>
        <w:t>Short title</w:t>
      </w:r>
    </w:p>
    <w:p w14:paraId="0E6E9A23" w14:textId="77777777" w:rsidR="00C51C52" w:rsidRPr="00F109D3" w:rsidRDefault="00C51C52" w:rsidP="0019198F">
      <w:pPr>
        <w:shd w:val="clear" w:color="auto" w:fill="FFFFFF"/>
        <w:tabs>
          <w:tab w:val="left" w:pos="653"/>
        </w:tabs>
        <w:spacing w:before="120"/>
        <w:ind w:firstLine="365"/>
        <w:jc w:val="both"/>
        <w:rPr>
          <w:sz w:val="22"/>
          <w:szCs w:val="24"/>
        </w:rPr>
      </w:pPr>
      <w:r w:rsidRPr="00F109D3">
        <w:rPr>
          <w:b/>
          <w:bCs/>
          <w:sz w:val="22"/>
          <w:szCs w:val="24"/>
        </w:rPr>
        <w:t>1.</w:t>
      </w:r>
      <w:r w:rsidRPr="00F109D3">
        <w:rPr>
          <w:sz w:val="22"/>
          <w:szCs w:val="24"/>
        </w:rPr>
        <w:tab/>
        <w:t xml:space="preserve">This Act may be cited as the </w:t>
      </w:r>
      <w:r w:rsidRPr="00F109D3">
        <w:rPr>
          <w:i/>
          <w:iCs/>
          <w:sz w:val="22"/>
          <w:szCs w:val="24"/>
        </w:rPr>
        <w:t>Superannuation Supervisory Levy</w:t>
      </w:r>
      <w:r w:rsidR="00A2470D" w:rsidRPr="00F109D3">
        <w:rPr>
          <w:i/>
          <w:iCs/>
          <w:sz w:val="22"/>
          <w:szCs w:val="24"/>
        </w:rPr>
        <w:t xml:space="preserve"> </w:t>
      </w:r>
      <w:r w:rsidRPr="00F109D3">
        <w:rPr>
          <w:i/>
          <w:iCs/>
          <w:sz w:val="22"/>
          <w:szCs w:val="24"/>
        </w:rPr>
        <w:t>Act 1991.</w:t>
      </w:r>
    </w:p>
    <w:p w14:paraId="441BDE32" w14:textId="77777777" w:rsidR="00C51C52" w:rsidRPr="00F109D3" w:rsidRDefault="00C51C52" w:rsidP="00A2470D">
      <w:pPr>
        <w:shd w:val="clear" w:color="auto" w:fill="FFFFFF"/>
        <w:spacing w:before="144"/>
        <w:ind w:left="14"/>
        <w:rPr>
          <w:sz w:val="22"/>
          <w:szCs w:val="24"/>
        </w:rPr>
      </w:pPr>
      <w:r w:rsidRPr="00F109D3">
        <w:rPr>
          <w:b/>
          <w:bCs/>
          <w:sz w:val="22"/>
          <w:szCs w:val="24"/>
        </w:rPr>
        <w:t>Commencement</w:t>
      </w:r>
    </w:p>
    <w:p w14:paraId="7C2807D1" w14:textId="77777777" w:rsidR="00C51C52" w:rsidRPr="00F109D3" w:rsidRDefault="00C51C52" w:rsidP="0019198F">
      <w:pPr>
        <w:shd w:val="clear" w:color="auto" w:fill="FFFFFF"/>
        <w:tabs>
          <w:tab w:val="left" w:pos="653"/>
        </w:tabs>
        <w:spacing w:before="120"/>
        <w:ind w:firstLine="365"/>
        <w:jc w:val="both"/>
        <w:rPr>
          <w:sz w:val="22"/>
          <w:szCs w:val="24"/>
        </w:rPr>
      </w:pPr>
      <w:r w:rsidRPr="00F109D3">
        <w:rPr>
          <w:b/>
          <w:bCs/>
          <w:sz w:val="22"/>
          <w:szCs w:val="24"/>
        </w:rPr>
        <w:t>2.</w:t>
      </w:r>
      <w:r w:rsidRPr="00F109D3">
        <w:rPr>
          <w:b/>
          <w:bCs/>
          <w:sz w:val="22"/>
          <w:szCs w:val="24"/>
        </w:rPr>
        <w:tab/>
      </w:r>
      <w:r w:rsidRPr="00F109D3">
        <w:rPr>
          <w:sz w:val="22"/>
          <w:szCs w:val="24"/>
        </w:rPr>
        <w:t>This Act commences, or is taken to have commenced, as the case</w:t>
      </w:r>
      <w:r w:rsidR="00A2470D" w:rsidRPr="00F109D3">
        <w:rPr>
          <w:sz w:val="22"/>
          <w:szCs w:val="24"/>
        </w:rPr>
        <w:t xml:space="preserve"> </w:t>
      </w:r>
      <w:r w:rsidRPr="00F109D3">
        <w:rPr>
          <w:sz w:val="22"/>
          <w:szCs w:val="24"/>
        </w:rPr>
        <w:t xml:space="preserve">requires, on the commencement of the </w:t>
      </w:r>
      <w:r w:rsidRPr="00F109D3">
        <w:rPr>
          <w:i/>
          <w:iCs/>
          <w:sz w:val="22"/>
          <w:szCs w:val="24"/>
        </w:rPr>
        <w:t>Occupational Superannuation</w:t>
      </w:r>
      <w:r w:rsidR="00A2470D" w:rsidRPr="00F109D3">
        <w:rPr>
          <w:i/>
          <w:iCs/>
          <w:sz w:val="22"/>
          <w:szCs w:val="24"/>
        </w:rPr>
        <w:t xml:space="preserve"> </w:t>
      </w:r>
      <w:r w:rsidRPr="00F109D3">
        <w:rPr>
          <w:i/>
          <w:iCs/>
          <w:sz w:val="22"/>
          <w:szCs w:val="24"/>
        </w:rPr>
        <w:t>Laws Amendment Act 1991.</w:t>
      </w:r>
    </w:p>
    <w:p w14:paraId="26C0CD18" w14:textId="77777777" w:rsidR="00C51C52" w:rsidRPr="00F109D3" w:rsidRDefault="00C51C52" w:rsidP="00A2470D">
      <w:pPr>
        <w:shd w:val="clear" w:color="auto" w:fill="FFFFFF"/>
        <w:spacing w:before="144"/>
        <w:ind w:left="19"/>
        <w:rPr>
          <w:sz w:val="22"/>
          <w:szCs w:val="24"/>
        </w:rPr>
      </w:pPr>
      <w:r w:rsidRPr="00F109D3">
        <w:rPr>
          <w:b/>
          <w:bCs/>
          <w:sz w:val="22"/>
          <w:szCs w:val="24"/>
        </w:rPr>
        <w:t>Application of Occupational Superannuation Standards Act</w:t>
      </w:r>
    </w:p>
    <w:p w14:paraId="4D88E869" w14:textId="77777777" w:rsidR="00C51C52" w:rsidRPr="00F109D3" w:rsidRDefault="00C51C52" w:rsidP="0019198F">
      <w:pPr>
        <w:shd w:val="clear" w:color="auto" w:fill="FFFFFF"/>
        <w:tabs>
          <w:tab w:val="left" w:pos="653"/>
        </w:tabs>
        <w:spacing w:before="120"/>
        <w:ind w:firstLine="365"/>
        <w:jc w:val="both"/>
        <w:rPr>
          <w:sz w:val="22"/>
          <w:szCs w:val="24"/>
        </w:rPr>
      </w:pPr>
      <w:r w:rsidRPr="00F109D3">
        <w:rPr>
          <w:b/>
          <w:bCs/>
          <w:sz w:val="22"/>
          <w:szCs w:val="24"/>
        </w:rPr>
        <w:t>3.</w:t>
      </w:r>
      <w:r w:rsidRPr="00F109D3">
        <w:rPr>
          <w:sz w:val="22"/>
          <w:szCs w:val="24"/>
        </w:rPr>
        <w:tab/>
        <w:t xml:space="preserve">Sections 3 and </w:t>
      </w:r>
      <w:r w:rsidRPr="00F109D3">
        <w:rPr>
          <w:smallCaps/>
          <w:sz w:val="22"/>
          <w:szCs w:val="24"/>
        </w:rPr>
        <w:t xml:space="preserve">3a </w:t>
      </w:r>
      <w:r w:rsidRPr="00F109D3">
        <w:rPr>
          <w:sz w:val="22"/>
          <w:szCs w:val="24"/>
        </w:rPr>
        <w:t xml:space="preserve">of the </w:t>
      </w:r>
      <w:r w:rsidRPr="00F109D3">
        <w:rPr>
          <w:i/>
          <w:iCs/>
          <w:sz w:val="22"/>
          <w:szCs w:val="24"/>
        </w:rPr>
        <w:t>Occupational Superannuation Standards</w:t>
      </w:r>
      <w:r w:rsidR="00A2470D" w:rsidRPr="00F109D3">
        <w:rPr>
          <w:i/>
          <w:iCs/>
          <w:sz w:val="22"/>
          <w:szCs w:val="24"/>
        </w:rPr>
        <w:t xml:space="preserve"> </w:t>
      </w:r>
      <w:r w:rsidRPr="00F109D3">
        <w:rPr>
          <w:i/>
          <w:iCs/>
          <w:sz w:val="22"/>
          <w:szCs w:val="24"/>
        </w:rPr>
        <w:t xml:space="preserve">Act 1987 </w:t>
      </w:r>
      <w:r w:rsidRPr="00F109D3">
        <w:rPr>
          <w:sz w:val="22"/>
          <w:szCs w:val="24"/>
        </w:rPr>
        <w:t>apply in relation to this Act in a corresponding way to the</w:t>
      </w:r>
      <w:r w:rsidR="00A2470D" w:rsidRPr="00F109D3">
        <w:rPr>
          <w:sz w:val="22"/>
          <w:szCs w:val="24"/>
        </w:rPr>
        <w:t xml:space="preserve"> </w:t>
      </w:r>
      <w:r w:rsidRPr="00F109D3">
        <w:rPr>
          <w:sz w:val="22"/>
          <w:szCs w:val="24"/>
        </w:rPr>
        <w:t>way in which they apply in relation to that Act.</w:t>
      </w:r>
    </w:p>
    <w:p w14:paraId="1848E40E" w14:textId="77777777" w:rsidR="00A2470D" w:rsidRPr="00F109D3" w:rsidRDefault="00A2470D" w:rsidP="00A2470D">
      <w:pPr>
        <w:shd w:val="clear" w:color="auto" w:fill="FFFFFF"/>
        <w:tabs>
          <w:tab w:val="left" w:pos="653"/>
        </w:tabs>
        <w:spacing w:before="53"/>
        <w:ind w:firstLine="365"/>
        <w:jc w:val="both"/>
        <w:rPr>
          <w:sz w:val="22"/>
          <w:szCs w:val="24"/>
        </w:rPr>
      </w:pPr>
    </w:p>
    <w:p w14:paraId="3F61B3BE" w14:textId="77777777" w:rsidR="00C51C52" w:rsidRPr="00F109D3" w:rsidRDefault="00C51C52" w:rsidP="00A2470D">
      <w:pPr>
        <w:shd w:val="clear" w:color="auto" w:fill="FFFFFF"/>
        <w:tabs>
          <w:tab w:val="left" w:pos="653"/>
        </w:tabs>
        <w:spacing w:before="53"/>
        <w:ind w:firstLine="365"/>
        <w:jc w:val="both"/>
        <w:rPr>
          <w:sz w:val="22"/>
          <w:szCs w:val="24"/>
        </w:rPr>
        <w:sectPr w:rsidR="00C51C52" w:rsidRPr="00F109D3" w:rsidSect="00C17415">
          <w:type w:val="continuous"/>
          <w:pgSz w:w="12240" w:h="15840" w:code="1"/>
          <w:pgMar w:top="1440" w:right="1440" w:bottom="1440" w:left="1440" w:header="720" w:footer="720" w:gutter="0"/>
          <w:cols w:space="60"/>
          <w:noEndnote/>
        </w:sectPr>
      </w:pPr>
    </w:p>
    <w:p w14:paraId="223964E1" w14:textId="77777777" w:rsidR="00C51C52" w:rsidRPr="00F109D3" w:rsidRDefault="00C51C52" w:rsidP="00A2470D">
      <w:pPr>
        <w:shd w:val="clear" w:color="auto" w:fill="FFFFFF"/>
        <w:spacing w:before="197"/>
        <w:ind w:left="19"/>
        <w:rPr>
          <w:sz w:val="22"/>
          <w:szCs w:val="24"/>
        </w:rPr>
      </w:pPr>
      <w:r w:rsidRPr="00F109D3">
        <w:rPr>
          <w:b/>
          <w:bCs/>
          <w:sz w:val="22"/>
          <w:szCs w:val="24"/>
        </w:rPr>
        <w:lastRenderedPageBreak/>
        <w:t>Interpretation</w:t>
      </w:r>
    </w:p>
    <w:p w14:paraId="0EDFD1F3" w14:textId="77777777" w:rsidR="00C51C52" w:rsidRPr="00F109D3" w:rsidRDefault="00C51C52" w:rsidP="0019198F">
      <w:pPr>
        <w:shd w:val="clear" w:color="auto" w:fill="FFFFFF"/>
        <w:tabs>
          <w:tab w:val="left" w:pos="638"/>
        </w:tabs>
        <w:spacing w:before="120"/>
        <w:ind w:left="346"/>
        <w:rPr>
          <w:sz w:val="22"/>
          <w:szCs w:val="24"/>
        </w:rPr>
      </w:pPr>
      <w:r w:rsidRPr="00F109D3">
        <w:rPr>
          <w:b/>
          <w:bCs/>
          <w:sz w:val="22"/>
          <w:szCs w:val="24"/>
        </w:rPr>
        <w:t>4.</w:t>
      </w:r>
      <w:r w:rsidRPr="00F109D3">
        <w:rPr>
          <w:b/>
          <w:bCs/>
          <w:sz w:val="22"/>
          <w:szCs w:val="24"/>
        </w:rPr>
        <w:tab/>
      </w:r>
      <w:r w:rsidRPr="00F109D3">
        <w:rPr>
          <w:sz w:val="22"/>
          <w:szCs w:val="24"/>
        </w:rPr>
        <w:t>In this Act:</w:t>
      </w:r>
    </w:p>
    <w:p w14:paraId="3B861252" w14:textId="71DC0456" w:rsidR="00C51C52" w:rsidRPr="00F109D3" w:rsidRDefault="00031F18" w:rsidP="0019198F">
      <w:pPr>
        <w:shd w:val="clear" w:color="auto" w:fill="FFFFFF"/>
        <w:spacing w:before="120" w:after="60"/>
        <w:ind w:left="14"/>
        <w:rPr>
          <w:sz w:val="22"/>
          <w:szCs w:val="24"/>
        </w:rPr>
      </w:pPr>
      <w:r w:rsidRPr="00F109D3">
        <w:rPr>
          <w:b/>
          <w:bCs/>
          <w:sz w:val="22"/>
          <w:szCs w:val="24"/>
        </w:rPr>
        <w:t>“</w:t>
      </w:r>
      <w:r w:rsidR="00C51C52" w:rsidRPr="00F109D3">
        <w:rPr>
          <w:b/>
          <w:bCs/>
          <w:sz w:val="22"/>
          <w:szCs w:val="24"/>
        </w:rPr>
        <w:t>period of grace</w:t>
      </w:r>
      <w:r w:rsidRPr="00F109D3">
        <w:rPr>
          <w:b/>
          <w:bCs/>
          <w:sz w:val="22"/>
          <w:szCs w:val="24"/>
        </w:rPr>
        <w:t>”</w:t>
      </w:r>
      <w:r w:rsidR="00C51C52" w:rsidRPr="006B6C0A">
        <w:rPr>
          <w:bCs/>
          <w:sz w:val="22"/>
          <w:szCs w:val="24"/>
        </w:rPr>
        <w:t>,</w:t>
      </w:r>
      <w:r w:rsidR="00C51C52" w:rsidRPr="00F109D3">
        <w:rPr>
          <w:b/>
          <w:bCs/>
          <w:sz w:val="22"/>
          <w:szCs w:val="24"/>
        </w:rPr>
        <w:t xml:space="preserve"> </w:t>
      </w:r>
      <w:r w:rsidR="00C51C52" w:rsidRPr="00F109D3">
        <w:rPr>
          <w:sz w:val="22"/>
          <w:szCs w:val="24"/>
        </w:rPr>
        <w:t>in relation to a return, means the period of 14 days commencing on the day after the required return lodgment day for the return;</w:t>
      </w:r>
    </w:p>
    <w:p w14:paraId="2179B2BA" w14:textId="28FFACE0" w:rsidR="00C51C52" w:rsidRPr="00F109D3" w:rsidRDefault="00031F18" w:rsidP="0019198F">
      <w:pPr>
        <w:shd w:val="clear" w:color="auto" w:fill="FFFFFF"/>
        <w:spacing w:before="120"/>
        <w:ind w:left="10"/>
        <w:jc w:val="both"/>
        <w:rPr>
          <w:sz w:val="22"/>
          <w:szCs w:val="24"/>
        </w:rPr>
      </w:pPr>
      <w:r w:rsidRPr="00F109D3">
        <w:rPr>
          <w:b/>
          <w:bCs/>
          <w:sz w:val="22"/>
          <w:szCs w:val="24"/>
        </w:rPr>
        <w:t>“</w:t>
      </w:r>
      <w:r w:rsidR="00C51C52" w:rsidRPr="00F109D3">
        <w:rPr>
          <w:b/>
          <w:bCs/>
          <w:sz w:val="22"/>
          <w:szCs w:val="24"/>
        </w:rPr>
        <w:t>required return lodgment day</w:t>
      </w:r>
      <w:r w:rsidRPr="00F109D3">
        <w:rPr>
          <w:b/>
          <w:bCs/>
          <w:sz w:val="22"/>
          <w:szCs w:val="24"/>
        </w:rPr>
        <w:t>”</w:t>
      </w:r>
      <w:r w:rsidR="00C51C52" w:rsidRPr="006B6C0A">
        <w:rPr>
          <w:bCs/>
          <w:sz w:val="22"/>
          <w:szCs w:val="24"/>
        </w:rPr>
        <w:t>,</w:t>
      </w:r>
      <w:r w:rsidR="00C51C52" w:rsidRPr="00F109D3">
        <w:rPr>
          <w:b/>
          <w:bCs/>
          <w:sz w:val="22"/>
          <w:szCs w:val="24"/>
        </w:rPr>
        <w:t xml:space="preserve"> </w:t>
      </w:r>
      <w:r w:rsidR="00C51C52" w:rsidRPr="00F109D3">
        <w:rPr>
          <w:sz w:val="22"/>
          <w:szCs w:val="24"/>
        </w:rPr>
        <w:t>in relation to a return, means the day specified in the approval of the form of return as the day by which, for the purposes of this Act, the return is to be lodged (however described).</w:t>
      </w:r>
    </w:p>
    <w:p w14:paraId="54CA425D" w14:textId="77777777" w:rsidR="00C51C52" w:rsidRPr="00F109D3" w:rsidRDefault="00C51C52" w:rsidP="00A2470D">
      <w:pPr>
        <w:shd w:val="clear" w:color="auto" w:fill="FFFFFF"/>
        <w:spacing w:before="144"/>
        <w:ind w:left="19"/>
        <w:rPr>
          <w:sz w:val="22"/>
          <w:szCs w:val="24"/>
        </w:rPr>
      </w:pPr>
      <w:r w:rsidRPr="00F109D3">
        <w:rPr>
          <w:b/>
          <w:bCs/>
          <w:sz w:val="22"/>
          <w:szCs w:val="24"/>
        </w:rPr>
        <w:t>Imposition of superannuation supervisory levy</w:t>
      </w:r>
    </w:p>
    <w:p w14:paraId="6E60DDD9" w14:textId="77777777" w:rsidR="00C51C52" w:rsidRPr="00F109D3" w:rsidRDefault="00C51C52" w:rsidP="0019198F">
      <w:pPr>
        <w:shd w:val="clear" w:color="auto" w:fill="FFFFFF"/>
        <w:tabs>
          <w:tab w:val="left" w:pos="638"/>
        </w:tabs>
        <w:spacing w:before="120"/>
        <w:ind w:left="10" w:firstLine="336"/>
        <w:jc w:val="both"/>
        <w:rPr>
          <w:sz w:val="22"/>
          <w:szCs w:val="24"/>
        </w:rPr>
      </w:pPr>
      <w:r w:rsidRPr="00F109D3">
        <w:rPr>
          <w:b/>
          <w:bCs/>
          <w:sz w:val="22"/>
          <w:szCs w:val="24"/>
        </w:rPr>
        <w:t>5.</w:t>
      </w:r>
      <w:r w:rsidRPr="00F109D3">
        <w:rPr>
          <w:b/>
          <w:bCs/>
          <w:sz w:val="22"/>
          <w:szCs w:val="24"/>
        </w:rPr>
        <w:tab/>
      </w:r>
      <w:r w:rsidRPr="00F109D3">
        <w:rPr>
          <w:sz w:val="22"/>
          <w:szCs w:val="24"/>
        </w:rPr>
        <w:t>Levy payable in accordance with section 15</w:t>
      </w:r>
      <w:r w:rsidRPr="00F109D3">
        <w:rPr>
          <w:smallCaps/>
          <w:sz w:val="22"/>
          <w:szCs w:val="24"/>
        </w:rPr>
        <w:t>da</w:t>
      </w:r>
      <w:r w:rsidRPr="00F109D3">
        <w:rPr>
          <w:sz w:val="22"/>
          <w:szCs w:val="24"/>
        </w:rPr>
        <w:t xml:space="preserve"> of the </w:t>
      </w:r>
      <w:r w:rsidRPr="00F109D3">
        <w:rPr>
          <w:i/>
          <w:iCs/>
          <w:sz w:val="22"/>
          <w:szCs w:val="24"/>
        </w:rPr>
        <w:t>Occupational</w:t>
      </w:r>
      <w:r w:rsidR="00A2470D" w:rsidRPr="00F109D3">
        <w:rPr>
          <w:i/>
          <w:iCs/>
          <w:sz w:val="22"/>
          <w:szCs w:val="24"/>
        </w:rPr>
        <w:t xml:space="preserve"> </w:t>
      </w:r>
      <w:r w:rsidRPr="00F109D3">
        <w:rPr>
          <w:i/>
          <w:iCs/>
          <w:sz w:val="22"/>
          <w:szCs w:val="24"/>
        </w:rPr>
        <w:t xml:space="preserve">Superannuation Standards Act 1987 </w:t>
      </w:r>
      <w:r w:rsidRPr="00F109D3">
        <w:rPr>
          <w:sz w:val="22"/>
          <w:szCs w:val="24"/>
        </w:rPr>
        <w:t>is imposed.</w:t>
      </w:r>
    </w:p>
    <w:p w14:paraId="152BB589" w14:textId="77777777" w:rsidR="00C51C52" w:rsidRPr="00F109D3" w:rsidRDefault="00C51C52" w:rsidP="00A2470D">
      <w:pPr>
        <w:shd w:val="clear" w:color="auto" w:fill="FFFFFF"/>
        <w:spacing w:before="139"/>
        <w:ind w:left="10"/>
        <w:rPr>
          <w:sz w:val="22"/>
          <w:szCs w:val="24"/>
        </w:rPr>
      </w:pPr>
      <w:r w:rsidRPr="00F109D3">
        <w:rPr>
          <w:b/>
          <w:bCs/>
          <w:sz w:val="22"/>
          <w:szCs w:val="24"/>
        </w:rPr>
        <w:t>Amount of levy</w:t>
      </w:r>
    </w:p>
    <w:p w14:paraId="48E00B3B" w14:textId="77777777" w:rsidR="00C51C52" w:rsidRPr="00F109D3" w:rsidRDefault="00C51C52" w:rsidP="00E66A4C">
      <w:pPr>
        <w:shd w:val="clear" w:color="auto" w:fill="FFFFFF"/>
        <w:tabs>
          <w:tab w:val="left" w:pos="638"/>
        </w:tabs>
        <w:spacing w:before="120"/>
        <w:ind w:left="10" w:firstLine="336"/>
        <w:jc w:val="both"/>
        <w:rPr>
          <w:sz w:val="22"/>
          <w:szCs w:val="24"/>
        </w:rPr>
      </w:pPr>
      <w:r w:rsidRPr="00F109D3">
        <w:rPr>
          <w:b/>
          <w:bCs/>
          <w:sz w:val="22"/>
          <w:szCs w:val="24"/>
        </w:rPr>
        <w:t>6.</w:t>
      </w:r>
      <w:r w:rsidRPr="00F109D3">
        <w:rPr>
          <w:b/>
          <w:bCs/>
          <w:sz w:val="22"/>
          <w:szCs w:val="24"/>
        </w:rPr>
        <w:tab/>
        <w:t xml:space="preserve">(1) </w:t>
      </w:r>
      <w:r w:rsidRPr="00F109D3">
        <w:rPr>
          <w:sz w:val="22"/>
          <w:szCs w:val="24"/>
        </w:rPr>
        <w:t>The amount of levy payable on the lodgment of a return for</w:t>
      </w:r>
      <w:r w:rsidR="00A2470D" w:rsidRPr="00F109D3">
        <w:rPr>
          <w:sz w:val="22"/>
          <w:szCs w:val="24"/>
        </w:rPr>
        <w:t xml:space="preserve"> </w:t>
      </w:r>
      <w:r w:rsidRPr="00F109D3">
        <w:rPr>
          <w:sz w:val="22"/>
          <w:szCs w:val="24"/>
        </w:rPr>
        <w:t>a year of income is the sum of:</w:t>
      </w:r>
    </w:p>
    <w:p w14:paraId="561BB4B1" w14:textId="260AC046" w:rsidR="00C51C52" w:rsidRPr="00F109D3" w:rsidRDefault="00C51C52" w:rsidP="00E66A4C">
      <w:pPr>
        <w:numPr>
          <w:ilvl w:val="0"/>
          <w:numId w:val="1"/>
        </w:numPr>
        <w:shd w:val="clear" w:color="auto" w:fill="FFFFFF"/>
        <w:tabs>
          <w:tab w:val="left" w:pos="787"/>
        </w:tabs>
        <w:spacing w:before="120"/>
        <w:ind w:left="787" w:hanging="394"/>
        <w:jc w:val="both"/>
        <w:rPr>
          <w:sz w:val="22"/>
          <w:szCs w:val="24"/>
        </w:rPr>
      </w:pPr>
      <w:r w:rsidRPr="00F109D3">
        <w:rPr>
          <w:sz w:val="22"/>
          <w:szCs w:val="24"/>
        </w:rPr>
        <w:t xml:space="preserve">the amount (in this section called the </w:t>
      </w:r>
      <w:r w:rsidR="00031F18" w:rsidRPr="00F109D3">
        <w:rPr>
          <w:b/>
          <w:bCs/>
          <w:sz w:val="22"/>
          <w:szCs w:val="24"/>
        </w:rPr>
        <w:t>“</w:t>
      </w:r>
      <w:r w:rsidRPr="00F109D3">
        <w:rPr>
          <w:b/>
          <w:bCs/>
          <w:sz w:val="22"/>
          <w:szCs w:val="24"/>
        </w:rPr>
        <w:t>basic levy amount</w:t>
      </w:r>
      <w:r w:rsidR="00031F18" w:rsidRPr="00F109D3">
        <w:rPr>
          <w:b/>
          <w:bCs/>
          <w:sz w:val="22"/>
          <w:szCs w:val="24"/>
        </w:rPr>
        <w:t>”</w:t>
      </w:r>
      <w:r w:rsidRPr="006B6C0A">
        <w:rPr>
          <w:bCs/>
          <w:sz w:val="22"/>
          <w:szCs w:val="24"/>
        </w:rPr>
        <w:t>)</w:t>
      </w:r>
      <w:r w:rsidRPr="00F109D3">
        <w:rPr>
          <w:b/>
          <w:bCs/>
          <w:sz w:val="22"/>
          <w:szCs w:val="24"/>
        </w:rPr>
        <w:t xml:space="preserve"> </w:t>
      </w:r>
      <w:r w:rsidRPr="00F109D3">
        <w:rPr>
          <w:sz w:val="22"/>
          <w:szCs w:val="24"/>
        </w:rPr>
        <w:t>ascertained in accordance with the regulations; and</w:t>
      </w:r>
    </w:p>
    <w:p w14:paraId="7FEFD778" w14:textId="77777777" w:rsidR="00C51C52" w:rsidRPr="00F109D3" w:rsidRDefault="00C51C52" w:rsidP="00E66A4C">
      <w:pPr>
        <w:numPr>
          <w:ilvl w:val="0"/>
          <w:numId w:val="1"/>
        </w:numPr>
        <w:shd w:val="clear" w:color="auto" w:fill="FFFFFF"/>
        <w:tabs>
          <w:tab w:val="left" w:pos="787"/>
        </w:tabs>
        <w:spacing w:before="120"/>
        <w:ind w:left="787" w:hanging="394"/>
        <w:jc w:val="both"/>
        <w:rPr>
          <w:sz w:val="22"/>
          <w:szCs w:val="24"/>
        </w:rPr>
      </w:pPr>
      <w:r w:rsidRPr="00F109D3">
        <w:rPr>
          <w:sz w:val="22"/>
          <w:szCs w:val="24"/>
        </w:rPr>
        <w:t>if the return is lodged after the end of the period of grace for the return</w:t>
      </w:r>
      <w:r w:rsidRPr="00F109D3">
        <w:rPr>
          <w:rFonts w:eastAsia="Times New Roman"/>
          <w:sz w:val="22"/>
          <w:szCs w:val="24"/>
        </w:rPr>
        <w:t>—the late lodgment amount worked out under subsection (2).</w:t>
      </w:r>
    </w:p>
    <w:p w14:paraId="2F2A0963" w14:textId="77777777" w:rsidR="00A2470D" w:rsidRPr="00F109D3" w:rsidRDefault="00C51C52" w:rsidP="00E66A4C">
      <w:pPr>
        <w:shd w:val="clear" w:color="auto" w:fill="FFFFFF"/>
        <w:spacing w:before="120"/>
        <w:ind w:left="408"/>
        <w:jc w:val="both"/>
        <w:rPr>
          <w:sz w:val="22"/>
          <w:szCs w:val="24"/>
        </w:rPr>
      </w:pPr>
      <w:r w:rsidRPr="00F109D3">
        <w:rPr>
          <w:sz w:val="22"/>
          <w:szCs w:val="24"/>
        </w:rPr>
        <w:t>(2) The late lodgment amount is the amount obtained by:</w:t>
      </w:r>
    </w:p>
    <w:p w14:paraId="7AB6D8ED" w14:textId="77777777" w:rsidR="00C51C52" w:rsidRPr="00F109D3" w:rsidRDefault="00C51C52" w:rsidP="00E66A4C">
      <w:pPr>
        <w:shd w:val="clear" w:color="auto" w:fill="FFFFFF"/>
        <w:spacing w:before="120"/>
        <w:ind w:left="720" w:hanging="317"/>
        <w:jc w:val="both"/>
        <w:rPr>
          <w:sz w:val="22"/>
          <w:szCs w:val="24"/>
        </w:rPr>
      </w:pPr>
      <w:r w:rsidRPr="00F109D3">
        <w:rPr>
          <w:sz w:val="22"/>
          <w:szCs w:val="24"/>
        </w:rPr>
        <w:t>(a) calculating, for each levy month any part of which occurs in the period commencing at the beginning of the first levy month after the end of the period of grace for the return and ending on the day the return is lodged, whichever is the greater of the following amounts:</w:t>
      </w:r>
    </w:p>
    <w:p w14:paraId="53AD049E" w14:textId="5E523692" w:rsidR="00C51C52" w:rsidRDefault="00C51C52" w:rsidP="00E66A4C">
      <w:pPr>
        <w:shd w:val="clear" w:color="auto" w:fill="FFFFFF"/>
        <w:spacing w:before="120"/>
        <w:ind w:left="1450" w:hanging="346"/>
        <w:rPr>
          <w:sz w:val="22"/>
          <w:szCs w:val="24"/>
        </w:rPr>
      </w:pPr>
      <w:r w:rsidRPr="00F109D3">
        <w:rPr>
          <w:sz w:val="22"/>
          <w:szCs w:val="24"/>
        </w:rPr>
        <w:t>(i) the amount calculated using the following formula and rounded up to the nearest whole dollar:</w:t>
      </w:r>
    </w:p>
    <w:p w14:paraId="13045EE0" w14:textId="2C8930B1" w:rsidR="006B6C0A" w:rsidRPr="00F109D3" w:rsidRDefault="006B6C0A" w:rsidP="006B6C0A">
      <w:pPr>
        <w:shd w:val="clear" w:color="auto" w:fill="FFFFFF"/>
        <w:spacing w:before="120"/>
        <w:ind w:left="1450" w:hanging="346"/>
        <w:jc w:val="center"/>
        <w:rPr>
          <w:sz w:val="22"/>
          <w:szCs w:val="24"/>
        </w:rPr>
      </w:pPr>
      <w:r w:rsidRPr="006B6C0A">
        <w:rPr>
          <w:position w:val="-20"/>
          <w:sz w:val="22"/>
          <w:szCs w:val="24"/>
        </w:rPr>
        <w:pict w14:anchorId="19A6B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25pt;height:28.8pt">
            <v:imagedata r:id="rId9" o:title=""/>
          </v:shape>
        </w:pict>
      </w:r>
    </w:p>
    <w:p w14:paraId="4C72E5B5" w14:textId="77777777" w:rsidR="00C51C52" w:rsidRPr="00F109D3" w:rsidRDefault="00C51C52" w:rsidP="00E66A4C">
      <w:pPr>
        <w:spacing w:before="120"/>
        <w:rPr>
          <w:sz w:val="22"/>
          <w:szCs w:val="24"/>
        </w:rPr>
        <w:sectPr w:rsidR="00C51C52" w:rsidRPr="00F109D3" w:rsidSect="00C17415">
          <w:headerReference w:type="first" r:id="rId10"/>
          <w:pgSz w:w="12240" w:h="15840" w:code="1"/>
          <w:pgMar w:top="1440" w:right="1440" w:bottom="1440" w:left="1440" w:header="720" w:footer="720" w:gutter="0"/>
          <w:cols w:space="60"/>
          <w:noEndnote/>
          <w:titlePg/>
          <w:docGrid w:linePitch="272"/>
        </w:sectPr>
      </w:pPr>
    </w:p>
    <w:p w14:paraId="6EE33A8D" w14:textId="77777777" w:rsidR="00C51C52" w:rsidRPr="00F109D3" w:rsidRDefault="00C51C52" w:rsidP="00E66A4C">
      <w:pPr>
        <w:shd w:val="clear" w:color="auto" w:fill="FFFFFF"/>
        <w:spacing w:before="120"/>
        <w:ind w:left="1296"/>
        <w:rPr>
          <w:sz w:val="22"/>
          <w:szCs w:val="24"/>
        </w:rPr>
      </w:pPr>
      <w:r w:rsidRPr="00F109D3">
        <w:rPr>
          <w:sz w:val="22"/>
          <w:szCs w:val="24"/>
        </w:rPr>
        <w:lastRenderedPageBreak/>
        <w:t>where:</w:t>
      </w:r>
    </w:p>
    <w:p w14:paraId="1E4A3659" w14:textId="77777777" w:rsidR="00C51C52" w:rsidRPr="00F109D3" w:rsidRDefault="00031F18" w:rsidP="00E66A4C">
      <w:pPr>
        <w:shd w:val="clear" w:color="auto" w:fill="FFFFFF"/>
        <w:spacing w:before="120"/>
        <w:ind w:left="1296"/>
        <w:rPr>
          <w:sz w:val="22"/>
          <w:szCs w:val="24"/>
        </w:rPr>
      </w:pPr>
      <w:r w:rsidRPr="00F109D3">
        <w:rPr>
          <w:b/>
          <w:bCs/>
          <w:sz w:val="22"/>
          <w:szCs w:val="24"/>
        </w:rPr>
        <w:t>“</w:t>
      </w:r>
      <w:r w:rsidR="00C51C52" w:rsidRPr="00F109D3">
        <w:rPr>
          <w:b/>
          <w:bCs/>
          <w:sz w:val="22"/>
          <w:szCs w:val="24"/>
        </w:rPr>
        <w:t>Basic levy amount</w:t>
      </w:r>
      <w:r w:rsidRPr="00F109D3">
        <w:rPr>
          <w:b/>
          <w:bCs/>
          <w:sz w:val="22"/>
          <w:szCs w:val="24"/>
        </w:rPr>
        <w:t>”</w:t>
      </w:r>
      <w:r w:rsidR="00C51C52" w:rsidRPr="00F109D3">
        <w:rPr>
          <w:b/>
          <w:bCs/>
          <w:sz w:val="22"/>
          <w:szCs w:val="24"/>
        </w:rPr>
        <w:t xml:space="preserve"> </w:t>
      </w:r>
      <w:r w:rsidR="00C51C52" w:rsidRPr="00F109D3">
        <w:rPr>
          <w:sz w:val="22"/>
          <w:szCs w:val="24"/>
        </w:rPr>
        <w:t>means the basic levy amount for the return;</w:t>
      </w:r>
    </w:p>
    <w:p w14:paraId="5C9C56BA" w14:textId="7FC18C58" w:rsidR="006B6C0A" w:rsidRDefault="00C51C52" w:rsidP="00E66A4C">
      <w:pPr>
        <w:shd w:val="clear" w:color="auto" w:fill="FFFFFF"/>
        <w:spacing w:before="120" w:after="120"/>
        <w:ind w:left="1450" w:hanging="346"/>
        <w:jc w:val="both"/>
        <w:rPr>
          <w:sz w:val="22"/>
          <w:szCs w:val="24"/>
        </w:rPr>
      </w:pPr>
      <w:r w:rsidRPr="00F109D3">
        <w:rPr>
          <w:sz w:val="22"/>
          <w:szCs w:val="24"/>
        </w:rPr>
        <w:t>(ii) the amount calculated using the following formula and rounded up to the nearest whole dollar:</w:t>
      </w:r>
    </w:p>
    <w:p w14:paraId="3F321217" w14:textId="1D6AD439" w:rsidR="006B6C0A" w:rsidRPr="00F109D3" w:rsidRDefault="006B6C0A" w:rsidP="006B6C0A">
      <w:pPr>
        <w:shd w:val="clear" w:color="auto" w:fill="FFFFFF"/>
        <w:spacing w:before="120" w:after="120"/>
        <w:ind w:left="1450" w:hanging="346"/>
        <w:jc w:val="center"/>
        <w:rPr>
          <w:sz w:val="22"/>
          <w:szCs w:val="24"/>
        </w:rPr>
      </w:pPr>
      <w:r w:rsidRPr="006B6C0A">
        <w:rPr>
          <w:position w:val="-10"/>
          <w:sz w:val="22"/>
          <w:szCs w:val="24"/>
        </w:rPr>
        <w:pict w14:anchorId="4C66C39A">
          <v:shape id="_x0000_i1040" type="#_x0000_t75" style="width:176.25pt;height:15pt">
            <v:imagedata r:id="rId11" o:title=""/>
          </v:shape>
        </w:pict>
      </w:r>
    </w:p>
    <w:p w14:paraId="4F7169BA" w14:textId="77777777" w:rsidR="00C51C52" w:rsidRPr="00F109D3" w:rsidRDefault="00C51C52" w:rsidP="00E66A4C">
      <w:pPr>
        <w:shd w:val="clear" w:color="auto" w:fill="FFFFFF"/>
        <w:spacing w:before="120"/>
        <w:ind w:left="1440"/>
        <w:rPr>
          <w:sz w:val="22"/>
          <w:szCs w:val="24"/>
        </w:rPr>
      </w:pPr>
      <w:r w:rsidRPr="00F109D3">
        <w:rPr>
          <w:sz w:val="22"/>
          <w:szCs w:val="24"/>
        </w:rPr>
        <w:t>where:</w:t>
      </w:r>
    </w:p>
    <w:p w14:paraId="4CF1E0A8" w14:textId="77777777" w:rsidR="00C51C52" w:rsidRPr="00F109D3" w:rsidRDefault="00031F18" w:rsidP="00E66A4C">
      <w:pPr>
        <w:shd w:val="clear" w:color="auto" w:fill="FFFFFF"/>
        <w:spacing w:before="120"/>
        <w:ind w:left="1445"/>
        <w:rPr>
          <w:sz w:val="22"/>
          <w:szCs w:val="24"/>
        </w:rPr>
      </w:pPr>
      <w:r w:rsidRPr="00F109D3">
        <w:rPr>
          <w:b/>
          <w:bCs/>
          <w:sz w:val="22"/>
          <w:szCs w:val="24"/>
        </w:rPr>
        <w:t>“</w:t>
      </w:r>
      <w:r w:rsidR="00C51C52" w:rsidRPr="00F109D3">
        <w:rPr>
          <w:b/>
          <w:bCs/>
          <w:sz w:val="22"/>
          <w:szCs w:val="24"/>
        </w:rPr>
        <w:t>Minimum basic levy amount</w:t>
      </w:r>
      <w:r w:rsidRPr="00F109D3">
        <w:rPr>
          <w:b/>
          <w:bCs/>
          <w:sz w:val="22"/>
          <w:szCs w:val="24"/>
        </w:rPr>
        <w:t>”</w:t>
      </w:r>
      <w:r w:rsidR="00C51C52" w:rsidRPr="00F109D3">
        <w:rPr>
          <w:b/>
          <w:bCs/>
          <w:sz w:val="22"/>
          <w:szCs w:val="24"/>
        </w:rPr>
        <w:t xml:space="preserve"> </w:t>
      </w:r>
      <w:r w:rsidR="00C51C52" w:rsidRPr="00F109D3">
        <w:rPr>
          <w:sz w:val="22"/>
          <w:szCs w:val="24"/>
        </w:rPr>
        <w:t>means the minimum basic levy amount for the year of income; and</w:t>
      </w:r>
    </w:p>
    <w:p w14:paraId="76446FEF" w14:textId="77777777" w:rsidR="00C51C52" w:rsidRPr="00F109D3" w:rsidRDefault="00C51C52" w:rsidP="00E66A4C">
      <w:pPr>
        <w:shd w:val="clear" w:color="auto" w:fill="FFFFFF"/>
        <w:spacing w:before="120"/>
        <w:ind w:left="394"/>
        <w:rPr>
          <w:sz w:val="22"/>
          <w:szCs w:val="24"/>
        </w:rPr>
      </w:pPr>
      <w:r w:rsidRPr="00F109D3">
        <w:rPr>
          <w:sz w:val="22"/>
          <w:szCs w:val="24"/>
        </w:rPr>
        <w:t>(b) aggregating those amounts.</w:t>
      </w:r>
    </w:p>
    <w:p w14:paraId="3A871B09" w14:textId="77777777" w:rsidR="00C51C52" w:rsidRPr="00F109D3" w:rsidRDefault="00C51C52" w:rsidP="00E66A4C">
      <w:pPr>
        <w:shd w:val="clear" w:color="auto" w:fill="FFFFFF"/>
        <w:spacing w:before="120"/>
        <w:ind w:firstLine="346"/>
        <w:jc w:val="both"/>
        <w:rPr>
          <w:sz w:val="22"/>
          <w:szCs w:val="24"/>
        </w:rPr>
      </w:pPr>
      <w:r w:rsidRPr="00F109D3">
        <w:rPr>
          <w:b/>
          <w:bCs/>
          <w:sz w:val="22"/>
          <w:szCs w:val="24"/>
        </w:rPr>
        <w:t>(3)</w:t>
      </w:r>
      <w:r w:rsidRPr="00F109D3">
        <w:rPr>
          <w:sz w:val="22"/>
          <w:szCs w:val="24"/>
        </w:rPr>
        <w:t xml:space="preserve"> In calculating, for the purposes of this section, the greater of 2 amounts, if those amounts are equal, the first-mentioned amount is taken to be greater than the other amount.</w:t>
      </w:r>
    </w:p>
    <w:p w14:paraId="6C2501CE" w14:textId="77777777" w:rsidR="00A2470D" w:rsidRPr="00F109D3" w:rsidRDefault="00A2470D" w:rsidP="00E66A4C">
      <w:pPr>
        <w:shd w:val="clear" w:color="auto" w:fill="FFFFFF"/>
        <w:spacing w:before="120"/>
        <w:ind w:firstLine="346"/>
        <w:jc w:val="both"/>
        <w:rPr>
          <w:sz w:val="22"/>
          <w:szCs w:val="24"/>
        </w:rPr>
      </w:pPr>
    </w:p>
    <w:p w14:paraId="62C33E5C" w14:textId="77777777" w:rsidR="00C51C52" w:rsidRPr="00F109D3" w:rsidRDefault="00C51C52" w:rsidP="00E66A4C">
      <w:pPr>
        <w:shd w:val="clear" w:color="auto" w:fill="FFFFFF"/>
        <w:spacing w:before="120"/>
        <w:ind w:firstLine="346"/>
        <w:jc w:val="both"/>
        <w:rPr>
          <w:sz w:val="22"/>
          <w:szCs w:val="24"/>
        </w:rPr>
        <w:sectPr w:rsidR="00C51C52" w:rsidRPr="00F109D3" w:rsidSect="00C17415">
          <w:type w:val="continuous"/>
          <w:pgSz w:w="12240" w:h="15840" w:code="1"/>
          <w:pgMar w:top="1440" w:right="1440" w:bottom="1440" w:left="1440" w:header="720" w:footer="720" w:gutter="0"/>
          <w:cols w:space="60"/>
          <w:noEndnote/>
        </w:sectPr>
      </w:pPr>
    </w:p>
    <w:p w14:paraId="773C3971" w14:textId="77777777" w:rsidR="00C51C52" w:rsidRPr="00F109D3" w:rsidRDefault="00C51C52" w:rsidP="00E66A4C">
      <w:pPr>
        <w:numPr>
          <w:ilvl w:val="0"/>
          <w:numId w:val="2"/>
        </w:numPr>
        <w:shd w:val="clear" w:color="auto" w:fill="FFFFFF"/>
        <w:tabs>
          <w:tab w:val="left" w:pos="744"/>
        </w:tabs>
        <w:spacing w:before="120"/>
        <w:ind w:left="350"/>
        <w:rPr>
          <w:b/>
          <w:bCs/>
          <w:sz w:val="22"/>
          <w:szCs w:val="24"/>
        </w:rPr>
      </w:pPr>
      <w:r w:rsidRPr="00F109D3">
        <w:rPr>
          <w:sz w:val="22"/>
          <w:szCs w:val="24"/>
        </w:rPr>
        <w:lastRenderedPageBreak/>
        <w:t>The basic levy amount for a return must not exceed $30,000.</w:t>
      </w:r>
    </w:p>
    <w:p w14:paraId="5C74A513" w14:textId="77777777" w:rsidR="00C51C52" w:rsidRPr="00F109D3" w:rsidRDefault="00C51C52" w:rsidP="00E66A4C">
      <w:pPr>
        <w:numPr>
          <w:ilvl w:val="0"/>
          <w:numId w:val="3"/>
        </w:numPr>
        <w:shd w:val="clear" w:color="auto" w:fill="FFFFFF"/>
        <w:tabs>
          <w:tab w:val="left" w:pos="744"/>
        </w:tabs>
        <w:spacing w:before="120"/>
        <w:ind w:left="10" w:firstLine="341"/>
        <w:jc w:val="both"/>
        <w:rPr>
          <w:b/>
          <w:bCs/>
          <w:sz w:val="22"/>
          <w:szCs w:val="24"/>
        </w:rPr>
      </w:pPr>
      <w:r w:rsidRPr="00F109D3">
        <w:rPr>
          <w:sz w:val="22"/>
          <w:szCs w:val="24"/>
        </w:rPr>
        <w:t>The regulations may provide for different basic levy amounts for different classes of funds or unit trusts.</w:t>
      </w:r>
    </w:p>
    <w:p w14:paraId="01EDC204" w14:textId="77777777" w:rsidR="00C51C52" w:rsidRPr="00F109D3" w:rsidRDefault="00C51C52" w:rsidP="00E66A4C">
      <w:pPr>
        <w:shd w:val="clear" w:color="auto" w:fill="FFFFFF"/>
        <w:spacing w:before="120"/>
        <w:ind w:left="10"/>
        <w:rPr>
          <w:sz w:val="22"/>
          <w:szCs w:val="24"/>
        </w:rPr>
      </w:pPr>
      <w:r w:rsidRPr="00F109D3">
        <w:rPr>
          <w:b/>
          <w:bCs/>
          <w:sz w:val="22"/>
          <w:szCs w:val="24"/>
        </w:rPr>
        <w:t>Regulations</w:t>
      </w:r>
    </w:p>
    <w:p w14:paraId="1938CD73" w14:textId="77777777" w:rsidR="00C51C52" w:rsidRPr="00F109D3" w:rsidRDefault="00C51C52" w:rsidP="00E66A4C">
      <w:pPr>
        <w:shd w:val="clear" w:color="auto" w:fill="FFFFFF"/>
        <w:spacing w:before="120"/>
        <w:ind w:firstLine="346"/>
        <w:jc w:val="both"/>
        <w:rPr>
          <w:sz w:val="22"/>
          <w:szCs w:val="24"/>
        </w:rPr>
      </w:pPr>
      <w:r w:rsidRPr="00F109D3">
        <w:rPr>
          <w:b/>
          <w:sz w:val="22"/>
          <w:szCs w:val="24"/>
        </w:rPr>
        <w:t>7.</w:t>
      </w:r>
      <w:r w:rsidRPr="00F109D3">
        <w:rPr>
          <w:sz w:val="22"/>
          <w:szCs w:val="24"/>
        </w:rPr>
        <w:t xml:space="preserve"> </w:t>
      </w:r>
      <w:r w:rsidRPr="00F109D3">
        <w:rPr>
          <w:b/>
          <w:bCs/>
          <w:sz w:val="22"/>
          <w:szCs w:val="24"/>
        </w:rPr>
        <w:t xml:space="preserve">(1) </w:t>
      </w:r>
      <w:r w:rsidRPr="00F109D3">
        <w:rPr>
          <w:sz w:val="22"/>
          <w:szCs w:val="24"/>
        </w:rPr>
        <w:t>The Governor-General may make regulations for the purposes of section 6.</w:t>
      </w:r>
    </w:p>
    <w:p w14:paraId="332E7EE3" w14:textId="77777777" w:rsidR="00C51C52" w:rsidRPr="00F109D3" w:rsidRDefault="00C51C52" w:rsidP="00E66A4C">
      <w:pPr>
        <w:numPr>
          <w:ilvl w:val="0"/>
          <w:numId w:val="4"/>
        </w:numPr>
        <w:shd w:val="clear" w:color="auto" w:fill="FFFFFF"/>
        <w:tabs>
          <w:tab w:val="left" w:pos="763"/>
        </w:tabs>
        <w:spacing w:before="120"/>
        <w:ind w:left="24" w:firstLine="341"/>
        <w:jc w:val="both"/>
        <w:rPr>
          <w:b/>
          <w:bCs/>
          <w:sz w:val="22"/>
          <w:szCs w:val="24"/>
        </w:rPr>
      </w:pPr>
      <w:r w:rsidRPr="00F109D3">
        <w:rPr>
          <w:sz w:val="22"/>
          <w:szCs w:val="24"/>
        </w:rPr>
        <w:t>Before regulations are made for the purposes of section 6, the Commissioner must consult the Association of Superannuation Funds of Australia, the Life Insurance Federation of Australia and such other persons as the Commissioner considers appropriate.</w:t>
      </w:r>
    </w:p>
    <w:p w14:paraId="19C6873C" w14:textId="77777777" w:rsidR="00C51C52" w:rsidRPr="00F109D3" w:rsidRDefault="00C51C52" w:rsidP="00E66A4C">
      <w:pPr>
        <w:numPr>
          <w:ilvl w:val="0"/>
          <w:numId w:val="4"/>
        </w:numPr>
        <w:shd w:val="clear" w:color="auto" w:fill="FFFFFF"/>
        <w:tabs>
          <w:tab w:val="left" w:pos="763"/>
        </w:tabs>
        <w:spacing w:before="120"/>
        <w:ind w:left="24" w:firstLine="341"/>
        <w:jc w:val="both"/>
        <w:rPr>
          <w:b/>
          <w:bCs/>
          <w:sz w:val="22"/>
          <w:szCs w:val="24"/>
        </w:rPr>
      </w:pPr>
      <w:r w:rsidRPr="00F109D3">
        <w:rPr>
          <w:sz w:val="22"/>
          <w:szCs w:val="24"/>
        </w:rPr>
        <w:t>A failure to comply with subsection (2) does not affect the validity of the regulations.</w:t>
      </w:r>
    </w:p>
    <w:p w14:paraId="703EC82F" w14:textId="77777777" w:rsidR="00C51C52" w:rsidRPr="00F109D3" w:rsidRDefault="00447371" w:rsidP="00E66A4C">
      <w:pPr>
        <w:shd w:val="clear" w:color="auto" w:fill="FFFFFF"/>
        <w:spacing w:before="480"/>
        <w:ind w:left="34"/>
        <w:rPr>
          <w:sz w:val="22"/>
          <w:szCs w:val="24"/>
        </w:rPr>
      </w:pPr>
      <w:r w:rsidRPr="00F109D3">
        <w:rPr>
          <w:noProof/>
          <w:sz w:val="22"/>
          <w:szCs w:val="24"/>
          <w:lang w:val="en-AU" w:eastAsia="en-AU"/>
        </w:rPr>
        <mc:AlternateContent>
          <mc:Choice Requires="wps">
            <w:drawing>
              <wp:anchor distT="0" distB="0" distL="114300" distR="114300" simplePos="0" relativeHeight="251655680" behindDoc="0" locked="0" layoutInCell="1" allowOverlap="1" wp14:anchorId="2E9F7F5F" wp14:editId="37E62379">
                <wp:simplePos x="0" y="0"/>
                <wp:positionH relativeFrom="column">
                  <wp:posOffset>-25880</wp:posOffset>
                </wp:positionH>
                <wp:positionV relativeFrom="paragraph">
                  <wp:posOffset>168095</wp:posOffset>
                </wp:positionV>
                <wp:extent cx="591772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917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D7752F"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05pt,13.25pt" to="463.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" strokecolor="black [3040]"/>
            </w:pict>
          </mc:Fallback>
        </mc:AlternateContent>
      </w:r>
      <w:r w:rsidR="00C51C52" w:rsidRPr="00F109D3">
        <w:rPr>
          <w:sz w:val="22"/>
          <w:szCs w:val="24"/>
        </w:rPr>
        <w:t>[</w:t>
      </w:r>
      <w:r w:rsidR="00C51C52" w:rsidRPr="00F109D3">
        <w:rPr>
          <w:i/>
          <w:iCs/>
          <w:sz w:val="22"/>
          <w:szCs w:val="24"/>
        </w:rPr>
        <w:t>Minister</w:t>
      </w:r>
      <w:r w:rsidR="00031F18" w:rsidRPr="00F109D3">
        <w:rPr>
          <w:i/>
          <w:iCs/>
          <w:sz w:val="22"/>
          <w:szCs w:val="24"/>
        </w:rPr>
        <w:t>’</w:t>
      </w:r>
      <w:r w:rsidR="00C51C52" w:rsidRPr="00F109D3">
        <w:rPr>
          <w:i/>
          <w:iCs/>
          <w:sz w:val="22"/>
          <w:szCs w:val="24"/>
        </w:rPr>
        <w:t>s second reading speech made in</w:t>
      </w:r>
      <w:r w:rsidR="00C51C52" w:rsidRPr="00F109D3">
        <w:rPr>
          <w:rFonts w:eastAsia="Times New Roman"/>
          <w:sz w:val="22"/>
          <w:szCs w:val="24"/>
        </w:rPr>
        <w:t>—</w:t>
      </w:r>
    </w:p>
    <w:p w14:paraId="3392A68A" w14:textId="77777777" w:rsidR="00C51C52" w:rsidRPr="00F109D3" w:rsidRDefault="00C51C52" w:rsidP="00E66A4C">
      <w:pPr>
        <w:shd w:val="clear" w:color="auto" w:fill="FFFFFF"/>
        <w:ind w:left="792"/>
        <w:rPr>
          <w:sz w:val="22"/>
          <w:szCs w:val="24"/>
        </w:rPr>
      </w:pPr>
      <w:r w:rsidRPr="00F109D3">
        <w:rPr>
          <w:i/>
          <w:iCs/>
          <w:sz w:val="22"/>
          <w:szCs w:val="24"/>
        </w:rPr>
        <w:t>House of Representatives on 7 March 1991</w:t>
      </w:r>
    </w:p>
    <w:p w14:paraId="1C0BD287" w14:textId="265C4A0D" w:rsidR="00C51C52" w:rsidRPr="00F109D3" w:rsidRDefault="00AD64F2" w:rsidP="00E66A4C">
      <w:pPr>
        <w:shd w:val="clear" w:color="auto" w:fill="FFFFFF"/>
        <w:ind w:left="792"/>
        <w:rPr>
          <w:sz w:val="22"/>
          <w:szCs w:val="24"/>
        </w:rPr>
      </w:pPr>
      <w:r>
        <w:rPr>
          <w:i/>
          <w:iCs/>
          <w:sz w:val="22"/>
          <w:szCs w:val="24"/>
        </w:rPr>
        <w:t>Senate on 15 April 1991</w:t>
      </w:r>
      <w:r w:rsidRPr="006B6C0A">
        <w:rPr>
          <w:iCs/>
          <w:sz w:val="22"/>
          <w:szCs w:val="24"/>
        </w:rPr>
        <w:t>]</w:t>
      </w:r>
      <w:bookmarkStart w:id="0" w:name="_GoBack"/>
      <w:bookmarkEnd w:id="0"/>
    </w:p>
    <w:sectPr w:rsidR="00C51C52" w:rsidRPr="00F109D3" w:rsidSect="00C17415">
      <w:headerReference w:type="first" r:id="rId12"/>
      <w:pgSz w:w="12240" w:h="15840" w:code="1"/>
      <w:pgMar w:top="1440" w:right="1440" w:bottom="1440" w:left="1440" w:header="720" w:footer="720" w:gutter="0"/>
      <w:cols w:space="6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6AD86" w15:done="0"/>
  <w15:commentEx w15:paraId="64E96F59" w15:done="0"/>
  <w15:commentEx w15:paraId="7B4112C4" w15:done="0"/>
  <w15:commentEx w15:paraId="617142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6AD86" w16cid:durableId="207594FC"/>
  <w16cid:commentId w16cid:paraId="64E96F59" w16cid:durableId="20759504"/>
  <w16cid:commentId w16cid:paraId="7B4112C4" w16cid:durableId="20759511"/>
  <w16cid:commentId w16cid:paraId="617142D9" w16cid:durableId="207595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86BE1" w14:textId="77777777" w:rsidR="009A0430" w:rsidRDefault="009A0430" w:rsidP="00332AAF">
      <w:r>
        <w:separator/>
      </w:r>
    </w:p>
  </w:endnote>
  <w:endnote w:type="continuationSeparator" w:id="0">
    <w:p w14:paraId="04C2CE89" w14:textId="77777777" w:rsidR="009A0430" w:rsidRDefault="009A0430" w:rsidP="0033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4207B" w14:textId="77777777" w:rsidR="009A0430" w:rsidRDefault="009A0430" w:rsidP="00332AAF">
      <w:r>
        <w:separator/>
      </w:r>
    </w:p>
  </w:footnote>
  <w:footnote w:type="continuationSeparator" w:id="0">
    <w:p w14:paraId="6F5EF66C" w14:textId="77777777" w:rsidR="009A0430" w:rsidRDefault="009A0430" w:rsidP="0033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4F4B1" w14:textId="77777777" w:rsidR="00332AAF" w:rsidRPr="005A58E3" w:rsidRDefault="00332AAF" w:rsidP="00332AAF">
    <w:pPr>
      <w:pStyle w:val="Header"/>
      <w:tabs>
        <w:tab w:val="clear" w:pos="4680"/>
        <w:tab w:val="center" w:pos="4410"/>
        <w:tab w:val="left" w:pos="5670"/>
      </w:tabs>
      <w:jc w:val="center"/>
      <w:rPr>
        <w:sz w:val="22"/>
      </w:rPr>
    </w:pPr>
    <w:r w:rsidRPr="005A58E3">
      <w:rPr>
        <w:i/>
        <w:iCs/>
        <w:sz w:val="22"/>
        <w:szCs w:val="24"/>
      </w:rPr>
      <w:t>Superannuation Supervisory Levy</w:t>
    </w:r>
    <w:r w:rsidRPr="005A58E3">
      <w:rPr>
        <w:i/>
        <w:iCs/>
        <w:sz w:val="22"/>
        <w:szCs w:val="24"/>
      </w:rPr>
      <w:tab/>
      <w:t>No. 61,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4216" w14:textId="77777777" w:rsidR="00332AAF" w:rsidRPr="005A58E3" w:rsidRDefault="00332AAF" w:rsidP="00332AAF">
    <w:pPr>
      <w:pStyle w:val="Header"/>
      <w:tabs>
        <w:tab w:val="clear" w:pos="4680"/>
        <w:tab w:val="center" w:pos="4410"/>
        <w:tab w:val="left" w:pos="5670"/>
      </w:tabs>
      <w:jc w:val="center"/>
      <w:rPr>
        <w:sz w:val="22"/>
      </w:rPr>
    </w:pPr>
    <w:r w:rsidRPr="005A58E3">
      <w:rPr>
        <w:i/>
        <w:iCs/>
        <w:sz w:val="22"/>
        <w:szCs w:val="24"/>
      </w:rPr>
      <w:t>Superannuation Supervisory Levy</w:t>
    </w:r>
    <w:r w:rsidRPr="005A58E3">
      <w:rPr>
        <w:i/>
        <w:iCs/>
        <w:sz w:val="22"/>
        <w:szCs w:val="24"/>
      </w:rPr>
      <w:tab/>
      <w:t>No. 61,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0095"/>
    <w:multiLevelType w:val="singleLevel"/>
    <w:tmpl w:val="0BCE2A50"/>
    <w:lvl w:ilvl="0">
      <w:start w:val="2"/>
      <w:numFmt w:val="decimal"/>
      <w:lvlText w:val="(%1)"/>
      <w:legacy w:legacy="1" w:legacySpace="0" w:legacyIndent="398"/>
      <w:lvlJc w:val="left"/>
      <w:rPr>
        <w:rFonts w:ascii="Times New Roman" w:hAnsi="Times New Roman" w:cs="Times New Roman" w:hint="default"/>
      </w:rPr>
    </w:lvl>
  </w:abstractNum>
  <w:abstractNum w:abstractNumId="1">
    <w:nsid w:val="1E3467EE"/>
    <w:multiLevelType w:val="singleLevel"/>
    <w:tmpl w:val="D8607E06"/>
    <w:lvl w:ilvl="0">
      <w:start w:val="4"/>
      <w:numFmt w:val="decimal"/>
      <w:lvlText w:val="(%1)"/>
      <w:legacy w:legacy="1" w:legacySpace="0" w:legacyIndent="394"/>
      <w:lvlJc w:val="left"/>
      <w:rPr>
        <w:rFonts w:ascii="Times New Roman" w:hAnsi="Times New Roman" w:cs="Times New Roman" w:hint="default"/>
      </w:rPr>
    </w:lvl>
  </w:abstractNum>
  <w:abstractNum w:abstractNumId="2">
    <w:nsid w:val="3C2F270F"/>
    <w:multiLevelType w:val="singleLevel"/>
    <w:tmpl w:val="5E402F00"/>
    <w:lvl w:ilvl="0">
      <w:start w:val="1"/>
      <w:numFmt w:val="lowerLetter"/>
      <w:lvlText w:val="(%1)"/>
      <w:legacy w:legacy="1" w:legacySpace="0" w:legacyIndent="394"/>
      <w:lvlJc w:val="left"/>
      <w:rPr>
        <w:rFonts w:ascii="Times New Roman" w:hAnsi="Times New Roman" w:cs="Times New Roman" w:hint="default"/>
      </w:rPr>
    </w:lvl>
  </w:abstractNum>
  <w:num w:numId="1">
    <w:abstractNumId w:val="2"/>
  </w:num>
  <w:num w:numId="2">
    <w:abstractNumId w:val="1"/>
  </w:num>
  <w:num w:numId="3">
    <w:abstractNumId w:val="1"/>
    <w:lvlOverride w:ilvl="0">
      <w:lvl w:ilvl="0">
        <w:start w:val="4"/>
        <w:numFmt w:val="decimal"/>
        <w:lvlText w:val="(%1)"/>
        <w:legacy w:legacy="1" w:legacySpace="0" w:legacyIndent="393"/>
        <w:lvlJc w:val="left"/>
        <w:rPr>
          <w:rFonts w:ascii="Times New Roman" w:hAnsi="Times New Roman" w:cs="Times New Roman" w:hint="default"/>
        </w:rPr>
      </w:lvl>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18"/>
    <w:rsid w:val="00000A23"/>
    <w:rsid w:val="00031F18"/>
    <w:rsid w:val="00181333"/>
    <w:rsid w:val="0019198F"/>
    <w:rsid w:val="001E030F"/>
    <w:rsid w:val="00275151"/>
    <w:rsid w:val="002E2ED6"/>
    <w:rsid w:val="00332AAF"/>
    <w:rsid w:val="003B371A"/>
    <w:rsid w:val="00442244"/>
    <w:rsid w:val="00447371"/>
    <w:rsid w:val="004E6072"/>
    <w:rsid w:val="005A58E3"/>
    <w:rsid w:val="006415E0"/>
    <w:rsid w:val="006B6C0A"/>
    <w:rsid w:val="00782D63"/>
    <w:rsid w:val="00883043"/>
    <w:rsid w:val="009A0430"/>
    <w:rsid w:val="00A2470D"/>
    <w:rsid w:val="00AD33E3"/>
    <w:rsid w:val="00AD64F2"/>
    <w:rsid w:val="00B12A39"/>
    <w:rsid w:val="00C17415"/>
    <w:rsid w:val="00C23312"/>
    <w:rsid w:val="00C51C52"/>
    <w:rsid w:val="00CB6DB7"/>
    <w:rsid w:val="00CF0298"/>
    <w:rsid w:val="00E03895"/>
    <w:rsid w:val="00E66A4C"/>
    <w:rsid w:val="00E73394"/>
    <w:rsid w:val="00F1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2B97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AAF"/>
    <w:pPr>
      <w:tabs>
        <w:tab w:val="center" w:pos="4680"/>
        <w:tab w:val="right" w:pos="9360"/>
      </w:tabs>
    </w:pPr>
  </w:style>
  <w:style w:type="character" w:customStyle="1" w:styleId="HeaderChar">
    <w:name w:val="Header Char"/>
    <w:basedOn w:val="DefaultParagraphFont"/>
    <w:link w:val="Header"/>
    <w:uiPriority w:val="99"/>
    <w:rsid w:val="00332AAF"/>
    <w:rPr>
      <w:rFonts w:ascii="Times New Roman" w:hAnsi="Times New Roman"/>
      <w:sz w:val="20"/>
      <w:szCs w:val="20"/>
    </w:rPr>
  </w:style>
  <w:style w:type="paragraph" w:styleId="Footer">
    <w:name w:val="footer"/>
    <w:basedOn w:val="Normal"/>
    <w:link w:val="FooterChar"/>
    <w:uiPriority w:val="99"/>
    <w:unhideWhenUsed/>
    <w:rsid w:val="00332AAF"/>
    <w:pPr>
      <w:tabs>
        <w:tab w:val="center" w:pos="4680"/>
        <w:tab w:val="right" w:pos="9360"/>
      </w:tabs>
    </w:pPr>
  </w:style>
  <w:style w:type="character" w:customStyle="1" w:styleId="FooterChar">
    <w:name w:val="Footer Char"/>
    <w:basedOn w:val="DefaultParagraphFont"/>
    <w:link w:val="Footer"/>
    <w:uiPriority w:val="99"/>
    <w:rsid w:val="00332AAF"/>
    <w:rPr>
      <w:rFonts w:ascii="Times New Roman" w:hAnsi="Times New Roman"/>
      <w:sz w:val="20"/>
      <w:szCs w:val="20"/>
    </w:rPr>
  </w:style>
  <w:style w:type="paragraph" w:styleId="BalloonText">
    <w:name w:val="Balloon Text"/>
    <w:basedOn w:val="Normal"/>
    <w:link w:val="BalloonTextChar"/>
    <w:uiPriority w:val="99"/>
    <w:semiHidden/>
    <w:unhideWhenUsed/>
    <w:rsid w:val="00883043"/>
    <w:rPr>
      <w:rFonts w:ascii="Tahoma" w:hAnsi="Tahoma" w:cs="Tahoma"/>
      <w:sz w:val="16"/>
      <w:szCs w:val="16"/>
    </w:rPr>
  </w:style>
  <w:style w:type="character" w:customStyle="1" w:styleId="BalloonTextChar">
    <w:name w:val="Balloon Text Char"/>
    <w:basedOn w:val="DefaultParagraphFont"/>
    <w:link w:val="BalloonText"/>
    <w:uiPriority w:val="99"/>
    <w:semiHidden/>
    <w:rsid w:val="00883043"/>
    <w:rPr>
      <w:rFonts w:ascii="Tahoma" w:hAnsi="Tahoma" w:cs="Tahoma"/>
      <w:sz w:val="16"/>
      <w:szCs w:val="16"/>
    </w:rPr>
  </w:style>
  <w:style w:type="character" w:styleId="CommentReference">
    <w:name w:val="annotation reference"/>
    <w:basedOn w:val="DefaultParagraphFont"/>
    <w:uiPriority w:val="99"/>
    <w:semiHidden/>
    <w:unhideWhenUsed/>
    <w:rsid w:val="00B12A39"/>
    <w:rPr>
      <w:sz w:val="16"/>
      <w:szCs w:val="16"/>
    </w:rPr>
  </w:style>
  <w:style w:type="paragraph" w:styleId="CommentText">
    <w:name w:val="annotation text"/>
    <w:basedOn w:val="Normal"/>
    <w:link w:val="CommentTextChar"/>
    <w:uiPriority w:val="99"/>
    <w:semiHidden/>
    <w:unhideWhenUsed/>
    <w:rsid w:val="00B12A39"/>
  </w:style>
  <w:style w:type="character" w:customStyle="1" w:styleId="CommentTextChar">
    <w:name w:val="Comment Text Char"/>
    <w:basedOn w:val="DefaultParagraphFont"/>
    <w:link w:val="CommentText"/>
    <w:uiPriority w:val="99"/>
    <w:semiHidden/>
    <w:rsid w:val="00B12A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2A39"/>
    <w:rPr>
      <w:b/>
      <w:bCs/>
    </w:rPr>
  </w:style>
  <w:style w:type="character" w:customStyle="1" w:styleId="CommentSubjectChar">
    <w:name w:val="Comment Subject Char"/>
    <w:basedOn w:val="CommentTextChar"/>
    <w:link w:val="CommentSubject"/>
    <w:uiPriority w:val="99"/>
    <w:semiHidden/>
    <w:rsid w:val="00B12A39"/>
    <w:rPr>
      <w:rFonts w:ascii="Times New Roman" w:hAnsi="Times New Roman"/>
      <w:b/>
      <w:bCs/>
      <w:sz w:val="20"/>
      <w:szCs w:val="20"/>
    </w:rPr>
  </w:style>
  <w:style w:type="paragraph" w:styleId="Revision">
    <w:name w:val="Revision"/>
    <w:hidden/>
    <w:uiPriority w:val="99"/>
    <w:semiHidden/>
    <w:rsid w:val="006B6C0A"/>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AAF"/>
    <w:pPr>
      <w:tabs>
        <w:tab w:val="center" w:pos="4680"/>
        <w:tab w:val="right" w:pos="9360"/>
      </w:tabs>
    </w:pPr>
  </w:style>
  <w:style w:type="character" w:customStyle="1" w:styleId="HeaderChar">
    <w:name w:val="Header Char"/>
    <w:basedOn w:val="DefaultParagraphFont"/>
    <w:link w:val="Header"/>
    <w:uiPriority w:val="99"/>
    <w:rsid w:val="00332AAF"/>
    <w:rPr>
      <w:rFonts w:ascii="Times New Roman" w:hAnsi="Times New Roman"/>
      <w:sz w:val="20"/>
      <w:szCs w:val="20"/>
    </w:rPr>
  </w:style>
  <w:style w:type="paragraph" w:styleId="Footer">
    <w:name w:val="footer"/>
    <w:basedOn w:val="Normal"/>
    <w:link w:val="FooterChar"/>
    <w:uiPriority w:val="99"/>
    <w:unhideWhenUsed/>
    <w:rsid w:val="00332AAF"/>
    <w:pPr>
      <w:tabs>
        <w:tab w:val="center" w:pos="4680"/>
        <w:tab w:val="right" w:pos="9360"/>
      </w:tabs>
    </w:pPr>
  </w:style>
  <w:style w:type="character" w:customStyle="1" w:styleId="FooterChar">
    <w:name w:val="Footer Char"/>
    <w:basedOn w:val="DefaultParagraphFont"/>
    <w:link w:val="Footer"/>
    <w:uiPriority w:val="99"/>
    <w:rsid w:val="00332AAF"/>
    <w:rPr>
      <w:rFonts w:ascii="Times New Roman" w:hAnsi="Times New Roman"/>
      <w:sz w:val="20"/>
      <w:szCs w:val="20"/>
    </w:rPr>
  </w:style>
  <w:style w:type="paragraph" w:styleId="BalloonText">
    <w:name w:val="Balloon Text"/>
    <w:basedOn w:val="Normal"/>
    <w:link w:val="BalloonTextChar"/>
    <w:uiPriority w:val="99"/>
    <w:semiHidden/>
    <w:unhideWhenUsed/>
    <w:rsid w:val="00883043"/>
    <w:rPr>
      <w:rFonts w:ascii="Tahoma" w:hAnsi="Tahoma" w:cs="Tahoma"/>
      <w:sz w:val="16"/>
      <w:szCs w:val="16"/>
    </w:rPr>
  </w:style>
  <w:style w:type="character" w:customStyle="1" w:styleId="BalloonTextChar">
    <w:name w:val="Balloon Text Char"/>
    <w:basedOn w:val="DefaultParagraphFont"/>
    <w:link w:val="BalloonText"/>
    <w:uiPriority w:val="99"/>
    <w:semiHidden/>
    <w:rsid w:val="00883043"/>
    <w:rPr>
      <w:rFonts w:ascii="Tahoma" w:hAnsi="Tahoma" w:cs="Tahoma"/>
      <w:sz w:val="16"/>
      <w:szCs w:val="16"/>
    </w:rPr>
  </w:style>
  <w:style w:type="character" w:styleId="CommentReference">
    <w:name w:val="annotation reference"/>
    <w:basedOn w:val="DefaultParagraphFont"/>
    <w:uiPriority w:val="99"/>
    <w:semiHidden/>
    <w:unhideWhenUsed/>
    <w:rsid w:val="00B12A39"/>
    <w:rPr>
      <w:sz w:val="16"/>
      <w:szCs w:val="16"/>
    </w:rPr>
  </w:style>
  <w:style w:type="paragraph" w:styleId="CommentText">
    <w:name w:val="annotation text"/>
    <w:basedOn w:val="Normal"/>
    <w:link w:val="CommentTextChar"/>
    <w:uiPriority w:val="99"/>
    <w:semiHidden/>
    <w:unhideWhenUsed/>
    <w:rsid w:val="00B12A39"/>
  </w:style>
  <w:style w:type="character" w:customStyle="1" w:styleId="CommentTextChar">
    <w:name w:val="Comment Text Char"/>
    <w:basedOn w:val="DefaultParagraphFont"/>
    <w:link w:val="CommentText"/>
    <w:uiPriority w:val="99"/>
    <w:semiHidden/>
    <w:rsid w:val="00B12A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2A39"/>
    <w:rPr>
      <w:b/>
      <w:bCs/>
    </w:rPr>
  </w:style>
  <w:style w:type="character" w:customStyle="1" w:styleId="CommentSubjectChar">
    <w:name w:val="Comment Subject Char"/>
    <w:basedOn w:val="CommentTextChar"/>
    <w:link w:val="CommentSubject"/>
    <w:uiPriority w:val="99"/>
    <w:semiHidden/>
    <w:rsid w:val="00B12A39"/>
    <w:rPr>
      <w:rFonts w:ascii="Times New Roman" w:hAnsi="Times New Roman"/>
      <w:b/>
      <w:bCs/>
      <w:sz w:val="20"/>
      <w:szCs w:val="20"/>
    </w:rPr>
  </w:style>
  <w:style w:type="paragraph" w:styleId="Revision">
    <w:name w:val="Revision"/>
    <w:hidden/>
    <w:uiPriority w:val="99"/>
    <w:semiHidden/>
    <w:rsid w:val="006B6C0A"/>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554</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Ziegler, Liesl</cp:lastModifiedBy>
  <cp:revision>3</cp:revision>
  <dcterms:created xsi:type="dcterms:W3CDTF">2019-05-02T06:11:00Z</dcterms:created>
  <dcterms:modified xsi:type="dcterms:W3CDTF">2019-10-11T00:16:00Z</dcterms:modified>
</cp:coreProperties>
</file>