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2998D" w14:textId="77777777" w:rsidR="0053047D" w:rsidRDefault="00CC6794" w:rsidP="00491B95">
      <w:pPr>
        <w:jc w:val="center"/>
        <w:rPr>
          <w:sz w:val="24"/>
          <w:szCs w:val="24"/>
        </w:rPr>
      </w:pPr>
      <w:r>
        <w:rPr>
          <w:noProof/>
          <w:sz w:val="24"/>
          <w:szCs w:val="24"/>
          <w:lang w:val="en-AU" w:eastAsia="en-AU"/>
        </w:rPr>
        <w:drawing>
          <wp:inline distT="0" distB="0" distL="0" distR="0" wp14:anchorId="526883F7" wp14:editId="0E9B80C9">
            <wp:extent cx="1871345" cy="145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456690"/>
                    </a:xfrm>
                    <a:prstGeom prst="rect">
                      <a:avLst/>
                    </a:prstGeom>
                    <a:noFill/>
                    <a:ln>
                      <a:noFill/>
                    </a:ln>
                  </pic:spPr>
                </pic:pic>
              </a:graphicData>
            </a:graphic>
          </wp:inline>
        </w:drawing>
      </w:r>
    </w:p>
    <w:p w14:paraId="3BE98B7E" w14:textId="77777777" w:rsidR="0053047D" w:rsidRPr="00F93009" w:rsidRDefault="0053047D" w:rsidP="008F1C49">
      <w:pPr>
        <w:shd w:val="clear" w:color="auto" w:fill="FFFFFF"/>
        <w:spacing w:before="1118" w:line="278" w:lineRule="exact"/>
        <w:jc w:val="center"/>
        <w:rPr>
          <w:sz w:val="36"/>
          <w:szCs w:val="36"/>
        </w:rPr>
      </w:pPr>
      <w:r w:rsidRPr="00F93009">
        <w:rPr>
          <w:b/>
          <w:bCs/>
          <w:spacing w:val="-7"/>
          <w:position w:val="-5"/>
          <w:sz w:val="36"/>
          <w:szCs w:val="36"/>
        </w:rPr>
        <w:t>Trade Practices Amendment Act 1991</w:t>
      </w:r>
    </w:p>
    <w:p w14:paraId="09992F60" w14:textId="77777777" w:rsidR="00491B95" w:rsidRDefault="00491B95" w:rsidP="00491B95">
      <w:pPr>
        <w:shd w:val="clear" w:color="auto" w:fill="FFFFFF"/>
        <w:jc w:val="center"/>
        <w:rPr>
          <w:b/>
          <w:bCs/>
          <w:sz w:val="24"/>
          <w:szCs w:val="24"/>
        </w:rPr>
      </w:pPr>
    </w:p>
    <w:p w14:paraId="54BB3E1B" w14:textId="77777777" w:rsidR="00491B95" w:rsidRDefault="00491B95" w:rsidP="00491B95">
      <w:pPr>
        <w:shd w:val="clear" w:color="auto" w:fill="FFFFFF"/>
        <w:jc w:val="center"/>
        <w:rPr>
          <w:b/>
          <w:bCs/>
          <w:sz w:val="24"/>
          <w:szCs w:val="24"/>
        </w:rPr>
      </w:pPr>
    </w:p>
    <w:p w14:paraId="2E4A6F8C" w14:textId="77777777" w:rsidR="00491B95" w:rsidRDefault="00491B95" w:rsidP="00491B95">
      <w:pPr>
        <w:shd w:val="clear" w:color="auto" w:fill="FFFFFF"/>
        <w:jc w:val="center"/>
        <w:rPr>
          <w:b/>
          <w:bCs/>
          <w:sz w:val="24"/>
          <w:szCs w:val="24"/>
        </w:rPr>
      </w:pPr>
    </w:p>
    <w:p w14:paraId="78A60A40" w14:textId="77777777" w:rsidR="0053047D" w:rsidRPr="0071199D" w:rsidRDefault="0053047D" w:rsidP="00491B95">
      <w:pPr>
        <w:shd w:val="clear" w:color="auto" w:fill="FFFFFF"/>
        <w:jc w:val="center"/>
        <w:rPr>
          <w:b/>
          <w:bCs/>
          <w:sz w:val="28"/>
          <w:szCs w:val="24"/>
        </w:rPr>
      </w:pPr>
      <w:r w:rsidRPr="0071199D">
        <w:rPr>
          <w:b/>
          <w:bCs/>
          <w:sz w:val="28"/>
          <w:szCs w:val="24"/>
        </w:rPr>
        <w:t>No. 49 of 1991</w:t>
      </w:r>
    </w:p>
    <w:p w14:paraId="14E42287" w14:textId="77777777" w:rsidR="00491B95" w:rsidRPr="0071199D" w:rsidRDefault="00491B95" w:rsidP="00491B95">
      <w:pPr>
        <w:shd w:val="clear" w:color="auto" w:fill="FFFFFF"/>
        <w:jc w:val="center"/>
        <w:rPr>
          <w:b/>
          <w:bCs/>
          <w:sz w:val="28"/>
          <w:szCs w:val="24"/>
        </w:rPr>
      </w:pPr>
    </w:p>
    <w:p w14:paraId="0F0D5077" w14:textId="77777777" w:rsidR="00491B95" w:rsidRDefault="00491B95" w:rsidP="00491B95">
      <w:pPr>
        <w:shd w:val="clear" w:color="auto" w:fill="FFFFFF"/>
        <w:jc w:val="center"/>
        <w:rPr>
          <w:b/>
          <w:bCs/>
          <w:sz w:val="24"/>
          <w:szCs w:val="24"/>
        </w:rPr>
      </w:pPr>
    </w:p>
    <w:p w14:paraId="0CD49A48" w14:textId="77777777" w:rsidR="00491B95" w:rsidRDefault="00491B95" w:rsidP="00491B95">
      <w:pPr>
        <w:shd w:val="clear" w:color="auto" w:fill="FFFFFF"/>
        <w:jc w:val="center"/>
        <w:rPr>
          <w:b/>
          <w:bCs/>
          <w:sz w:val="24"/>
          <w:szCs w:val="24"/>
        </w:rPr>
      </w:pPr>
    </w:p>
    <w:p w14:paraId="532F86B6" w14:textId="77777777" w:rsidR="00491B95" w:rsidRDefault="00491B95" w:rsidP="00491B95">
      <w:pPr>
        <w:pBdr>
          <w:bottom w:val="double" w:sz="4" w:space="1" w:color="auto"/>
        </w:pBdr>
        <w:shd w:val="clear" w:color="auto" w:fill="FFFFFF"/>
        <w:jc w:val="center"/>
        <w:rPr>
          <w:b/>
          <w:bCs/>
          <w:sz w:val="24"/>
          <w:szCs w:val="24"/>
        </w:rPr>
      </w:pPr>
    </w:p>
    <w:p w14:paraId="614FC3B0" w14:textId="77777777" w:rsidR="00491B95" w:rsidRDefault="00491B95" w:rsidP="00491B95">
      <w:pPr>
        <w:shd w:val="clear" w:color="auto" w:fill="FFFFFF"/>
        <w:jc w:val="center"/>
        <w:rPr>
          <w:b/>
          <w:bCs/>
          <w:sz w:val="24"/>
          <w:szCs w:val="24"/>
        </w:rPr>
      </w:pPr>
    </w:p>
    <w:p w14:paraId="4C133365" w14:textId="77777777" w:rsidR="00491B95" w:rsidRDefault="00491B95" w:rsidP="00491B95">
      <w:pPr>
        <w:shd w:val="clear" w:color="auto" w:fill="FFFFFF"/>
        <w:jc w:val="center"/>
      </w:pPr>
    </w:p>
    <w:p w14:paraId="17A77838" w14:textId="77777777" w:rsidR="00491B95" w:rsidRDefault="00491B95" w:rsidP="00491B95">
      <w:pPr>
        <w:shd w:val="clear" w:color="auto" w:fill="FFFFFF"/>
        <w:jc w:val="center"/>
      </w:pPr>
    </w:p>
    <w:p w14:paraId="0EBBBD9C" w14:textId="77777777" w:rsidR="00491B95" w:rsidRDefault="00491B95" w:rsidP="00491B95">
      <w:pPr>
        <w:shd w:val="clear" w:color="auto" w:fill="FFFFFF"/>
        <w:jc w:val="center"/>
      </w:pPr>
    </w:p>
    <w:p w14:paraId="5365C52A" w14:textId="77777777" w:rsidR="0053047D" w:rsidRPr="0071199D" w:rsidRDefault="0053047D" w:rsidP="00491B95">
      <w:pPr>
        <w:shd w:val="clear" w:color="auto" w:fill="FFFFFF"/>
        <w:jc w:val="center"/>
        <w:rPr>
          <w:sz w:val="18"/>
        </w:rPr>
      </w:pPr>
      <w:r w:rsidRPr="0071199D">
        <w:rPr>
          <w:b/>
          <w:bCs/>
          <w:sz w:val="28"/>
          <w:szCs w:val="30"/>
        </w:rPr>
        <w:t xml:space="preserve">An Act to amend the </w:t>
      </w:r>
      <w:r w:rsidRPr="0071199D">
        <w:rPr>
          <w:b/>
          <w:bCs/>
          <w:i/>
          <w:iCs/>
          <w:sz w:val="28"/>
          <w:szCs w:val="30"/>
        </w:rPr>
        <w:t>Trade Practices Act 1974</w:t>
      </w:r>
    </w:p>
    <w:p w14:paraId="0249BEA5" w14:textId="77777777" w:rsidR="0053047D" w:rsidRPr="00F93009" w:rsidRDefault="0053047D">
      <w:pPr>
        <w:shd w:val="clear" w:color="auto" w:fill="FFFFFF"/>
        <w:spacing w:before="542" w:line="461" w:lineRule="exact"/>
        <w:ind w:right="5"/>
        <w:jc w:val="right"/>
        <w:rPr>
          <w:sz w:val="18"/>
        </w:rPr>
      </w:pPr>
      <w:r w:rsidRPr="00F93009">
        <w:rPr>
          <w:spacing w:val="-1"/>
          <w:sz w:val="22"/>
          <w:szCs w:val="24"/>
        </w:rPr>
        <w:t>[</w:t>
      </w:r>
      <w:r w:rsidRPr="00F93009">
        <w:rPr>
          <w:i/>
          <w:iCs/>
          <w:spacing w:val="-1"/>
          <w:sz w:val="22"/>
          <w:szCs w:val="24"/>
        </w:rPr>
        <w:t>Assented to 24 April 1991</w:t>
      </w:r>
      <w:r w:rsidRPr="00F93009">
        <w:rPr>
          <w:spacing w:val="-1"/>
          <w:sz w:val="22"/>
          <w:szCs w:val="24"/>
        </w:rPr>
        <w:t>]</w:t>
      </w:r>
    </w:p>
    <w:p w14:paraId="62236002" w14:textId="77777777" w:rsidR="0053047D" w:rsidRPr="00F93009" w:rsidRDefault="0053047D">
      <w:pPr>
        <w:shd w:val="clear" w:color="auto" w:fill="FFFFFF"/>
        <w:spacing w:line="461" w:lineRule="exact"/>
        <w:ind w:left="355"/>
        <w:rPr>
          <w:sz w:val="18"/>
        </w:rPr>
      </w:pPr>
      <w:r w:rsidRPr="00F93009">
        <w:rPr>
          <w:sz w:val="22"/>
          <w:szCs w:val="24"/>
        </w:rPr>
        <w:t>The Parliament of Australia enacts:</w:t>
      </w:r>
    </w:p>
    <w:p w14:paraId="0227230B" w14:textId="77777777" w:rsidR="0053047D" w:rsidRPr="00F93009" w:rsidRDefault="0053047D" w:rsidP="008F1C49">
      <w:pPr>
        <w:shd w:val="clear" w:color="auto" w:fill="FFFFFF"/>
        <w:spacing w:before="120" w:after="60"/>
        <w:ind w:left="5"/>
        <w:rPr>
          <w:sz w:val="22"/>
          <w:szCs w:val="24"/>
        </w:rPr>
      </w:pPr>
      <w:r w:rsidRPr="00F93009">
        <w:rPr>
          <w:b/>
          <w:bCs/>
          <w:spacing w:val="-2"/>
          <w:sz w:val="22"/>
          <w:szCs w:val="24"/>
        </w:rPr>
        <w:t>Short title etc.</w:t>
      </w:r>
    </w:p>
    <w:p w14:paraId="32782035" w14:textId="77777777" w:rsidR="0053047D" w:rsidRPr="00F93009" w:rsidRDefault="0053047D" w:rsidP="00F93009">
      <w:pPr>
        <w:shd w:val="clear" w:color="auto" w:fill="FFFFFF"/>
        <w:tabs>
          <w:tab w:val="left" w:pos="634"/>
        </w:tabs>
        <w:spacing w:before="120"/>
        <w:ind w:left="29" w:firstLine="317"/>
        <w:rPr>
          <w:sz w:val="22"/>
          <w:szCs w:val="24"/>
        </w:rPr>
      </w:pPr>
      <w:r w:rsidRPr="00F93009">
        <w:rPr>
          <w:b/>
          <w:bCs/>
          <w:spacing w:val="-16"/>
          <w:sz w:val="22"/>
          <w:szCs w:val="24"/>
        </w:rPr>
        <w:t>1.</w:t>
      </w:r>
      <w:r w:rsidRPr="00F93009">
        <w:rPr>
          <w:b/>
          <w:bCs/>
          <w:sz w:val="22"/>
          <w:szCs w:val="24"/>
        </w:rPr>
        <w:tab/>
        <w:t xml:space="preserve">(1) </w:t>
      </w:r>
      <w:r w:rsidRPr="00F93009">
        <w:rPr>
          <w:sz w:val="22"/>
          <w:szCs w:val="24"/>
        </w:rPr>
        <w:t xml:space="preserve">This Act may be cited as the </w:t>
      </w:r>
      <w:r w:rsidRPr="00F93009">
        <w:rPr>
          <w:i/>
          <w:iCs/>
          <w:sz w:val="22"/>
          <w:szCs w:val="24"/>
        </w:rPr>
        <w:t>Trade Practices Amendment Act</w:t>
      </w:r>
      <w:r w:rsidR="008F1C49" w:rsidRPr="00F93009">
        <w:rPr>
          <w:i/>
          <w:iCs/>
          <w:sz w:val="22"/>
          <w:szCs w:val="24"/>
        </w:rPr>
        <w:t xml:space="preserve"> </w:t>
      </w:r>
      <w:r w:rsidRPr="00F93009">
        <w:rPr>
          <w:i/>
          <w:iCs/>
          <w:sz w:val="22"/>
          <w:szCs w:val="24"/>
        </w:rPr>
        <w:t>1991.</w:t>
      </w:r>
    </w:p>
    <w:p w14:paraId="45786879" w14:textId="77777777" w:rsidR="0053047D" w:rsidRPr="00F93009" w:rsidRDefault="0053047D" w:rsidP="00F93009">
      <w:pPr>
        <w:shd w:val="clear" w:color="auto" w:fill="FFFFFF"/>
        <w:spacing w:before="120"/>
        <w:ind w:left="648"/>
        <w:rPr>
          <w:sz w:val="22"/>
          <w:szCs w:val="24"/>
        </w:rPr>
      </w:pPr>
      <w:r w:rsidRPr="00F93009">
        <w:rPr>
          <w:b/>
          <w:bCs/>
          <w:spacing w:val="-2"/>
          <w:sz w:val="22"/>
          <w:szCs w:val="24"/>
        </w:rPr>
        <w:t>(2)</w:t>
      </w:r>
      <w:r w:rsidRPr="00F93009">
        <w:rPr>
          <w:spacing w:val="-2"/>
          <w:sz w:val="22"/>
          <w:szCs w:val="24"/>
        </w:rPr>
        <w:t xml:space="preserve"> In this Act, </w:t>
      </w:r>
      <w:r w:rsidR="00CE19FE" w:rsidRPr="00F93009">
        <w:rPr>
          <w:b/>
          <w:bCs/>
          <w:spacing w:val="-2"/>
          <w:sz w:val="22"/>
          <w:szCs w:val="24"/>
        </w:rPr>
        <w:t>“</w:t>
      </w:r>
      <w:r w:rsidRPr="00F93009">
        <w:rPr>
          <w:b/>
          <w:bCs/>
          <w:spacing w:val="-2"/>
          <w:sz w:val="22"/>
          <w:szCs w:val="24"/>
        </w:rPr>
        <w:t>Principal Act</w:t>
      </w:r>
      <w:r w:rsidR="00CE19FE" w:rsidRPr="00F93009">
        <w:rPr>
          <w:b/>
          <w:bCs/>
          <w:spacing w:val="-2"/>
          <w:sz w:val="22"/>
          <w:szCs w:val="24"/>
        </w:rPr>
        <w:t>”</w:t>
      </w:r>
      <w:r w:rsidRPr="00F93009">
        <w:rPr>
          <w:b/>
          <w:bCs/>
          <w:spacing w:val="-2"/>
          <w:sz w:val="22"/>
          <w:szCs w:val="24"/>
        </w:rPr>
        <w:t xml:space="preserve"> </w:t>
      </w:r>
      <w:r w:rsidRPr="00F93009">
        <w:rPr>
          <w:spacing w:val="-2"/>
          <w:sz w:val="22"/>
          <w:szCs w:val="24"/>
        </w:rPr>
        <w:t xml:space="preserve">means the </w:t>
      </w:r>
      <w:r w:rsidRPr="00F93009">
        <w:rPr>
          <w:i/>
          <w:iCs/>
          <w:spacing w:val="-2"/>
          <w:sz w:val="22"/>
          <w:szCs w:val="24"/>
        </w:rPr>
        <w:t>Trade Practices Act 1974</w:t>
      </w:r>
      <w:r w:rsidRPr="00F93009">
        <w:rPr>
          <w:spacing w:val="-2"/>
          <w:sz w:val="22"/>
          <w:szCs w:val="24"/>
          <w:vertAlign w:val="superscript"/>
        </w:rPr>
        <w:t>1</w:t>
      </w:r>
      <w:r w:rsidRPr="00F93009">
        <w:rPr>
          <w:i/>
          <w:iCs/>
          <w:spacing w:val="-2"/>
          <w:sz w:val="22"/>
          <w:szCs w:val="24"/>
        </w:rPr>
        <w:t>.</w:t>
      </w:r>
    </w:p>
    <w:p w14:paraId="374CC4EC" w14:textId="77777777" w:rsidR="0053047D" w:rsidRPr="00F93009" w:rsidRDefault="0053047D" w:rsidP="008F1C49">
      <w:pPr>
        <w:shd w:val="clear" w:color="auto" w:fill="FFFFFF"/>
        <w:spacing w:before="120" w:after="60"/>
        <w:ind w:left="5"/>
        <w:rPr>
          <w:sz w:val="22"/>
          <w:szCs w:val="24"/>
        </w:rPr>
      </w:pPr>
      <w:r w:rsidRPr="00F93009">
        <w:rPr>
          <w:b/>
          <w:bCs/>
          <w:spacing w:val="-10"/>
          <w:sz w:val="22"/>
          <w:szCs w:val="24"/>
        </w:rPr>
        <w:t>Commencement</w:t>
      </w:r>
    </w:p>
    <w:p w14:paraId="172B58D8" w14:textId="77777777" w:rsidR="0053047D" w:rsidRPr="00F93009" w:rsidRDefault="0053047D" w:rsidP="00F93009">
      <w:pPr>
        <w:shd w:val="clear" w:color="auto" w:fill="FFFFFF"/>
        <w:tabs>
          <w:tab w:val="left" w:pos="634"/>
        </w:tabs>
        <w:spacing w:before="120"/>
        <w:ind w:left="346"/>
        <w:rPr>
          <w:sz w:val="22"/>
          <w:szCs w:val="24"/>
        </w:rPr>
      </w:pPr>
      <w:r w:rsidRPr="00F93009">
        <w:rPr>
          <w:b/>
          <w:bCs/>
          <w:spacing w:val="-12"/>
          <w:sz w:val="22"/>
          <w:szCs w:val="24"/>
        </w:rPr>
        <w:t>2.</w:t>
      </w:r>
      <w:r w:rsidRPr="00F93009">
        <w:rPr>
          <w:b/>
          <w:bCs/>
          <w:sz w:val="22"/>
          <w:szCs w:val="24"/>
        </w:rPr>
        <w:tab/>
      </w:r>
      <w:r w:rsidRPr="00F93009">
        <w:rPr>
          <w:sz w:val="22"/>
          <w:szCs w:val="24"/>
        </w:rPr>
        <w:t>This Act is taken to have commenced on 21 December 1990.</w:t>
      </w:r>
    </w:p>
    <w:p w14:paraId="74FC1867" w14:textId="77777777" w:rsidR="0053047D" w:rsidRPr="00F93009" w:rsidRDefault="0053047D" w:rsidP="008F1C49">
      <w:pPr>
        <w:shd w:val="clear" w:color="auto" w:fill="FFFFFF"/>
        <w:spacing w:before="120" w:after="60"/>
        <w:ind w:left="5"/>
        <w:rPr>
          <w:sz w:val="22"/>
          <w:szCs w:val="24"/>
        </w:rPr>
      </w:pPr>
      <w:r w:rsidRPr="00F93009">
        <w:rPr>
          <w:b/>
          <w:bCs/>
          <w:spacing w:val="-4"/>
          <w:sz w:val="22"/>
          <w:szCs w:val="24"/>
        </w:rPr>
        <w:t>Mergers and other acquisitions</w:t>
      </w:r>
    </w:p>
    <w:p w14:paraId="064121A1" w14:textId="77777777" w:rsidR="0053047D" w:rsidRPr="00F93009" w:rsidRDefault="0053047D" w:rsidP="00F93009">
      <w:pPr>
        <w:shd w:val="clear" w:color="auto" w:fill="FFFFFF"/>
        <w:spacing w:before="120"/>
        <w:ind w:left="5"/>
        <w:rPr>
          <w:sz w:val="22"/>
          <w:szCs w:val="24"/>
        </w:rPr>
      </w:pPr>
      <w:r w:rsidRPr="00F93009">
        <w:rPr>
          <w:b/>
          <w:bCs/>
          <w:sz w:val="22"/>
          <w:szCs w:val="24"/>
        </w:rPr>
        <w:t xml:space="preserve">3. </w:t>
      </w:r>
      <w:r w:rsidRPr="00F93009">
        <w:rPr>
          <w:sz w:val="22"/>
          <w:szCs w:val="24"/>
        </w:rPr>
        <w:t>Section 50 of the Principal Act is amended:</w:t>
      </w:r>
    </w:p>
    <w:p w14:paraId="0BB3DADC" w14:textId="27348D58" w:rsidR="0053047D" w:rsidRPr="00F93009" w:rsidRDefault="0053047D" w:rsidP="00F93009">
      <w:pPr>
        <w:shd w:val="clear" w:color="auto" w:fill="FFFFFF"/>
        <w:spacing w:before="120"/>
        <w:ind w:left="437" w:hanging="379"/>
        <w:jc w:val="both"/>
        <w:rPr>
          <w:sz w:val="22"/>
          <w:szCs w:val="24"/>
        </w:rPr>
      </w:pPr>
      <w:r w:rsidRPr="00F93009">
        <w:rPr>
          <w:b/>
          <w:bCs/>
          <w:sz w:val="22"/>
          <w:szCs w:val="24"/>
        </w:rPr>
        <w:t>(a)</w:t>
      </w:r>
      <w:r w:rsidRPr="00F93009">
        <w:rPr>
          <w:sz w:val="22"/>
          <w:szCs w:val="24"/>
        </w:rPr>
        <w:t xml:space="preserve"> by inserting in subparagraph </w:t>
      </w:r>
      <w:r w:rsidRPr="00F93009">
        <w:rPr>
          <w:spacing w:val="24"/>
          <w:sz w:val="22"/>
          <w:szCs w:val="24"/>
        </w:rPr>
        <w:t>(</w:t>
      </w:r>
      <w:r w:rsidR="00C10F39">
        <w:rPr>
          <w:spacing w:val="24"/>
          <w:sz w:val="22"/>
          <w:szCs w:val="24"/>
        </w:rPr>
        <w:t>1</w:t>
      </w:r>
      <w:r w:rsidRPr="00F93009">
        <w:rPr>
          <w:spacing w:val="24"/>
          <w:sz w:val="22"/>
          <w:szCs w:val="24"/>
        </w:rPr>
        <w:t>)(b)(</w:t>
      </w:r>
      <w:proofErr w:type="spellStart"/>
      <w:r w:rsidRPr="00F93009">
        <w:rPr>
          <w:spacing w:val="24"/>
          <w:sz w:val="22"/>
          <w:szCs w:val="24"/>
        </w:rPr>
        <w:t>i</w:t>
      </w:r>
      <w:proofErr w:type="spellEnd"/>
      <w:r w:rsidRPr="00F93009">
        <w:rPr>
          <w:spacing w:val="24"/>
          <w:sz w:val="22"/>
          <w:szCs w:val="24"/>
        </w:rPr>
        <w:t>)</w:t>
      </w:r>
      <w:r w:rsidRPr="00F93009">
        <w:rPr>
          <w:sz w:val="22"/>
          <w:szCs w:val="24"/>
        </w:rPr>
        <w:t xml:space="preserve"> </w:t>
      </w:r>
      <w:r w:rsidR="00CE19FE" w:rsidRPr="00F93009">
        <w:rPr>
          <w:sz w:val="22"/>
          <w:szCs w:val="24"/>
        </w:rPr>
        <w:t>“</w:t>
      </w:r>
      <w:r w:rsidRPr="00F93009">
        <w:rPr>
          <w:sz w:val="22"/>
          <w:szCs w:val="24"/>
        </w:rPr>
        <w:t>, or associated with,</w:t>
      </w:r>
      <w:r w:rsidR="00CE19FE" w:rsidRPr="00F93009">
        <w:rPr>
          <w:sz w:val="22"/>
          <w:szCs w:val="24"/>
        </w:rPr>
        <w:t>”</w:t>
      </w:r>
      <w:r w:rsidRPr="00F93009">
        <w:rPr>
          <w:sz w:val="22"/>
          <w:szCs w:val="24"/>
        </w:rPr>
        <w:t xml:space="preserve"> after </w:t>
      </w:r>
      <w:r w:rsidR="00CE19FE" w:rsidRPr="00F93009">
        <w:rPr>
          <w:sz w:val="22"/>
          <w:szCs w:val="24"/>
        </w:rPr>
        <w:t>“</w:t>
      </w:r>
      <w:r w:rsidRPr="00F93009">
        <w:rPr>
          <w:sz w:val="22"/>
          <w:szCs w:val="24"/>
        </w:rPr>
        <w:t>related to</w:t>
      </w:r>
      <w:r w:rsidR="00CE19FE" w:rsidRPr="00F93009">
        <w:rPr>
          <w:sz w:val="22"/>
          <w:szCs w:val="24"/>
        </w:rPr>
        <w:t>”</w:t>
      </w:r>
      <w:r w:rsidRPr="00F93009">
        <w:rPr>
          <w:sz w:val="22"/>
          <w:szCs w:val="24"/>
        </w:rPr>
        <w:t xml:space="preserve"> (twice occurring);</w:t>
      </w:r>
    </w:p>
    <w:p w14:paraId="0DDFD456" w14:textId="77777777" w:rsidR="0053047D" w:rsidRPr="00F93009" w:rsidRDefault="0053047D" w:rsidP="00F93009">
      <w:pPr>
        <w:shd w:val="clear" w:color="auto" w:fill="FFFFFF"/>
        <w:spacing w:before="120"/>
        <w:ind w:left="437" w:hanging="379"/>
        <w:rPr>
          <w:sz w:val="22"/>
          <w:szCs w:val="24"/>
        </w:rPr>
        <w:sectPr w:rsidR="0053047D" w:rsidRPr="00F93009" w:rsidSect="00F93009">
          <w:headerReference w:type="default" r:id="rId9"/>
          <w:type w:val="continuous"/>
          <w:pgSz w:w="12240" w:h="15840" w:code="1"/>
          <w:pgMar w:top="1440" w:right="1440" w:bottom="1440" w:left="1440" w:header="720" w:footer="720" w:gutter="0"/>
          <w:cols w:space="60"/>
          <w:noEndnote/>
          <w:titlePg/>
          <w:docGrid w:linePitch="272"/>
        </w:sectPr>
      </w:pPr>
    </w:p>
    <w:p w14:paraId="5EE19360" w14:textId="77777777" w:rsidR="0053047D" w:rsidRPr="00F93009" w:rsidRDefault="0053047D" w:rsidP="00F93009">
      <w:pPr>
        <w:shd w:val="clear" w:color="auto" w:fill="FFFFFF"/>
        <w:tabs>
          <w:tab w:val="left" w:pos="394"/>
        </w:tabs>
        <w:spacing w:before="120"/>
        <w:ind w:left="10"/>
        <w:rPr>
          <w:sz w:val="22"/>
          <w:szCs w:val="24"/>
        </w:rPr>
      </w:pPr>
      <w:r w:rsidRPr="00F93009">
        <w:rPr>
          <w:b/>
          <w:bCs/>
          <w:spacing w:val="-9"/>
          <w:sz w:val="22"/>
          <w:szCs w:val="24"/>
        </w:rPr>
        <w:lastRenderedPageBreak/>
        <w:t>(b)</w:t>
      </w:r>
      <w:r w:rsidRPr="00F93009">
        <w:rPr>
          <w:sz w:val="22"/>
          <w:szCs w:val="24"/>
        </w:rPr>
        <w:tab/>
        <w:t>by inserting after subsection (1) the following subsection:</w:t>
      </w:r>
    </w:p>
    <w:p w14:paraId="0EDFA331" w14:textId="4B9560EC" w:rsidR="0053047D" w:rsidRPr="00F93009" w:rsidRDefault="00CE19FE" w:rsidP="00F93009">
      <w:pPr>
        <w:shd w:val="clear" w:color="auto" w:fill="FFFFFF"/>
        <w:spacing w:before="120"/>
        <w:ind w:left="389" w:firstLine="226"/>
        <w:jc w:val="both"/>
        <w:rPr>
          <w:sz w:val="22"/>
          <w:szCs w:val="24"/>
        </w:rPr>
      </w:pPr>
      <w:r w:rsidRPr="00F93009">
        <w:rPr>
          <w:sz w:val="22"/>
          <w:szCs w:val="24"/>
        </w:rPr>
        <w:t>“</w:t>
      </w:r>
      <w:r w:rsidR="0053047D" w:rsidRPr="00F93009">
        <w:rPr>
          <w:sz w:val="22"/>
          <w:szCs w:val="24"/>
        </w:rPr>
        <w:t>(1</w:t>
      </w:r>
      <w:r w:rsidR="00C10F39">
        <w:rPr>
          <w:smallCaps/>
          <w:sz w:val="22"/>
          <w:szCs w:val="24"/>
        </w:rPr>
        <w:t>aa</w:t>
      </w:r>
      <w:r w:rsidR="0053047D" w:rsidRPr="00F93009">
        <w:rPr>
          <w:sz w:val="22"/>
          <w:szCs w:val="24"/>
        </w:rPr>
        <w:t xml:space="preserve">) A body corporate that is related to, or associated with, a corporation must not acquire, directly or indirectly, any shares in the capital, or any assets, of any other body corporate </w:t>
      </w:r>
      <w:r w:rsidR="0053047D" w:rsidRPr="00F93009">
        <w:rPr>
          <w:spacing w:val="-2"/>
          <w:sz w:val="22"/>
          <w:szCs w:val="24"/>
        </w:rPr>
        <w:t xml:space="preserve">(in this subsection called </w:t>
      </w:r>
      <w:r w:rsidRPr="00F93009">
        <w:rPr>
          <w:b/>
          <w:bCs/>
          <w:spacing w:val="-2"/>
          <w:sz w:val="22"/>
          <w:szCs w:val="24"/>
        </w:rPr>
        <w:t>‘</w:t>
      </w:r>
      <w:r w:rsidR="0053047D" w:rsidRPr="00F93009">
        <w:rPr>
          <w:b/>
          <w:bCs/>
          <w:spacing w:val="-2"/>
          <w:sz w:val="22"/>
          <w:szCs w:val="24"/>
        </w:rPr>
        <w:t>an acquired body corporate</w:t>
      </w:r>
      <w:r w:rsidRPr="00F93009">
        <w:rPr>
          <w:b/>
          <w:bCs/>
          <w:spacing w:val="-2"/>
          <w:sz w:val="22"/>
          <w:szCs w:val="24"/>
        </w:rPr>
        <w:t>’</w:t>
      </w:r>
      <w:r w:rsidR="0053047D" w:rsidRPr="00C10F39">
        <w:rPr>
          <w:bCs/>
          <w:spacing w:val="-2"/>
          <w:sz w:val="22"/>
          <w:szCs w:val="24"/>
        </w:rPr>
        <w:t>)</w:t>
      </w:r>
      <w:r w:rsidR="0053047D" w:rsidRPr="00F93009">
        <w:rPr>
          <w:b/>
          <w:bCs/>
          <w:spacing w:val="-2"/>
          <w:sz w:val="22"/>
          <w:szCs w:val="24"/>
        </w:rPr>
        <w:t xml:space="preserve"> </w:t>
      </w:r>
      <w:r w:rsidR="0053047D" w:rsidRPr="00F93009">
        <w:rPr>
          <w:spacing w:val="-2"/>
          <w:sz w:val="22"/>
          <w:szCs w:val="24"/>
        </w:rPr>
        <w:t>if:</w:t>
      </w:r>
    </w:p>
    <w:p w14:paraId="3484560F" w14:textId="77777777" w:rsidR="0053047D" w:rsidRPr="00F93009" w:rsidRDefault="0053047D" w:rsidP="00F93009">
      <w:pPr>
        <w:numPr>
          <w:ilvl w:val="0"/>
          <w:numId w:val="1"/>
        </w:numPr>
        <w:shd w:val="clear" w:color="auto" w:fill="FFFFFF"/>
        <w:tabs>
          <w:tab w:val="left" w:pos="1051"/>
        </w:tabs>
        <w:spacing w:before="120"/>
        <w:ind w:left="1051" w:hanging="389"/>
        <w:jc w:val="both"/>
        <w:rPr>
          <w:spacing w:val="-6"/>
          <w:sz w:val="22"/>
          <w:szCs w:val="24"/>
        </w:rPr>
      </w:pPr>
      <w:r w:rsidRPr="00F93009">
        <w:rPr>
          <w:sz w:val="22"/>
          <w:szCs w:val="24"/>
        </w:rPr>
        <w:t>as a result of the acquisition, the corporation would be, or be likely to be, in a position to dominate a market for goods or services; or</w:t>
      </w:r>
    </w:p>
    <w:p w14:paraId="53E64D52" w14:textId="77777777" w:rsidR="0053047D" w:rsidRPr="00F93009" w:rsidRDefault="0053047D" w:rsidP="00F93009">
      <w:pPr>
        <w:numPr>
          <w:ilvl w:val="0"/>
          <w:numId w:val="1"/>
        </w:numPr>
        <w:shd w:val="clear" w:color="auto" w:fill="FFFFFF"/>
        <w:tabs>
          <w:tab w:val="left" w:pos="1051"/>
        </w:tabs>
        <w:spacing w:before="120"/>
        <w:ind w:left="1051" w:hanging="389"/>
        <w:jc w:val="both"/>
        <w:rPr>
          <w:spacing w:val="-8"/>
          <w:sz w:val="22"/>
          <w:szCs w:val="24"/>
        </w:rPr>
      </w:pPr>
      <w:r w:rsidRPr="00F93009">
        <w:rPr>
          <w:sz w:val="22"/>
          <w:szCs w:val="24"/>
        </w:rPr>
        <w:t>where the corporation is in a position to dominate a market for goods or services:</w:t>
      </w:r>
    </w:p>
    <w:p w14:paraId="453134C1" w14:textId="77777777" w:rsidR="0053047D" w:rsidRPr="00F93009" w:rsidRDefault="0053047D" w:rsidP="00F93009">
      <w:pPr>
        <w:shd w:val="clear" w:color="auto" w:fill="FFFFFF"/>
        <w:spacing w:before="120"/>
        <w:ind w:left="1704" w:hanging="336"/>
        <w:jc w:val="both"/>
        <w:rPr>
          <w:sz w:val="22"/>
          <w:szCs w:val="24"/>
        </w:rPr>
      </w:pPr>
      <w:r w:rsidRPr="00F93009">
        <w:rPr>
          <w:sz w:val="22"/>
          <w:szCs w:val="24"/>
        </w:rPr>
        <w:t xml:space="preserve">(i) the acquired body corporate, or another body corporate related to, or associated with, it, is, or is likely to be, a competitor of the corporation or of </w:t>
      </w:r>
      <w:proofErr w:type="spellStart"/>
      <w:r w:rsidRPr="00F93009">
        <w:rPr>
          <w:sz w:val="22"/>
          <w:szCs w:val="24"/>
        </w:rPr>
        <w:t>any body</w:t>
      </w:r>
      <w:proofErr w:type="spellEnd"/>
      <w:r w:rsidRPr="00F93009">
        <w:rPr>
          <w:sz w:val="22"/>
          <w:szCs w:val="24"/>
        </w:rPr>
        <w:t xml:space="preserve"> corporate related to, or associated with, the corporation; and</w:t>
      </w:r>
    </w:p>
    <w:p w14:paraId="0BC1B485" w14:textId="77777777" w:rsidR="0053047D" w:rsidRPr="00F93009" w:rsidRDefault="0053047D" w:rsidP="00F93009">
      <w:pPr>
        <w:shd w:val="clear" w:color="auto" w:fill="FFFFFF"/>
        <w:spacing w:before="120"/>
        <w:ind w:left="1709" w:hanging="413"/>
        <w:jc w:val="both"/>
        <w:rPr>
          <w:sz w:val="22"/>
          <w:szCs w:val="24"/>
        </w:rPr>
      </w:pPr>
      <w:r w:rsidRPr="00F93009">
        <w:rPr>
          <w:sz w:val="22"/>
          <w:szCs w:val="24"/>
        </w:rPr>
        <w:t>(ii) the acquisition would, or would be likely to, substantially strengthen the power of the corporation to dominate that market.</w:t>
      </w:r>
      <w:r w:rsidR="00CE19FE" w:rsidRPr="00F93009">
        <w:rPr>
          <w:sz w:val="22"/>
          <w:szCs w:val="24"/>
        </w:rPr>
        <w:t>”</w:t>
      </w:r>
      <w:r w:rsidRPr="00F93009">
        <w:rPr>
          <w:sz w:val="22"/>
          <w:szCs w:val="24"/>
        </w:rPr>
        <w:t>;</w:t>
      </w:r>
    </w:p>
    <w:p w14:paraId="21371514" w14:textId="77777777" w:rsidR="0053047D" w:rsidRPr="00F93009" w:rsidRDefault="0053047D" w:rsidP="00F93009">
      <w:pPr>
        <w:numPr>
          <w:ilvl w:val="0"/>
          <w:numId w:val="2"/>
        </w:numPr>
        <w:shd w:val="clear" w:color="auto" w:fill="FFFFFF"/>
        <w:tabs>
          <w:tab w:val="left" w:pos="394"/>
        </w:tabs>
        <w:spacing w:before="120"/>
        <w:ind w:left="394" w:hanging="384"/>
        <w:jc w:val="both"/>
        <w:rPr>
          <w:b/>
          <w:bCs/>
          <w:spacing w:val="-7"/>
          <w:sz w:val="22"/>
          <w:szCs w:val="24"/>
        </w:rPr>
      </w:pPr>
      <w:r w:rsidRPr="00F93009">
        <w:rPr>
          <w:sz w:val="22"/>
          <w:szCs w:val="24"/>
        </w:rPr>
        <w:t xml:space="preserve">by inserting in subparagraph </w:t>
      </w:r>
      <w:r w:rsidRPr="00F93009">
        <w:rPr>
          <w:smallCaps/>
          <w:sz w:val="22"/>
          <w:szCs w:val="24"/>
        </w:rPr>
        <w:t xml:space="preserve">(1a) </w:t>
      </w:r>
      <w:r w:rsidRPr="00F93009">
        <w:rPr>
          <w:sz w:val="22"/>
          <w:szCs w:val="24"/>
        </w:rPr>
        <w:t xml:space="preserve">(b) (i) </w:t>
      </w:r>
      <w:r w:rsidR="00CE19FE" w:rsidRPr="00F93009">
        <w:rPr>
          <w:sz w:val="22"/>
          <w:szCs w:val="24"/>
        </w:rPr>
        <w:t>“</w:t>
      </w:r>
      <w:r w:rsidRPr="00F93009">
        <w:rPr>
          <w:sz w:val="22"/>
          <w:szCs w:val="24"/>
        </w:rPr>
        <w:t>, or associated with,</w:t>
      </w:r>
      <w:r w:rsidR="00CE19FE" w:rsidRPr="00F93009">
        <w:rPr>
          <w:sz w:val="22"/>
          <w:szCs w:val="24"/>
        </w:rPr>
        <w:t>”</w:t>
      </w:r>
      <w:r w:rsidRPr="00F93009">
        <w:rPr>
          <w:sz w:val="22"/>
          <w:szCs w:val="24"/>
        </w:rPr>
        <w:t xml:space="preserve"> after </w:t>
      </w:r>
      <w:r w:rsidR="00CE19FE" w:rsidRPr="00F93009">
        <w:rPr>
          <w:sz w:val="22"/>
          <w:szCs w:val="24"/>
        </w:rPr>
        <w:t>“</w:t>
      </w:r>
      <w:r w:rsidRPr="00F93009">
        <w:rPr>
          <w:sz w:val="22"/>
          <w:szCs w:val="24"/>
        </w:rPr>
        <w:t>related to</w:t>
      </w:r>
      <w:r w:rsidR="00CE19FE" w:rsidRPr="00F93009">
        <w:rPr>
          <w:sz w:val="22"/>
          <w:szCs w:val="24"/>
        </w:rPr>
        <w:t>”</w:t>
      </w:r>
      <w:r w:rsidRPr="00F93009">
        <w:rPr>
          <w:sz w:val="22"/>
          <w:szCs w:val="24"/>
        </w:rPr>
        <w:t>;</w:t>
      </w:r>
    </w:p>
    <w:p w14:paraId="59307409" w14:textId="77777777" w:rsidR="0053047D" w:rsidRPr="00F93009" w:rsidRDefault="0053047D" w:rsidP="00F93009">
      <w:pPr>
        <w:numPr>
          <w:ilvl w:val="0"/>
          <w:numId w:val="2"/>
        </w:numPr>
        <w:shd w:val="clear" w:color="auto" w:fill="FFFFFF"/>
        <w:tabs>
          <w:tab w:val="left" w:pos="394"/>
        </w:tabs>
        <w:spacing w:before="120"/>
        <w:ind w:left="394" w:hanging="384"/>
        <w:jc w:val="both"/>
        <w:rPr>
          <w:b/>
          <w:bCs/>
          <w:spacing w:val="-6"/>
          <w:sz w:val="22"/>
          <w:szCs w:val="24"/>
        </w:rPr>
      </w:pPr>
      <w:r w:rsidRPr="00F93009">
        <w:rPr>
          <w:sz w:val="22"/>
          <w:szCs w:val="24"/>
        </w:rPr>
        <w:t xml:space="preserve">by inserting in paragraph (2) (a) </w:t>
      </w:r>
      <w:r w:rsidR="00CE19FE" w:rsidRPr="00F93009">
        <w:rPr>
          <w:sz w:val="22"/>
          <w:szCs w:val="24"/>
        </w:rPr>
        <w:t>“</w:t>
      </w:r>
      <w:r w:rsidRPr="00F93009">
        <w:rPr>
          <w:sz w:val="22"/>
          <w:szCs w:val="24"/>
        </w:rPr>
        <w:t>, or likely to be in a position,</w:t>
      </w:r>
      <w:r w:rsidR="00CE19FE" w:rsidRPr="00F93009">
        <w:rPr>
          <w:sz w:val="22"/>
          <w:szCs w:val="24"/>
        </w:rPr>
        <w:t>”</w:t>
      </w:r>
      <w:r w:rsidRPr="00F93009">
        <w:rPr>
          <w:sz w:val="22"/>
          <w:szCs w:val="24"/>
        </w:rPr>
        <w:t xml:space="preserve"> after </w:t>
      </w:r>
      <w:r w:rsidR="00CE19FE" w:rsidRPr="00F93009">
        <w:rPr>
          <w:sz w:val="22"/>
          <w:szCs w:val="24"/>
        </w:rPr>
        <w:t>“</w:t>
      </w:r>
      <w:r w:rsidRPr="00F93009">
        <w:rPr>
          <w:sz w:val="22"/>
          <w:szCs w:val="24"/>
        </w:rPr>
        <w:t>position</w:t>
      </w:r>
      <w:r w:rsidR="00CE19FE" w:rsidRPr="00F93009">
        <w:rPr>
          <w:sz w:val="22"/>
          <w:szCs w:val="24"/>
        </w:rPr>
        <w:t>”</w:t>
      </w:r>
      <w:r w:rsidRPr="00F93009">
        <w:rPr>
          <w:sz w:val="22"/>
          <w:szCs w:val="24"/>
        </w:rPr>
        <w:t>;</w:t>
      </w:r>
    </w:p>
    <w:p w14:paraId="32E059F5" w14:textId="77777777" w:rsidR="0053047D" w:rsidRPr="00F93009" w:rsidRDefault="0053047D" w:rsidP="00F93009">
      <w:pPr>
        <w:numPr>
          <w:ilvl w:val="0"/>
          <w:numId w:val="2"/>
        </w:numPr>
        <w:shd w:val="clear" w:color="auto" w:fill="FFFFFF"/>
        <w:tabs>
          <w:tab w:val="left" w:pos="394"/>
        </w:tabs>
        <w:spacing w:before="120"/>
        <w:ind w:left="394" w:hanging="384"/>
        <w:jc w:val="both"/>
        <w:rPr>
          <w:b/>
          <w:bCs/>
          <w:spacing w:val="-6"/>
          <w:sz w:val="22"/>
          <w:szCs w:val="24"/>
        </w:rPr>
      </w:pPr>
      <w:r w:rsidRPr="00F93009">
        <w:rPr>
          <w:sz w:val="22"/>
          <w:szCs w:val="24"/>
        </w:rPr>
        <w:t xml:space="preserve">by inserting in paragraph (2) (b) </w:t>
      </w:r>
      <w:r w:rsidR="00CE19FE" w:rsidRPr="00F93009">
        <w:rPr>
          <w:sz w:val="22"/>
          <w:szCs w:val="24"/>
        </w:rPr>
        <w:t>“</w:t>
      </w:r>
      <w:r w:rsidRPr="00F93009">
        <w:rPr>
          <w:sz w:val="22"/>
          <w:szCs w:val="24"/>
        </w:rPr>
        <w:t>, or likely to be in a position,</w:t>
      </w:r>
      <w:r w:rsidR="00CE19FE" w:rsidRPr="00F93009">
        <w:rPr>
          <w:sz w:val="22"/>
          <w:szCs w:val="24"/>
        </w:rPr>
        <w:t>”</w:t>
      </w:r>
      <w:r w:rsidRPr="00F93009">
        <w:rPr>
          <w:sz w:val="22"/>
          <w:szCs w:val="24"/>
        </w:rPr>
        <w:t xml:space="preserve"> after </w:t>
      </w:r>
      <w:r w:rsidR="00CE19FE" w:rsidRPr="00F93009">
        <w:rPr>
          <w:sz w:val="22"/>
          <w:szCs w:val="24"/>
        </w:rPr>
        <w:t>“</w:t>
      </w:r>
      <w:r w:rsidRPr="00F93009">
        <w:rPr>
          <w:sz w:val="22"/>
          <w:szCs w:val="24"/>
        </w:rPr>
        <w:t>position</w:t>
      </w:r>
      <w:r w:rsidR="00CE19FE" w:rsidRPr="00F93009">
        <w:rPr>
          <w:sz w:val="22"/>
          <w:szCs w:val="24"/>
        </w:rPr>
        <w:t>”</w:t>
      </w:r>
      <w:r w:rsidRPr="00F93009">
        <w:rPr>
          <w:sz w:val="22"/>
          <w:szCs w:val="24"/>
        </w:rPr>
        <w:t>;</w:t>
      </w:r>
    </w:p>
    <w:p w14:paraId="63E7D9ED" w14:textId="77777777" w:rsidR="0053047D" w:rsidRPr="00F93009" w:rsidRDefault="0053047D" w:rsidP="00F93009">
      <w:pPr>
        <w:numPr>
          <w:ilvl w:val="0"/>
          <w:numId w:val="2"/>
        </w:numPr>
        <w:shd w:val="clear" w:color="auto" w:fill="FFFFFF"/>
        <w:tabs>
          <w:tab w:val="left" w:pos="394"/>
        </w:tabs>
        <w:spacing w:before="120"/>
        <w:ind w:left="394" w:hanging="384"/>
        <w:jc w:val="both"/>
        <w:rPr>
          <w:b/>
          <w:bCs/>
          <w:spacing w:val="-8"/>
          <w:sz w:val="22"/>
          <w:szCs w:val="24"/>
        </w:rPr>
      </w:pPr>
      <w:r w:rsidRPr="00F93009">
        <w:rPr>
          <w:sz w:val="22"/>
          <w:szCs w:val="24"/>
        </w:rPr>
        <w:t xml:space="preserve">by adding at the end of subsection (2) </w:t>
      </w:r>
      <w:r w:rsidR="00CE19FE" w:rsidRPr="00F93009">
        <w:rPr>
          <w:sz w:val="22"/>
          <w:szCs w:val="24"/>
        </w:rPr>
        <w:t>“</w:t>
      </w:r>
      <w:r w:rsidRPr="00F93009">
        <w:rPr>
          <w:sz w:val="22"/>
          <w:szCs w:val="24"/>
        </w:rPr>
        <w:t>, or to be likely to be in a position to dominate that market, as the case may be</w:t>
      </w:r>
      <w:r w:rsidR="00CE19FE" w:rsidRPr="00F93009">
        <w:rPr>
          <w:sz w:val="22"/>
          <w:szCs w:val="24"/>
        </w:rPr>
        <w:t>”</w:t>
      </w:r>
      <w:r w:rsidRPr="00F93009">
        <w:rPr>
          <w:sz w:val="22"/>
          <w:szCs w:val="24"/>
        </w:rPr>
        <w:t>;</w:t>
      </w:r>
    </w:p>
    <w:p w14:paraId="50A055B4" w14:textId="77777777" w:rsidR="0053047D" w:rsidRPr="00F93009" w:rsidRDefault="0053047D" w:rsidP="00F93009">
      <w:pPr>
        <w:numPr>
          <w:ilvl w:val="0"/>
          <w:numId w:val="2"/>
        </w:numPr>
        <w:shd w:val="clear" w:color="auto" w:fill="FFFFFF"/>
        <w:tabs>
          <w:tab w:val="left" w:pos="394"/>
        </w:tabs>
        <w:spacing w:before="120"/>
        <w:ind w:left="10"/>
        <w:rPr>
          <w:b/>
          <w:bCs/>
          <w:spacing w:val="-9"/>
          <w:sz w:val="22"/>
          <w:szCs w:val="24"/>
        </w:rPr>
      </w:pPr>
      <w:r w:rsidRPr="00F93009">
        <w:rPr>
          <w:sz w:val="22"/>
          <w:szCs w:val="24"/>
        </w:rPr>
        <w:t>by inserting after subsection (2) the following subsection:</w:t>
      </w:r>
    </w:p>
    <w:p w14:paraId="3204B6DA" w14:textId="14758CAC" w:rsidR="0053047D" w:rsidRPr="00F93009" w:rsidRDefault="00CE19FE" w:rsidP="00F93009">
      <w:pPr>
        <w:shd w:val="clear" w:color="auto" w:fill="FFFFFF"/>
        <w:spacing w:before="120"/>
        <w:ind w:left="398" w:firstLine="221"/>
        <w:jc w:val="both"/>
        <w:rPr>
          <w:sz w:val="22"/>
          <w:szCs w:val="24"/>
        </w:rPr>
      </w:pPr>
      <w:r w:rsidRPr="00F93009">
        <w:rPr>
          <w:sz w:val="22"/>
          <w:szCs w:val="24"/>
        </w:rPr>
        <w:t>“</w:t>
      </w:r>
      <w:r w:rsidR="0053047D" w:rsidRPr="00F93009">
        <w:rPr>
          <w:sz w:val="22"/>
          <w:szCs w:val="24"/>
        </w:rPr>
        <w:t>(2</w:t>
      </w:r>
      <w:r w:rsidR="00C10F39">
        <w:rPr>
          <w:smallCaps/>
          <w:sz w:val="22"/>
          <w:szCs w:val="24"/>
        </w:rPr>
        <w:t>aa</w:t>
      </w:r>
      <w:r w:rsidR="0053047D" w:rsidRPr="00F93009">
        <w:rPr>
          <w:sz w:val="22"/>
          <w:szCs w:val="24"/>
        </w:rPr>
        <w:t>) In subsection (2), the reference to bodies corporate, or a corporation and a body or bodies corporate, together being in a position to dominate a market is a reference to their being in that position whether or not they would need to act in concert to achieve such domination and whether or not they have acted in concert to put themselves in that position.</w:t>
      </w:r>
      <w:r w:rsidRPr="00F93009">
        <w:rPr>
          <w:sz w:val="22"/>
          <w:szCs w:val="24"/>
        </w:rPr>
        <w:t>”</w:t>
      </w:r>
      <w:r w:rsidR="0053047D" w:rsidRPr="00F93009">
        <w:rPr>
          <w:sz w:val="22"/>
          <w:szCs w:val="24"/>
        </w:rPr>
        <w:t>;</w:t>
      </w:r>
    </w:p>
    <w:p w14:paraId="79E7A893" w14:textId="77777777" w:rsidR="0053047D" w:rsidRPr="00F93009" w:rsidRDefault="0053047D" w:rsidP="00F93009">
      <w:pPr>
        <w:shd w:val="clear" w:color="auto" w:fill="FFFFFF"/>
        <w:spacing w:before="120"/>
        <w:ind w:left="398" w:hanging="398"/>
        <w:jc w:val="both"/>
        <w:rPr>
          <w:sz w:val="22"/>
          <w:szCs w:val="24"/>
        </w:rPr>
      </w:pPr>
      <w:r w:rsidRPr="00F93009">
        <w:rPr>
          <w:b/>
          <w:bCs/>
          <w:sz w:val="22"/>
          <w:szCs w:val="24"/>
        </w:rPr>
        <w:t>(h)</w:t>
      </w:r>
      <w:r w:rsidRPr="00F93009">
        <w:rPr>
          <w:sz w:val="22"/>
          <w:szCs w:val="24"/>
        </w:rPr>
        <w:t xml:space="preserve"> by inserting in subsection </w:t>
      </w:r>
      <w:r w:rsidRPr="00F93009">
        <w:rPr>
          <w:smallCaps/>
          <w:sz w:val="22"/>
          <w:szCs w:val="24"/>
        </w:rPr>
        <w:t xml:space="preserve">(2a) </w:t>
      </w:r>
      <w:r w:rsidR="00CE19FE" w:rsidRPr="00F93009">
        <w:rPr>
          <w:sz w:val="22"/>
          <w:szCs w:val="24"/>
        </w:rPr>
        <w:t>“</w:t>
      </w:r>
      <w:r w:rsidRPr="00F93009">
        <w:rPr>
          <w:sz w:val="22"/>
          <w:szCs w:val="24"/>
        </w:rPr>
        <w:t>, or to be likely to be able to exert</w:t>
      </w:r>
      <w:r w:rsidR="00CE19FE" w:rsidRPr="00F93009">
        <w:rPr>
          <w:sz w:val="22"/>
          <w:szCs w:val="24"/>
        </w:rPr>
        <w:t>”</w:t>
      </w:r>
      <w:r w:rsidRPr="00F93009">
        <w:rPr>
          <w:sz w:val="22"/>
          <w:szCs w:val="24"/>
        </w:rPr>
        <w:t xml:space="preserve"> after </w:t>
      </w:r>
      <w:r w:rsidR="00CE19FE" w:rsidRPr="00F93009">
        <w:rPr>
          <w:sz w:val="22"/>
          <w:szCs w:val="24"/>
        </w:rPr>
        <w:t>“</w:t>
      </w:r>
      <w:r w:rsidRPr="00F93009">
        <w:rPr>
          <w:sz w:val="22"/>
          <w:szCs w:val="24"/>
        </w:rPr>
        <w:t>exert</w:t>
      </w:r>
      <w:r w:rsidR="00CE19FE" w:rsidRPr="00F93009">
        <w:rPr>
          <w:sz w:val="22"/>
          <w:szCs w:val="24"/>
        </w:rPr>
        <w:t>”</w:t>
      </w:r>
      <w:r w:rsidRPr="00F93009">
        <w:rPr>
          <w:sz w:val="22"/>
          <w:szCs w:val="24"/>
        </w:rPr>
        <w:t>;</w:t>
      </w:r>
    </w:p>
    <w:p w14:paraId="473B185F" w14:textId="77777777" w:rsidR="0053047D" w:rsidRPr="00F93009" w:rsidRDefault="0053047D" w:rsidP="00F93009">
      <w:pPr>
        <w:shd w:val="clear" w:color="auto" w:fill="FFFFFF"/>
        <w:spacing w:before="120"/>
        <w:ind w:left="58"/>
        <w:rPr>
          <w:sz w:val="22"/>
          <w:szCs w:val="24"/>
        </w:rPr>
      </w:pPr>
      <w:r w:rsidRPr="00F93009">
        <w:rPr>
          <w:b/>
          <w:bCs/>
          <w:sz w:val="22"/>
          <w:szCs w:val="24"/>
        </w:rPr>
        <w:t>(i)</w:t>
      </w:r>
      <w:r w:rsidRPr="00F93009">
        <w:rPr>
          <w:sz w:val="22"/>
          <w:szCs w:val="24"/>
        </w:rPr>
        <w:t xml:space="preserve"> by inserting after subsection </w:t>
      </w:r>
      <w:r w:rsidRPr="00F93009">
        <w:rPr>
          <w:smallCaps/>
          <w:sz w:val="22"/>
          <w:szCs w:val="24"/>
        </w:rPr>
        <w:t xml:space="preserve">(2a) </w:t>
      </w:r>
      <w:r w:rsidRPr="00F93009">
        <w:rPr>
          <w:sz w:val="22"/>
          <w:szCs w:val="24"/>
        </w:rPr>
        <w:t>the following subsection:</w:t>
      </w:r>
    </w:p>
    <w:p w14:paraId="4122CFD9" w14:textId="77777777" w:rsidR="0053047D" w:rsidRPr="00F93009" w:rsidRDefault="00CE19FE" w:rsidP="00F93009">
      <w:pPr>
        <w:shd w:val="clear" w:color="auto" w:fill="FFFFFF"/>
        <w:spacing w:before="120"/>
        <w:ind w:left="394" w:firstLine="221"/>
        <w:jc w:val="both"/>
        <w:rPr>
          <w:sz w:val="22"/>
          <w:szCs w:val="24"/>
        </w:rPr>
      </w:pPr>
      <w:r w:rsidRPr="00F93009">
        <w:rPr>
          <w:smallCaps/>
          <w:sz w:val="22"/>
          <w:szCs w:val="24"/>
        </w:rPr>
        <w:t>“</w:t>
      </w:r>
      <w:r w:rsidR="0053047D" w:rsidRPr="00F93009">
        <w:rPr>
          <w:smallCaps/>
          <w:sz w:val="22"/>
          <w:szCs w:val="24"/>
        </w:rPr>
        <w:t xml:space="preserve">(2ab) </w:t>
      </w:r>
      <w:r w:rsidR="0053047D" w:rsidRPr="00F93009">
        <w:rPr>
          <w:sz w:val="22"/>
          <w:szCs w:val="24"/>
        </w:rPr>
        <w:t xml:space="preserve">In subsection </w:t>
      </w:r>
      <w:r w:rsidR="0053047D" w:rsidRPr="00F93009">
        <w:rPr>
          <w:smallCaps/>
          <w:sz w:val="22"/>
          <w:szCs w:val="24"/>
        </w:rPr>
        <w:t xml:space="preserve">(2a), </w:t>
      </w:r>
      <w:r w:rsidR="0053047D" w:rsidRPr="00F93009">
        <w:rPr>
          <w:sz w:val="22"/>
          <w:szCs w:val="24"/>
        </w:rPr>
        <w:t>the reference to bodies corporate, together with another body corporate or other bodies corporate, being in a position to exert a substantial degree of influence is a reference to their being in that position whether or not they would need to act in concert to exert such influence and whether or not they have acted in concert to put themselves in that position.</w:t>
      </w:r>
      <w:r w:rsidRPr="00F93009">
        <w:rPr>
          <w:sz w:val="22"/>
          <w:szCs w:val="24"/>
        </w:rPr>
        <w:t>”</w:t>
      </w:r>
      <w:r w:rsidR="0053047D" w:rsidRPr="00F93009">
        <w:rPr>
          <w:sz w:val="22"/>
          <w:szCs w:val="24"/>
        </w:rPr>
        <w:t>;</w:t>
      </w:r>
    </w:p>
    <w:p w14:paraId="6F8CA1C7" w14:textId="77777777" w:rsidR="0053047D" w:rsidRPr="00F93009" w:rsidRDefault="0053047D" w:rsidP="00F93009">
      <w:pPr>
        <w:shd w:val="clear" w:color="auto" w:fill="FFFFFF"/>
        <w:spacing w:before="120"/>
        <w:ind w:left="398" w:hanging="346"/>
        <w:jc w:val="both"/>
        <w:rPr>
          <w:sz w:val="22"/>
          <w:szCs w:val="24"/>
        </w:rPr>
      </w:pPr>
      <w:r w:rsidRPr="00F93009">
        <w:rPr>
          <w:b/>
          <w:bCs/>
          <w:sz w:val="22"/>
          <w:szCs w:val="24"/>
        </w:rPr>
        <w:t>(j)</w:t>
      </w:r>
      <w:r w:rsidRPr="00F93009">
        <w:rPr>
          <w:sz w:val="22"/>
          <w:szCs w:val="24"/>
        </w:rPr>
        <w:t xml:space="preserve"> by inserting in subsection </w:t>
      </w:r>
      <w:r w:rsidRPr="00F93009">
        <w:rPr>
          <w:smallCaps/>
          <w:sz w:val="22"/>
          <w:szCs w:val="24"/>
        </w:rPr>
        <w:t xml:space="preserve">(2b) </w:t>
      </w:r>
      <w:r w:rsidR="00CE19FE" w:rsidRPr="00F93009">
        <w:rPr>
          <w:sz w:val="22"/>
          <w:szCs w:val="24"/>
        </w:rPr>
        <w:t>“</w:t>
      </w:r>
      <w:r w:rsidRPr="00F93009">
        <w:rPr>
          <w:sz w:val="22"/>
          <w:szCs w:val="24"/>
        </w:rPr>
        <w:t>, or to be likely to be able to exert,</w:t>
      </w:r>
      <w:r w:rsidR="00CE19FE" w:rsidRPr="00F93009">
        <w:rPr>
          <w:sz w:val="22"/>
          <w:szCs w:val="24"/>
        </w:rPr>
        <w:t>”</w:t>
      </w:r>
      <w:r w:rsidRPr="00F93009">
        <w:rPr>
          <w:sz w:val="22"/>
          <w:szCs w:val="24"/>
        </w:rPr>
        <w:t xml:space="preserve"> after </w:t>
      </w:r>
      <w:r w:rsidR="00CE19FE" w:rsidRPr="00F93009">
        <w:rPr>
          <w:sz w:val="22"/>
          <w:szCs w:val="24"/>
        </w:rPr>
        <w:t>“</w:t>
      </w:r>
      <w:r w:rsidRPr="00F93009">
        <w:rPr>
          <w:sz w:val="22"/>
          <w:szCs w:val="24"/>
        </w:rPr>
        <w:t>exert</w:t>
      </w:r>
      <w:r w:rsidR="00CE19FE" w:rsidRPr="00F93009">
        <w:rPr>
          <w:sz w:val="22"/>
          <w:szCs w:val="24"/>
        </w:rPr>
        <w:t>”</w:t>
      </w:r>
      <w:r w:rsidRPr="00F93009">
        <w:rPr>
          <w:sz w:val="22"/>
          <w:szCs w:val="24"/>
        </w:rPr>
        <w:t>.</w:t>
      </w:r>
    </w:p>
    <w:p w14:paraId="0127495B" w14:textId="77777777" w:rsidR="0053047D" w:rsidRPr="00F93009" w:rsidRDefault="0053047D" w:rsidP="008F1C49">
      <w:pPr>
        <w:shd w:val="clear" w:color="auto" w:fill="FFFFFF"/>
        <w:spacing w:before="48"/>
        <w:ind w:left="398" w:right="10" w:hanging="346"/>
        <w:jc w:val="both"/>
        <w:rPr>
          <w:sz w:val="22"/>
          <w:szCs w:val="24"/>
        </w:rPr>
        <w:sectPr w:rsidR="0053047D" w:rsidRPr="00F93009" w:rsidSect="00F93009">
          <w:pgSz w:w="12240" w:h="15840" w:code="1"/>
          <w:pgMar w:top="1440" w:right="1440" w:bottom="1440" w:left="1440" w:header="720" w:footer="720" w:gutter="0"/>
          <w:cols w:space="60"/>
          <w:noEndnote/>
        </w:sectPr>
      </w:pPr>
    </w:p>
    <w:p w14:paraId="5B35D77D" w14:textId="77777777" w:rsidR="0053047D" w:rsidRPr="00F93009" w:rsidRDefault="0053047D" w:rsidP="008F1C49">
      <w:pPr>
        <w:shd w:val="clear" w:color="auto" w:fill="FFFFFF"/>
        <w:ind w:left="5"/>
        <w:jc w:val="center"/>
        <w:rPr>
          <w:sz w:val="22"/>
          <w:szCs w:val="24"/>
        </w:rPr>
      </w:pPr>
      <w:r w:rsidRPr="00F93009">
        <w:rPr>
          <w:b/>
          <w:bCs/>
          <w:sz w:val="22"/>
          <w:szCs w:val="24"/>
        </w:rPr>
        <w:lastRenderedPageBreak/>
        <w:t>NOTE</w:t>
      </w:r>
    </w:p>
    <w:p w14:paraId="3B98AF6D" w14:textId="77777777" w:rsidR="0053047D" w:rsidRPr="00F93009" w:rsidRDefault="0053047D" w:rsidP="00F93009">
      <w:pPr>
        <w:shd w:val="clear" w:color="auto" w:fill="FFFFFF"/>
        <w:spacing w:before="240"/>
        <w:ind w:left="293" w:hanging="293"/>
        <w:jc w:val="both"/>
      </w:pPr>
      <w:r w:rsidRPr="00F93009">
        <w:t xml:space="preserve">1. No. 51, 1974, as amended. For previous amendments, see Nos. 56 and 63, </w:t>
      </w:r>
      <w:r w:rsidRPr="00F93009">
        <w:rPr>
          <w:spacing w:val="-3"/>
        </w:rPr>
        <w:t xml:space="preserve">1975; Nos. 88 and 157, 1976; Nos. 81, 111 and 151, 1977; Nos. 206 and 207, </w:t>
      </w:r>
      <w:r w:rsidRPr="00F93009">
        <w:rPr>
          <w:spacing w:val="-2"/>
        </w:rPr>
        <w:t xml:space="preserve">1978; No. 73, 1980; Nos. 61 and 176, 1981; No. 80, 1982; No. 39, 1983; Nos. </w:t>
      </w:r>
      <w:r w:rsidRPr="00F93009">
        <w:t xml:space="preserve">63, 73 and 165, 1984; No. 65, 1985; Nos. 8, 17 and 168, 1986; Nos. 23 and </w:t>
      </w:r>
      <w:r w:rsidRPr="00F93009">
        <w:rPr>
          <w:spacing w:val="-1"/>
        </w:rPr>
        <w:t>141, 1987; Nos. 8, 20 and 87, 1988; Nos. 28 and 34, 1989; and No. 11, 1990.</w:t>
      </w:r>
    </w:p>
    <w:p w14:paraId="6B8EC5CE" w14:textId="77777777" w:rsidR="0053047D" w:rsidRPr="00F93009" w:rsidRDefault="0053047D" w:rsidP="008F1C49">
      <w:pPr>
        <w:shd w:val="clear" w:color="auto" w:fill="FFFFFF"/>
        <w:spacing w:before="226"/>
      </w:pPr>
      <w:r w:rsidRPr="00F93009">
        <w:rPr>
          <w:spacing w:val="-4"/>
        </w:rPr>
        <w:t>[</w:t>
      </w:r>
      <w:r w:rsidRPr="00F93009">
        <w:rPr>
          <w:i/>
          <w:iCs/>
          <w:spacing w:val="-4"/>
        </w:rPr>
        <w:t>Minister</w:t>
      </w:r>
      <w:r w:rsidR="00CE19FE" w:rsidRPr="00F93009">
        <w:rPr>
          <w:i/>
          <w:iCs/>
          <w:spacing w:val="-4"/>
        </w:rPr>
        <w:t>’</w:t>
      </w:r>
      <w:r w:rsidRPr="00F93009">
        <w:rPr>
          <w:i/>
          <w:iCs/>
          <w:spacing w:val="-4"/>
        </w:rPr>
        <w:t>s second reading speech made in</w:t>
      </w:r>
      <w:r w:rsidRPr="00F93009">
        <w:rPr>
          <w:spacing w:val="-4"/>
        </w:rPr>
        <w:t>—</w:t>
      </w:r>
    </w:p>
    <w:p w14:paraId="3CF003CE" w14:textId="77777777" w:rsidR="00C10F39" w:rsidRDefault="0053047D" w:rsidP="008F1C49">
      <w:pPr>
        <w:shd w:val="clear" w:color="auto" w:fill="FFFFFF"/>
        <w:spacing w:before="5"/>
        <w:ind w:left="749" w:right="2016"/>
        <w:rPr>
          <w:i/>
          <w:iCs/>
          <w:spacing w:val="-4"/>
        </w:rPr>
      </w:pPr>
      <w:r w:rsidRPr="00F93009">
        <w:rPr>
          <w:i/>
          <w:iCs/>
          <w:spacing w:val="-4"/>
        </w:rPr>
        <w:t xml:space="preserve">House of Representatives on 21 December 1990 </w:t>
      </w:r>
    </w:p>
    <w:p w14:paraId="5F476E8A" w14:textId="3C670F86" w:rsidR="0053047D" w:rsidRPr="00F93009" w:rsidRDefault="0053047D" w:rsidP="008F1C49">
      <w:pPr>
        <w:shd w:val="clear" w:color="auto" w:fill="FFFFFF"/>
        <w:spacing w:before="5"/>
        <w:ind w:left="749" w:right="2016"/>
      </w:pPr>
      <w:r w:rsidRPr="00F93009">
        <w:rPr>
          <w:i/>
          <w:iCs/>
        </w:rPr>
        <w:t>Senate on 11 March 1991</w:t>
      </w:r>
      <w:r w:rsidR="002833FB">
        <w:t>]</w:t>
      </w:r>
      <w:bookmarkStart w:id="0" w:name="_GoBack"/>
      <w:bookmarkEnd w:id="0"/>
    </w:p>
    <w:sectPr w:rsidR="0053047D" w:rsidRPr="00F93009" w:rsidSect="00F93009">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CCAE74" w15:done="0"/>
  <w15:commentEx w15:paraId="031E9EC9" w15:done="0"/>
  <w15:commentEx w15:paraId="68E0390F" w15:done="0"/>
  <w15:commentEx w15:paraId="76B1EA98" w15:done="0"/>
  <w15:commentEx w15:paraId="72E279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CAE74" w16cid:durableId="20757600"/>
  <w16cid:commentId w16cid:paraId="031E9EC9" w16cid:durableId="20757610"/>
  <w16cid:commentId w16cid:paraId="68E0390F" w16cid:durableId="20757619"/>
  <w16cid:commentId w16cid:paraId="76B1EA98" w16cid:durableId="2075762A"/>
  <w16cid:commentId w16cid:paraId="72E27900" w16cid:durableId="207576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3B5CF" w14:textId="77777777" w:rsidR="00F47913" w:rsidRDefault="00F47913" w:rsidP="008F1C49">
      <w:r>
        <w:separator/>
      </w:r>
    </w:p>
  </w:endnote>
  <w:endnote w:type="continuationSeparator" w:id="0">
    <w:p w14:paraId="1C298514" w14:textId="77777777" w:rsidR="00F47913" w:rsidRDefault="00F47913" w:rsidP="008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1826E" w14:textId="77777777" w:rsidR="00F47913" w:rsidRDefault="00F47913" w:rsidP="008F1C49">
      <w:r>
        <w:separator/>
      </w:r>
    </w:p>
  </w:footnote>
  <w:footnote w:type="continuationSeparator" w:id="0">
    <w:p w14:paraId="56424F82" w14:textId="77777777" w:rsidR="00F47913" w:rsidRDefault="00F47913" w:rsidP="008F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219B" w14:textId="77777777" w:rsidR="008F1C49" w:rsidRPr="00F93009" w:rsidRDefault="008F1C49" w:rsidP="008F1C49">
    <w:pPr>
      <w:pStyle w:val="Header"/>
      <w:jc w:val="center"/>
      <w:rPr>
        <w:sz w:val="18"/>
      </w:rPr>
    </w:pPr>
    <w:r w:rsidRPr="00F93009">
      <w:rPr>
        <w:i/>
        <w:iCs/>
        <w:sz w:val="22"/>
        <w:szCs w:val="24"/>
      </w:rPr>
      <w:t>Trade Practices Amendment</w:t>
    </w:r>
    <w:r w:rsidRPr="00F93009">
      <w:rPr>
        <w:i/>
        <w:iCs/>
        <w:sz w:val="22"/>
        <w:szCs w:val="24"/>
      </w:rPr>
      <w:tab/>
      <w:t>No. 49,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B02"/>
    <w:multiLevelType w:val="singleLevel"/>
    <w:tmpl w:val="9FDC5360"/>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47E72E4E"/>
    <w:multiLevelType w:val="singleLevel"/>
    <w:tmpl w:val="2EA03F88"/>
    <w:lvl w:ilvl="0">
      <w:start w:val="3"/>
      <w:numFmt w:val="lowerLetter"/>
      <w:lvlText w:val="(%1)"/>
      <w:legacy w:legacy="1" w:legacySpace="0" w:legacyIndent="384"/>
      <w:lvlJc w:val="left"/>
      <w:rPr>
        <w:rFonts w:ascii="Times New Roman" w:hAnsi="Times New Roman" w:cs="Times New Roman"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49"/>
    <w:rsid w:val="000842A3"/>
    <w:rsid w:val="000949C5"/>
    <w:rsid w:val="002833FB"/>
    <w:rsid w:val="00491B95"/>
    <w:rsid w:val="0053047D"/>
    <w:rsid w:val="006F37FD"/>
    <w:rsid w:val="00710B74"/>
    <w:rsid w:val="0071199D"/>
    <w:rsid w:val="008F1C49"/>
    <w:rsid w:val="00C10F39"/>
    <w:rsid w:val="00CC6794"/>
    <w:rsid w:val="00CE19FE"/>
    <w:rsid w:val="00DA04D1"/>
    <w:rsid w:val="00E150E3"/>
    <w:rsid w:val="00F47913"/>
    <w:rsid w:val="00F52010"/>
    <w:rsid w:val="00F9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EB7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C49"/>
    <w:pPr>
      <w:tabs>
        <w:tab w:val="center" w:pos="4680"/>
        <w:tab w:val="right" w:pos="9360"/>
      </w:tabs>
    </w:pPr>
  </w:style>
  <w:style w:type="character" w:customStyle="1" w:styleId="HeaderChar">
    <w:name w:val="Header Char"/>
    <w:basedOn w:val="DefaultParagraphFont"/>
    <w:link w:val="Header"/>
    <w:uiPriority w:val="99"/>
    <w:locked/>
    <w:rsid w:val="008F1C49"/>
    <w:rPr>
      <w:rFonts w:ascii="Times New Roman" w:hAnsi="Times New Roman" w:cs="Times New Roman"/>
      <w:sz w:val="20"/>
    </w:rPr>
  </w:style>
  <w:style w:type="paragraph" w:styleId="Footer">
    <w:name w:val="footer"/>
    <w:basedOn w:val="Normal"/>
    <w:link w:val="FooterChar"/>
    <w:uiPriority w:val="99"/>
    <w:unhideWhenUsed/>
    <w:rsid w:val="008F1C49"/>
    <w:pPr>
      <w:tabs>
        <w:tab w:val="center" w:pos="4680"/>
        <w:tab w:val="right" w:pos="9360"/>
      </w:tabs>
    </w:pPr>
  </w:style>
  <w:style w:type="character" w:customStyle="1" w:styleId="FooterChar">
    <w:name w:val="Footer Char"/>
    <w:basedOn w:val="DefaultParagraphFont"/>
    <w:link w:val="Footer"/>
    <w:uiPriority w:val="99"/>
    <w:locked/>
    <w:rsid w:val="008F1C49"/>
    <w:rPr>
      <w:rFonts w:ascii="Times New Roman" w:hAnsi="Times New Roman" w:cs="Times New Roman"/>
      <w:sz w:val="20"/>
    </w:rPr>
  </w:style>
  <w:style w:type="paragraph" w:styleId="BalloonText">
    <w:name w:val="Balloon Text"/>
    <w:basedOn w:val="Normal"/>
    <w:link w:val="BalloonTextChar"/>
    <w:uiPriority w:val="99"/>
    <w:semiHidden/>
    <w:unhideWhenUsed/>
    <w:rsid w:val="008F1C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C49"/>
    <w:rPr>
      <w:rFonts w:ascii="Tahoma" w:hAnsi="Tahoma" w:cs="Times New Roman"/>
      <w:sz w:val="16"/>
    </w:rPr>
  </w:style>
  <w:style w:type="character" w:styleId="CommentReference">
    <w:name w:val="annotation reference"/>
    <w:basedOn w:val="DefaultParagraphFont"/>
    <w:uiPriority w:val="99"/>
    <w:semiHidden/>
    <w:unhideWhenUsed/>
    <w:rsid w:val="000842A3"/>
    <w:rPr>
      <w:sz w:val="16"/>
      <w:szCs w:val="16"/>
    </w:rPr>
  </w:style>
  <w:style w:type="paragraph" w:styleId="CommentText">
    <w:name w:val="annotation text"/>
    <w:basedOn w:val="Normal"/>
    <w:link w:val="CommentTextChar"/>
    <w:uiPriority w:val="99"/>
    <w:semiHidden/>
    <w:unhideWhenUsed/>
    <w:rsid w:val="000842A3"/>
  </w:style>
  <w:style w:type="character" w:customStyle="1" w:styleId="CommentTextChar">
    <w:name w:val="Comment Text Char"/>
    <w:basedOn w:val="DefaultParagraphFont"/>
    <w:link w:val="CommentText"/>
    <w:uiPriority w:val="99"/>
    <w:semiHidden/>
    <w:rsid w:val="000842A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42A3"/>
    <w:rPr>
      <w:b/>
      <w:bCs/>
    </w:rPr>
  </w:style>
  <w:style w:type="character" w:customStyle="1" w:styleId="CommentSubjectChar">
    <w:name w:val="Comment Subject Char"/>
    <w:basedOn w:val="CommentTextChar"/>
    <w:link w:val="CommentSubject"/>
    <w:uiPriority w:val="99"/>
    <w:semiHidden/>
    <w:rsid w:val="000842A3"/>
    <w:rPr>
      <w:rFonts w:ascii="Times New Roman" w:hAnsi="Times New Roman" w:cs="Times New Roman"/>
      <w:b/>
      <w:bCs/>
    </w:rPr>
  </w:style>
  <w:style w:type="paragraph" w:styleId="Revision">
    <w:name w:val="Revision"/>
    <w:hidden/>
    <w:uiPriority w:val="99"/>
    <w:semiHidden/>
    <w:rsid w:val="00C10F3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C49"/>
    <w:pPr>
      <w:tabs>
        <w:tab w:val="center" w:pos="4680"/>
        <w:tab w:val="right" w:pos="9360"/>
      </w:tabs>
    </w:pPr>
  </w:style>
  <w:style w:type="character" w:customStyle="1" w:styleId="HeaderChar">
    <w:name w:val="Header Char"/>
    <w:basedOn w:val="DefaultParagraphFont"/>
    <w:link w:val="Header"/>
    <w:uiPriority w:val="99"/>
    <w:locked/>
    <w:rsid w:val="008F1C49"/>
    <w:rPr>
      <w:rFonts w:ascii="Times New Roman" w:hAnsi="Times New Roman" w:cs="Times New Roman"/>
      <w:sz w:val="20"/>
    </w:rPr>
  </w:style>
  <w:style w:type="paragraph" w:styleId="Footer">
    <w:name w:val="footer"/>
    <w:basedOn w:val="Normal"/>
    <w:link w:val="FooterChar"/>
    <w:uiPriority w:val="99"/>
    <w:unhideWhenUsed/>
    <w:rsid w:val="008F1C49"/>
    <w:pPr>
      <w:tabs>
        <w:tab w:val="center" w:pos="4680"/>
        <w:tab w:val="right" w:pos="9360"/>
      </w:tabs>
    </w:pPr>
  </w:style>
  <w:style w:type="character" w:customStyle="1" w:styleId="FooterChar">
    <w:name w:val="Footer Char"/>
    <w:basedOn w:val="DefaultParagraphFont"/>
    <w:link w:val="Footer"/>
    <w:uiPriority w:val="99"/>
    <w:locked/>
    <w:rsid w:val="008F1C49"/>
    <w:rPr>
      <w:rFonts w:ascii="Times New Roman" w:hAnsi="Times New Roman" w:cs="Times New Roman"/>
      <w:sz w:val="20"/>
    </w:rPr>
  </w:style>
  <w:style w:type="paragraph" w:styleId="BalloonText">
    <w:name w:val="Balloon Text"/>
    <w:basedOn w:val="Normal"/>
    <w:link w:val="BalloonTextChar"/>
    <w:uiPriority w:val="99"/>
    <w:semiHidden/>
    <w:unhideWhenUsed/>
    <w:rsid w:val="008F1C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C49"/>
    <w:rPr>
      <w:rFonts w:ascii="Tahoma" w:hAnsi="Tahoma" w:cs="Times New Roman"/>
      <w:sz w:val="16"/>
    </w:rPr>
  </w:style>
  <w:style w:type="character" w:styleId="CommentReference">
    <w:name w:val="annotation reference"/>
    <w:basedOn w:val="DefaultParagraphFont"/>
    <w:uiPriority w:val="99"/>
    <w:semiHidden/>
    <w:unhideWhenUsed/>
    <w:rsid w:val="000842A3"/>
    <w:rPr>
      <w:sz w:val="16"/>
      <w:szCs w:val="16"/>
    </w:rPr>
  </w:style>
  <w:style w:type="paragraph" w:styleId="CommentText">
    <w:name w:val="annotation text"/>
    <w:basedOn w:val="Normal"/>
    <w:link w:val="CommentTextChar"/>
    <w:uiPriority w:val="99"/>
    <w:semiHidden/>
    <w:unhideWhenUsed/>
    <w:rsid w:val="000842A3"/>
  </w:style>
  <w:style w:type="character" w:customStyle="1" w:styleId="CommentTextChar">
    <w:name w:val="Comment Text Char"/>
    <w:basedOn w:val="DefaultParagraphFont"/>
    <w:link w:val="CommentText"/>
    <w:uiPriority w:val="99"/>
    <w:semiHidden/>
    <w:rsid w:val="000842A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42A3"/>
    <w:rPr>
      <w:b/>
      <w:bCs/>
    </w:rPr>
  </w:style>
  <w:style w:type="character" w:customStyle="1" w:styleId="CommentSubjectChar">
    <w:name w:val="Comment Subject Char"/>
    <w:basedOn w:val="CommentTextChar"/>
    <w:link w:val="CommentSubject"/>
    <w:uiPriority w:val="99"/>
    <w:semiHidden/>
    <w:rsid w:val="000842A3"/>
    <w:rPr>
      <w:rFonts w:ascii="Times New Roman" w:hAnsi="Times New Roman" w:cs="Times New Roman"/>
      <w:b/>
      <w:bCs/>
    </w:rPr>
  </w:style>
  <w:style w:type="paragraph" w:styleId="Revision">
    <w:name w:val="Revision"/>
    <w:hidden/>
    <w:uiPriority w:val="99"/>
    <w:semiHidden/>
    <w:rsid w:val="00C10F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Ziegler, Liesl</cp:lastModifiedBy>
  <cp:revision>3</cp:revision>
  <dcterms:created xsi:type="dcterms:W3CDTF">2019-05-02T03:59:00Z</dcterms:created>
  <dcterms:modified xsi:type="dcterms:W3CDTF">2019-10-10T05:28:00Z</dcterms:modified>
</cp:coreProperties>
</file>