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E2EDF" w14:textId="77777777" w:rsidR="00BD26F9" w:rsidRPr="00166B8D" w:rsidRDefault="00ED590A" w:rsidP="002B3ADC">
      <w:pPr>
        <w:widowControl w:val="0"/>
        <w:autoSpaceDE w:val="0"/>
        <w:autoSpaceDN w:val="0"/>
        <w:adjustRightInd w:val="0"/>
        <w:spacing w:before="120"/>
        <w:jc w:val="center"/>
        <w:rPr>
          <w:sz w:val="22"/>
          <w:szCs w:val="22"/>
        </w:rPr>
      </w:pPr>
      <w:r>
        <w:rPr>
          <w:noProof/>
          <w:sz w:val="22"/>
          <w:szCs w:val="22"/>
          <w:lang w:val="en-AU" w:eastAsia="en-AU"/>
        </w:rPr>
        <w:drawing>
          <wp:inline distT="0" distB="0" distL="0" distR="0" wp14:anchorId="55057D3C" wp14:editId="4EA23E8A">
            <wp:extent cx="1417320" cy="1036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7320" cy="1036320"/>
                    </a:xfrm>
                    <a:prstGeom prst="rect">
                      <a:avLst/>
                    </a:prstGeom>
                    <a:noFill/>
                    <a:ln>
                      <a:noFill/>
                    </a:ln>
                  </pic:spPr>
                </pic:pic>
              </a:graphicData>
            </a:graphic>
          </wp:inline>
        </w:drawing>
      </w:r>
    </w:p>
    <w:p w14:paraId="35A8E4F9" w14:textId="77777777" w:rsidR="00BD26F9" w:rsidRPr="002B3ADC" w:rsidRDefault="00BD26F9" w:rsidP="002B3ADC">
      <w:pPr>
        <w:widowControl w:val="0"/>
        <w:autoSpaceDE w:val="0"/>
        <w:autoSpaceDN w:val="0"/>
        <w:adjustRightInd w:val="0"/>
        <w:spacing w:before="720"/>
        <w:jc w:val="center"/>
        <w:rPr>
          <w:b/>
          <w:bCs/>
          <w:sz w:val="36"/>
          <w:szCs w:val="22"/>
        </w:rPr>
      </w:pPr>
      <w:r w:rsidRPr="002B3ADC">
        <w:rPr>
          <w:b/>
          <w:bCs/>
          <w:sz w:val="36"/>
          <w:szCs w:val="22"/>
        </w:rPr>
        <w:t>Cattle Export Charge Act 1990</w:t>
      </w:r>
    </w:p>
    <w:p w14:paraId="2B64F4A2" w14:textId="071169BF" w:rsidR="002B3ADC" w:rsidRPr="002023E9" w:rsidRDefault="00BD26F9" w:rsidP="002B3ADC">
      <w:pPr>
        <w:widowControl w:val="0"/>
        <w:autoSpaceDE w:val="0"/>
        <w:autoSpaceDN w:val="0"/>
        <w:adjustRightInd w:val="0"/>
        <w:spacing w:before="720"/>
        <w:jc w:val="center"/>
        <w:rPr>
          <w:b/>
          <w:bCs/>
          <w:szCs w:val="22"/>
        </w:rPr>
      </w:pPr>
      <w:r w:rsidRPr="002023E9">
        <w:rPr>
          <w:b/>
          <w:bCs/>
          <w:szCs w:val="22"/>
        </w:rPr>
        <w:t>No. 142 of 1990</w:t>
      </w:r>
    </w:p>
    <w:p w14:paraId="5B09ABF7" w14:textId="77777777" w:rsidR="00BD26F9" w:rsidRPr="00166B8D" w:rsidRDefault="00BD26F9" w:rsidP="002B3ADC">
      <w:pPr>
        <w:widowControl w:val="0"/>
        <w:pBdr>
          <w:bottom w:val="double" w:sz="4" w:space="1" w:color="auto"/>
        </w:pBdr>
        <w:autoSpaceDE w:val="0"/>
        <w:autoSpaceDN w:val="0"/>
        <w:adjustRightInd w:val="0"/>
        <w:spacing w:before="720"/>
        <w:jc w:val="center"/>
        <w:rPr>
          <w:bCs/>
          <w:sz w:val="22"/>
          <w:szCs w:val="22"/>
        </w:rPr>
      </w:pPr>
    </w:p>
    <w:p w14:paraId="1D16F6A7" w14:textId="77777777" w:rsidR="00BD26F9" w:rsidRPr="002B3ADC" w:rsidRDefault="00BD26F9" w:rsidP="002B3ADC">
      <w:pPr>
        <w:widowControl w:val="0"/>
        <w:autoSpaceDE w:val="0"/>
        <w:autoSpaceDN w:val="0"/>
        <w:adjustRightInd w:val="0"/>
        <w:spacing w:before="720"/>
        <w:jc w:val="center"/>
        <w:rPr>
          <w:bCs/>
          <w:sz w:val="26"/>
          <w:szCs w:val="26"/>
        </w:rPr>
      </w:pPr>
      <w:r w:rsidRPr="002B3ADC">
        <w:rPr>
          <w:b/>
          <w:bCs/>
          <w:sz w:val="26"/>
          <w:szCs w:val="26"/>
        </w:rPr>
        <w:t>An Act to impose a charge on the export of cattle</w:t>
      </w:r>
    </w:p>
    <w:p w14:paraId="150128EE" w14:textId="77777777" w:rsidR="00BD26F9" w:rsidRPr="00166B8D" w:rsidRDefault="00BD26F9" w:rsidP="002B3ADC">
      <w:pPr>
        <w:widowControl w:val="0"/>
        <w:autoSpaceDE w:val="0"/>
        <w:autoSpaceDN w:val="0"/>
        <w:adjustRightInd w:val="0"/>
        <w:spacing w:before="120"/>
        <w:jc w:val="right"/>
        <w:rPr>
          <w:iCs/>
          <w:sz w:val="22"/>
          <w:szCs w:val="22"/>
        </w:rPr>
      </w:pPr>
      <w:r w:rsidRPr="00166B8D">
        <w:rPr>
          <w:sz w:val="22"/>
          <w:szCs w:val="22"/>
        </w:rPr>
        <w:t>[</w:t>
      </w:r>
      <w:r w:rsidRPr="00166B8D">
        <w:rPr>
          <w:i/>
          <w:iCs/>
          <w:sz w:val="22"/>
          <w:szCs w:val="22"/>
        </w:rPr>
        <w:t>Assented to 28 December 1990</w:t>
      </w:r>
      <w:r w:rsidRPr="00166B8D">
        <w:rPr>
          <w:sz w:val="22"/>
          <w:szCs w:val="22"/>
        </w:rPr>
        <w:t>]</w:t>
      </w:r>
    </w:p>
    <w:p w14:paraId="688BF824" w14:textId="77777777" w:rsidR="00BD26F9" w:rsidRPr="00166B8D" w:rsidRDefault="00BD26F9" w:rsidP="00BD26F9">
      <w:pPr>
        <w:widowControl w:val="0"/>
        <w:autoSpaceDE w:val="0"/>
        <w:autoSpaceDN w:val="0"/>
        <w:adjustRightInd w:val="0"/>
        <w:spacing w:before="120"/>
        <w:ind w:firstLine="341"/>
        <w:jc w:val="both"/>
        <w:rPr>
          <w:sz w:val="22"/>
          <w:szCs w:val="22"/>
        </w:rPr>
      </w:pPr>
      <w:r w:rsidRPr="00166B8D">
        <w:rPr>
          <w:sz w:val="22"/>
          <w:szCs w:val="22"/>
        </w:rPr>
        <w:t>BE IT ENACTED by the Queen, and the Senate and the House of Representatives of the Commonwealth of Australia, as follows:</w:t>
      </w:r>
    </w:p>
    <w:p w14:paraId="5CBB7A6F" w14:textId="77777777" w:rsidR="00BD26F9" w:rsidRPr="00166B8D" w:rsidRDefault="00BD26F9" w:rsidP="00BD26F9">
      <w:pPr>
        <w:widowControl w:val="0"/>
        <w:autoSpaceDE w:val="0"/>
        <w:autoSpaceDN w:val="0"/>
        <w:adjustRightInd w:val="0"/>
        <w:spacing w:before="120" w:after="60"/>
        <w:jc w:val="both"/>
        <w:rPr>
          <w:bCs/>
          <w:sz w:val="22"/>
          <w:szCs w:val="22"/>
        </w:rPr>
      </w:pPr>
      <w:r w:rsidRPr="00166B8D">
        <w:rPr>
          <w:b/>
          <w:bCs/>
          <w:sz w:val="22"/>
          <w:szCs w:val="22"/>
        </w:rPr>
        <w:t>Short title</w:t>
      </w:r>
    </w:p>
    <w:p w14:paraId="1F54C9BF" w14:textId="77777777" w:rsidR="00BD26F9" w:rsidRPr="00166B8D" w:rsidRDefault="00BD26F9" w:rsidP="00BD26F9">
      <w:pPr>
        <w:widowControl w:val="0"/>
        <w:tabs>
          <w:tab w:val="left" w:pos="634"/>
        </w:tabs>
        <w:autoSpaceDE w:val="0"/>
        <w:autoSpaceDN w:val="0"/>
        <w:adjustRightInd w:val="0"/>
        <w:spacing w:before="120"/>
        <w:ind w:left="336"/>
        <w:jc w:val="both"/>
        <w:rPr>
          <w:iCs/>
          <w:sz w:val="22"/>
          <w:szCs w:val="22"/>
        </w:rPr>
      </w:pPr>
      <w:r w:rsidRPr="00166B8D">
        <w:rPr>
          <w:b/>
          <w:bCs/>
          <w:sz w:val="22"/>
          <w:szCs w:val="22"/>
        </w:rPr>
        <w:t>1.</w:t>
      </w:r>
      <w:r w:rsidRPr="00166B8D">
        <w:rPr>
          <w:sz w:val="22"/>
          <w:szCs w:val="22"/>
        </w:rPr>
        <w:tab/>
        <w:t xml:space="preserve">This Act may be cited as the </w:t>
      </w:r>
      <w:r w:rsidRPr="00166B8D">
        <w:rPr>
          <w:i/>
          <w:iCs/>
          <w:sz w:val="22"/>
          <w:szCs w:val="22"/>
        </w:rPr>
        <w:t>Cattle Export Charge Act 1990.</w:t>
      </w:r>
    </w:p>
    <w:p w14:paraId="12CC5A90" w14:textId="77777777" w:rsidR="00BD26F9" w:rsidRPr="00166B8D" w:rsidRDefault="00BD26F9" w:rsidP="00BD26F9">
      <w:pPr>
        <w:widowControl w:val="0"/>
        <w:autoSpaceDE w:val="0"/>
        <w:autoSpaceDN w:val="0"/>
        <w:adjustRightInd w:val="0"/>
        <w:spacing w:before="120" w:after="60"/>
        <w:jc w:val="both"/>
        <w:rPr>
          <w:bCs/>
          <w:sz w:val="22"/>
          <w:szCs w:val="22"/>
        </w:rPr>
      </w:pPr>
      <w:r w:rsidRPr="00166B8D">
        <w:rPr>
          <w:b/>
          <w:bCs/>
          <w:sz w:val="22"/>
          <w:szCs w:val="22"/>
        </w:rPr>
        <w:t>Commencement</w:t>
      </w:r>
    </w:p>
    <w:p w14:paraId="44BB064D" w14:textId="77777777" w:rsidR="00BD26F9" w:rsidRPr="00166B8D" w:rsidRDefault="00BD26F9" w:rsidP="00BD26F9">
      <w:pPr>
        <w:widowControl w:val="0"/>
        <w:tabs>
          <w:tab w:val="left" w:pos="634"/>
        </w:tabs>
        <w:autoSpaceDE w:val="0"/>
        <w:autoSpaceDN w:val="0"/>
        <w:adjustRightInd w:val="0"/>
        <w:spacing w:before="120"/>
        <w:ind w:firstLine="336"/>
        <w:jc w:val="both"/>
        <w:rPr>
          <w:sz w:val="22"/>
          <w:szCs w:val="22"/>
        </w:rPr>
      </w:pPr>
      <w:r w:rsidRPr="00166B8D">
        <w:rPr>
          <w:b/>
          <w:bCs/>
          <w:sz w:val="22"/>
          <w:szCs w:val="22"/>
        </w:rPr>
        <w:t>2.</w:t>
      </w:r>
      <w:r w:rsidRPr="00166B8D">
        <w:rPr>
          <w:b/>
          <w:bCs/>
          <w:sz w:val="22"/>
          <w:szCs w:val="22"/>
        </w:rPr>
        <w:tab/>
      </w:r>
      <w:r w:rsidRPr="00166B8D">
        <w:rPr>
          <w:sz w:val="22"/>
          <w:szCs w:val="22"/>
        </w:rPr>
        <w:t xml:space="preserve">This Act commences on the day on which the </w:t>
      </w:r>
      <w:r w:rsidRPr="00166B8D">
        <w:rPr>
          <w:i/>
          <w:iCs/>
          <w:sz w:val="22"/>
          <w:szCs w:val="22"/>
        </w:rPr>
        <w:t xml:space="preserve">Cattle Transaction Levy Act 1990 </w:t>
      </w:r>
      <w:r w:rsidRPr="00166B8D">
        <w:rPr>
          <w:sz w:val="22"/>
          <w:szCs w:val="22"/>
        </w:rPr>
        <w:t>commences.</w:t>
      </w:r>
    </w:p>
    <w:p w14:paraId="55ED9675" w14:textId="77777777" w:rsidR="00BD26F9" w:rsidRPr="00166B8D" w:rsidRDefault="00BD26F9" w:rsidP="00BD26F9">
      <w:pPr>
        <w:widowControl w:val="0"/>
        <w:autoSpaceDE w:val="0"/>
        <w:autoSpaceDN w:val="0"/>
        <w:adjustRightInd w:val="0"/>
        <w:spacing w:before="120" w:after="60"/>
        <w:jc w:val="both"/>
        <w:rPr>
          <w:bCs/>
          <w:sz w:val="22"/>
          <w:szCs w:val="22"/>
        </w:rPr>
      </w:pPr>
      <w:r w:rsidRPr="00166B8D">
        <w:rPr>
          <w:b/>
          <w:bCs/>
          <w:sz w:val="22"/>
          <w:szCs w:val="22"/>
        </w:rPr>
        <w:t>Collection Act to be read with this Act</w:t>
      </w:r>
    </w:p>
    <w:p w14:paraId="16B1E238" w14:textId="77777777" w:rsidR="00BD26F9" w:rsidRPr="00166B8D" w:rsidRDefault="00BD26F9" w:rsidP="00BD26F9">
      <w:pPr>
        <w:widowControl w:val="0"/>
        <w:tabs>
          <w:tab w:val="left" w:pos="634"/>
        </w:tabs>
        <w:autoSpaceDE w:val="0"/>
        <w:autoSpaceDN w:val="0"/>
        <w:adjustRightInd w:val="0"/>
        <w:spacing w:before="120"/>
        <w:ind w:firstLine="336"/>
        <w:jc w:val="both"/>
        <w:rPr>
          <w:sz w:val="22"/>
          <w:szCs w:val="22"/>
        </w:rPr>
      </w:pPr>
      <w:r w:rsidRPr="00166B8D">
        <w:rPr>
          <w:b/>
          <w:bCs/>
          <w:sz w:val="22"/>
          <w:szCs w:val="22"/>
        </w:rPr>
        <w:t>3.</w:t>
      </w:r>
      <w:r w:rsidRPr="00166B8D">
        <w:rPr>
          <w:sz w:val="22"/>
          <w:szCs w:val="22"/>
        </w:rPr>
        <w:tab/>
        <w:t xml:space="preserve">The </w:t>
      </w:r>
      <w:r w:rsidRPr="00166B8D">
        <w:rPr>
          <w:i/>
          <w:iCs/>
          <w:sz w:val="22"/>
          <w:szCs w:val="22"/>
        </w:rPr>
        <w:t xml:space="preserve">Cattle and Beef Levy Collection Act 1990 </w:t>
      </w:r>
      <w:r w:rsidRPr="00166B8D">
        <w:rPr>
          <w:sz w:val="22"/>
          <w:szCs w:val="22"/>
        </w:rPr>
        <w:t>is to be read as one with this Act.</w:t>
      </w:r>
    </w:p>
    <w:p w14:paraId="41403E68" w14:textId="77777777" w:rsidR="00BD26F9" w:rsidRPr="00166B8D" w:rsidRDefault="00BD26F9" w:rsidP="00BD26F9">
      <w:pPr>
        <w:widowControl w:val="0"/>
        <w:autoSpaceDE w:val="0"/>
        <w:autoSpaceDN w:val="0"/>
        <w:adjustRightInd w:val="0"/>
        <w:spacing w:before="120" w:after="60"/>
        <w:jc w:val="both"/>
        <w:rPr>
          <w:bCs/>
          <w:sz w:val="22"/>
          <w:szCs w:val="22"/>
        </w:rPr>
      </w:pPr>
      <w:r w:rsidRPr="00166B8D">
        <w:rPr>
          <w:b/>
          <w:bCs/>
          <w:sz w:val="22"/>
          <w:szCs w:val="22"/>
        </w:rPr>
        <w:t>Interpretation</w:t>
      </w:r>
    </w:p>
    <w:p w14:paraId="58A7013C" w14:textId="77777777" w:rsidR="00BD26F9" w:rsidRPr="00166B8D" w:rsidRDefault="00BD26F9" w:rsidP="00BD26F9">
      <w:pPr>
        <w:widowControl w:val="0"/>
        <w:tabs>
          <w:tab w:val="left" w:pos="634"/>
        </w:tabs>
        <w:autoSpaceDE w:val="0"/>
        <w:autoSpaceDN w:val="0"/>
        <w:adjustRightInd w:val="0"/>
        <w:spacing w:before="120"/>
        <w:ind w:left="336"/>
        <w:jc w:val="both"/>
        <w:rPr>
          <w:sz w:val="22"/>
          <w:szCs w:val="22"/>
        </w:rPr>
      </w:pPr>
      <w:r w:rsidRPr="00166B8D">
        <w:rPr>
          <w:b/>
          <w:bCs/>
          <w:sz w:val="22"/>
          <w:szCs w:val="22"/>
        </w:rPr>
        <w:t>4.</w:t>
      </w:r>
      <w:r w:rsidRPr="00166B8D">
        <w:rPr>
          <w:b/>
          <w:bCs/>
          <w:sz w:val="22"/>
          <w:szCs w:val="22"/>
        </w:rPr>
        <w:tab/>
      </w:r>
      <w:r w:rsidRPr="00166B8D">
        <w:rPr>
          <w:sz w:val="22"/>
          <w:szCs w:val="22"/>
        </w:rPr>
        <w:t>In this Act, unless the contrary intention appears:</w:t>
      </w:r>
    </w:p>
    <w:p w14:paraId="19E73264" w14:textId="77777777" w:rsidR="00BD26F9" w:rsidRPr="00166B8D" w:rsidRDefault="00BD26F9" w:rsidP="00BD26F9">
      <w:pPr>
        <w:widowControl w:val="0"/>
        <w:tabs>
          <w:tab w:val="left" w:pos="634"/>
        </w:tabs>
        <w:autoSpaceDE w:val="0"/>
        <w:autoSpaceDN w:val="0"/>
        <w:adjustRightInd w:val="0"/>
        <w:spacing w:before="120"/>
        <w:jc w:val="both"/>
        <w:rPr>
          <w:sz w:val="22"/>
          <w:szCs w:val="22"/>
        </w:rPr>
      </w:pPr>
      <w:r w:rsidRPr="00166B8D">
        <w:rPr>
          <w:b/>
          <w:bCs/>
          <w:sz w:val="22"/>
          <w:szCs w:val="22"/>
        </w:rPr>
        <w:t xml:space="preserve">“cattle” </w:t>
      </w:r>
      <w:r w:rsidRPr="00166B8D">
        <w:rPr>
          <w:sz w:val="22"/>
          <w:szCs w:val="22"/>
        </w:rPr>
        <w:t>means bovine animals other than buffalo;</w:t>
      </w:r>
    </w:p>
    <w:p w14:paraId="5584E6C4" w14:textId="77777777" w:rsidR="00BD26F9" w:rsidRPr="00166B8D" w:rsidRDefault="00BD26F9" w:rsidP="00BD26F9">
      <w:pPr>
        <w:widowControl w:val="0"/>
        <w:tabs>
          <w:tab w:val="left" w:pos="634"/>
        </w:tabs>
        <w:autoSpaceDE w:val="0"/>
        <w:autoSpaceDN w:val="0"/>
        <w:adjustRightInd w:val="0"/>
        <w:spacing w:before="120"/>
        <w:jc w:val="both"/>
        <w:rPr>
          <w:sz w:val="22"/>
          <w:szCs w:val="22"/>
        </w:rPr>
      </w:pPr>
      <w:r w:rsidRPr="00166B8D">
        <w:rPr>
          <w:b/>
          <w:bCs/>
          <w:sz w:val="22"/>
          <w:szCs w:val="22"/>
        </w:rPr>
        <w:t xml:space="preserve">“charge” </w:t>
      </w:r>
      <w:r w:rsidRPr="00166B8D">
        <w:rPr>
          <w:sz w:val="22"/>
          <w:szCs w:val="22"/>
        </w:rPr>
        <w:t>means charge imposed by this Act;</w:t>
      </w:r>
    </w:p>
    <w:p w14:paraId="6695CF22" w14:textId="51BA53D1" w:rsidR="00BD26F9" w:rsidRPr="00166B8D" w:rsidRDefault="00BD26F9" w:rsidP="00BD26F9">
      <w:pPr>
        <w:widowControl w:val="0"/>
        <w:autoSpaceDE w:val="0"/>
        <w:autoSpaceDN w:val="0"/>
        <w:adjustRightInd w:val="0"/>
        <w:spacing w:before="120"/>
        <w:jc w:val="both"/>
        <w:rPr>
          <w:sz w:val="22"/>
          <w:szCs w:val="22"/>
        </w:rPr>
      </w:pPr>
      <w:r w:rsidRPr="00166B8D">
        <w:rPr>
          <w:sz w:val="22"/>
          <w:szCs w:val="22"/>
        </w:rPr>
        <w:br w:type="page"/>
      </w:r>
      <w:r w:rsidRPr="00166B8D">
        <w:rPr>
          <w:b/>
          <w:bCs/>
          <w:sz w:val="22"/>
          <w:szCs w:val="22"/>
        </w:rPr>
        <w:lastRenderedPageBreak/>
        <w:t xml:space="preserve">“Corporation” </w:t>
      </w:r>
      <w:r w:rsidRPr="00166B8D">
        <w:rPr>
          <w:sz w:val="22"/>
          <w:szCs w:val="22"/>
        </w:rPr>
        <w:t xml:space="preserve">means the Australian Meat and Live-stock Corporation established by section 6 of the </w:t>
      </w:r>
      <w:r w:rsidRPr="00166B8D">
        <w:rPr>
          <w:i/>
          <w:iCs/>
          <w:sz w:val="22"/>
          <w:szCs w:val="22"/>
        </w:rPr>
        <w:t>Australian Meat and Live-stock Corporation Act 1977</w:t>
      </w:r>
      <w:r w:rsidRPr="00166B8D">
        <w:rPr>
          <w:sz w:val="22"/>
          <w:szCs w:val="22"/>
        </w:rPr>
        <w:t>;</w:t>
      </w:r>
    </w:p>
    <w:p w14:paraId="1C3834B4" w14:textId="77777777" w:rsidR="00BD26F9" w:rsidRPr="00166B8D" w:rsidRDefault="00BD26F9" w:rsidP="00BD26F9">
      <w:pPr>
        <w:widowControl w:val="0"/>
        <w:autoSpaceDE w:val="0"/>
        <w:autoSpaceDN w:val="0"/>
        <w:adjustRightInd w:val="0"/>
        <w:spacing w:before="120"/>
        <w:jc w:val="both"/>
        <w:rPr>
          <w:sz w:val="22"/>
          <w:szCs w:val="22"/>
        </w:rPr>
      </w:pPr>
      <w:r w:rsidRPr="00166B8D">
        <w:rPr>
          <w:b/>
          <w:bCs/>
          <w:sz w:val="22"/>
          <w:szCs w:val="22"/>
        </w:rPr>
        <w:t xml:space="preserve">“dairy cattle” </w:t>
      </w:r>
      <w:r w:rsidRPr="00166B8D">
        <w:rPr>
          <w:sz w:val="22"/>
          <w:szCs w:val="22"/>
        </w:rPr>
        <w:t>means bovine animals that are, or, if they were not exported from Australia, would be likely to be, held on licensed dairy premises for a purpose related to commercial milk production, including, but without limiting the generality of the foregoing, bulls, calves and replacement heifers;</w:t>
      </w:r>
    </w:p>
    <w:p w14:paraId="334A9FB4" w14:textId="77777777" w:rsidR="00BD26F9" w:rsidRPr="00166B8D" w:rsidRDefault="00BD26F9" w:rsidP="00BD26F9">
      <w:pPr>
        <w:widowControl w:val="0"/>
        <w:autoSpaceDE w:val="0"/>
        <w:autoSpaceDN w:val="0"/>
        <w:adjustRightInd w:val="0"/>
        <w:spacing w:before="120"/>
        <w:jc w:val="both"/>
        <w:rPr>
          <w:sz w:val="22"/>
          <w:szCs w:val="22"/>
        </w:rPr>
      </w:pPr>
      <w:r w:rsidRPr="00166B8D">
        <w:rPr>
          <w:b/>
          <w:bCs/>
          <w:sz w:val="22"/>
          <w:szCs w:val="22"/>
        </w:rPr>
        <w:t xml:space="preserve">“licensed dairy premises” </w:t>
      </w:r>
      <w:r w:rsidRPr="00166B8D">
        <w:rPr>
          <w:sz w:val="22"/>
          <w:szCs w:val="22"/>
        </w:rPr>
        <w:t xml:space="preserve">means premises that, under the law of the State or Territory in which the premises are situated, are </w:t>
      </w:r>
      <w:proofErr w:type="spellStart"/>
      <w:r w:rsidRPr="00166B8D">
        <w:rPr>
          <w:sz w:val="22"/>
          <w:szCs w:val="22"/>
        </w:rPr>
        <w:t>authorised</w:t>
      </w:r>
      <w:proofErr w:type="spellEnd"/>
      <w:r w:rsidRPr="00166B8D">
        <w:rPr>
          <w:sz w:val="22"/>
          <w:szCs w:val="22"/>
        </w:rPr>
        <w:t xml:space="preserve"> for use as a dairy farm;</w:t>
      </w:r>
    </w:p>
    <w:p w14:paraId="50DD8CB7" w14:textId="77777777" w:rsidR="00BD26F9" w:rsidRPr="00166B8D" w:rsidRDefault="00BD26F9" w:rsidP="00BD26F9">
      <w:pPr>
        <w:widowControl w:val="0"/>
        <w:autoSpaceDE w:val="0"/>
        <w:autoSpaceDN w:val="0"/>
        <w:adjustRightInd w:val="0"/>
        <w:spacing w:before="120"/>
        <w:jc w:val="both"/>
        <w:rPr>
          <w:iCs/>
          <w:sz w:val="22"/>
          <w:szCs w:val="22"/>
        </w:rPr>
      </w:pPr>
      <w:r w:rsidRPr="00166B8D">
        <w:rPr>
          <w:b/>
          <w:bCs/>
          <w:sz w:val="22"/>
          <w:szCs w:val="22"/>
        </w:rPr>
        <w:t xml:space="preserve">“Research and Development Corporation” </w:t>
      </w:r>
      <w:r w:rsidRPr="00166B8D">
        <w:rPr>
          <w:sz w:val="22"/>
          <w:szCs w:val="22"/>
        </w:rPr>
        <w:t xml:space="preserve">means the Australian Meat and Live-stock Research and Development Corporation established by section 4 of the </w:t>
      </w:r>
      <w:r w:rsidRPr="00166B8D">
        <w:rPr>
          <w:i/>
          <w:iCs/>
          <w:sz w:val="22"/>
          <w:szCs w:val="22"/>
        </w:rPr>
        <w:t>Australian Meat and Live-stock Research and Development Corporation Act 1985.</w:t>
      </w:r>
    </w:p>
    <w:p w14:paraId="5E6C1787" w14:textId="77777777" w:rsidR="00BD26F9" w:rsidRPr="00166B8D" w:rsidRDefault="00BD26F9" w:rsidP="00BD26F9">
      <w:pPr>
        <w:widowControl w:val="0"/>
        <w:autoSpaceDE w:val="0"/>
        <w:autoSpaceDN w:val="0"/>
        <w:adjustRightInd w:val="0"/>
        <w:spacing w:before="120" w:after="60"/>
        <w:jc w:val="both"/>
        <w:rPr>
          <w:bCs/>
          <w:sz w:val="22"/>
          <w:szCs w:val="22"/>
        </w:rPr>
      </w:pPr>
      <w:r w:rsidRPr="00166B8D">
        <w:rPr>
          <w:b/>
          <w:bCs/>
          <w:sz w:val="22"/>
          <w:szCs w:val="22"/>
        </w:rPr>
        <w:t>Imposition of charge</w:t>
      </w:r>
    </w:p>
    <w:p w14:paraId="73CF8815" w14:textId="77777777" w:rsidR="00BD26F9" w:rsidRPr="00166B8D" w:rsidRDefault="00BD26F9" w:rsidP="00BD26F9">
      <w:pPr>
        <w:widowControl w:val="0"/>
        <w:tabs>
          <w:tab w:val="left" w:pos="629"/>
        </w:tabs>
        <w:autoSpaceDE w:val="0"/>
        <w:autoSpaceDN w:val="0"/>
        <w:adjustRightInd w:val="0"/>
        <w:spacing w:before="120"/>
        <w:ind w:firstLine="341"/>
        <w:jc w:val="both"/>
        <w:rPr>
          <w:sz w:val="22"/>
          <w:szCs w:val="22"/>
        </w:rPr>
      </w:pPr>
      <w:r w:rsidRPr="00166B8D">
        <w:rPr>
          <w:b/>
          <w:bCs/>
          <w:sz w:val="22"/>
          <w:szCs w:val="22"/>
        </w:rPr>
        <w:t>5.</w:t>
      </w:r>
      <w:r w:rsidRPr="00166B8D">
        <w:rPr>
          <w:b/>
          <w:bCs/>
          <w:sz w:val="22"/>
          <w:szCs w:val="22"/>
        </w:rPr>
        <w:tab/>
      </w:r>
      <w:r w:rsidRPr="00166B8D">
        <w:rPr>
          <w:sz w:val="22"/>
          <w:szCs w:val="22"/>
        </w:rPr>
        <w:t>A charge is imposed on cattle (other than dairy cattle) exported from Australia.</w:t>
      </w:r>
    </w:p>
    <w:p w14:paraId="7BA478FF" w14:textId="77777777" w:rsidR="00BD26F9" w:rsidRPr="00166B8D" w:rsidRDefault="00BD26F9" w:rsidP="00BD26F9">
      <w:pPr>
        <w:widowControl w:val="0"/>
        <w:autoSpaceDE w:val="0"/>
        <w:autoSpaceDN w:val="0"/>
        <w:adjustRightInd w:val="0"/>
        <w:spacing w:before="120" w:after="60"/>
        <w:jc w:val="both"/>
        <w:rPr>
          <w:bCs/>
          <w:sz w:val="22"/>
          <w:szCs w:val="22"/>
        </w:rPr>
      </w:pPr>
      <w:r w:rsidRPr="00166B8D">
        <w:rPr>
          <w:b/>
          <w:bCs/>
          <w:sz w:val="22"/>
          <w:szCs w:val="22"/>
        </w:rPr>
        <w:t>Rate of charge on export of cattle</w:t>
      </w:r>
    </w:p>
    <w:p w14:paraId="6FC2DA13" w14:textId="77777777" w:rsidR="00BD26F9" w:rsidRPr="00166B8D" w:rsidRDefault="00BD26F9" w:rsidP="00BD26F9">
      <w:pPr>
        <w:widowControl w:val="0"/>
        <w:tabs>
          <w:tab w:val="left" w:pos="629"/>
        </w:tabs>
        <w:autoSpaceDE w:val="0"/>
        <w:autoSpaceDN w:val="0"/>
        <w:adjustRightInd w:val="0"/>
        <w:spacing w:before="120"/>
        <w:ind w:firstLine="341"/>
        <w:jc w:val="both"/>
        <w:rPr>
          <w:sz w:val="22"/>
          <w:szCs w:val="22"/>
        </w:rPr>
      </w:pPr>
      <w:r w:rsidRPr="00166B8D">
        <w:rPr>
          <w:b/>
          <w:bCs/>
          <w:sz w:val="22"/>
          <w:szCs w:val="22"/>
        </w:rPr>
        <w:t>6.</w:t>
      </w:r>
      <w:r w:rsidRPr="00166B8D">
        <w:rPr>
          <w:b/>
          <w:bCs/>
          <w:sz w:val="22"/>
          <w:szCs w:val="22"/>
        </w:rPr>
        <w:tab/>
        <w:t xml:space="preserve">(1) </w:t>
      </w:r>
      <w:r w:rsidRPr="00166B8D">
        <w:rPr>
          <w:sz w:val="22"/>
          <w:szCs w:val="22"/>
        </w:rPr>
        <w:t>The rate of charge imposed on the export of cattle consists of the sum of the amounts, per kilogram of cattle so exported, referred to in the following paragraphs:</w:t>
      </w:r>
    </w:p>
    <w:p w14:paraId="21350C75" w14:textId="77777777" w:rsidR="00BD26F9" w:rsidRPr="00166B8D" w:rsidRDefault="00BD26F9" w:rsidP="00BD26F9">
      <w:pPr>
        <w:widowControl w:val="0"/>
        <w:tabs>
          <w:tab w:val="left" w:pos="802"/>
        </w:tabs>
        <w:autoSpaceDE w:val="0"/>
        <w:autoSpaceDN w:val="0"/>
        <w:adjustRightInd w:val="0"/>
        <w:spacing w:before="120"/>
        <w:ind w:left="802" w:hanging="389"/>
        <w:jc w:val="both"/>
        <w:rPr>
          <w:sz w:val="22"/>
          <w:szCs w:val="22"/>
        </w:rPr>
      </w:pPr>
      <w:r w:rsidRPr="00166B8D">
        <w:rPr>
          <w:sz w:val="22"/>
          <w:szCs w:val="22"/>
        </w:rPr>
        <w:t>(a)</w:t>
      </w:r>
      <w:r w:rsidRPr="00166B8D">
        <w:rPr>
          <w:sz w:val="22"/>
          <w:szCs w:val="22"/>
        </w:rPr>
        <w:tab/>
        <w:t>$0.0095, or such other amount, not exceeding $0.02, as is prescribed, for the purpose of payment to the Corporation;</w:t>
      </w:r>
    </w:p>
    <w:p w14:paraId="0B2B9A3B" w14:textId="77777777" w:rsidR="00BD26F9" w:rsidRPr="00166B8D" w:rsidRDefault="00BD26F9" w:rsidP="00BD26F9">
      <w:pPr>
        <w:widowControl w:val="0"/>
        <w:tabs>
          <w:tab w:val="left" w:pos="802"/>
        </w:tabs>
        <w:autoSpaceDE w:val="0"/>
        <w:autoSpaceDN w:val="0"/>
        <w:adjustRightInd w:val="0"/>
        <w:spacing w:before="120"/>
        <w:ind w:left="802" w:hanging="389"/>
        <w:jc w:val="both"/>
        <w:rPr>
          <w:sz w:val="22"/>
          <w:szCs w:val="22"/>
        </w:rPr>
      </w:pPr>
      <w:r w:rsidRPr="00166B8D">
        <w:rPr>
          <w:sz w:val="22"/>
          <w:szCs w:val="22"/>
        </w:rPr>
        <w:t>(b)</w:t>
      </w:r>
      <w:r w:rsidRPr="00166B8D">
        <w:rPr>
          <w:sz w:val="22"/>
          <w:szCs w:val="22"/>
        </w:rPr>
        <w:tab/>
        <w:t>$0.0014, or such other amount, not exceeding $0.005, as is prescribed, for the purpose of payment to the Research and Development Corporation.</w:t>
      </w:r>
    </w:p>
    <w:p w14:paraId="22C885FA" w14:textId="77777777" w:rsidR="00BD26F9" w:rsidRPr="00166B8D" w:rsidRDefault="00BD26F9" w:rsidP="00BD26F9">
      <w:pPr>
        <w:widowControl w:val="0"/>
        <w:tabs>
          <w:tab w:val="left" w:pos="730"/>
        </w:tabs>
        <w:autoSpaceDE w:val="0"/>
        <w:autoSpaceDN w:val="0"/>
        <w:adjustRightInd w:val="0"/>
        <w:spacing w:before="120"/>
        <w:ind w:firstLine="341"/>
        <w:jc w:val="both"/>
        <w:rPr>
          <w:sz w:val="22"/>
          <w:szCs w:val="22"/>
        </w:rPr>
      </w:pPr>
      <w:r w:rsidRPr="00166B8D">
        <w:rPr>
          <w:b/>
          <w:sz w:val="22"/>
          <w:szCs w:val="22"/>
        </w:rPr>
        <w:t>(2)</w:t>
      </w:r>
      <w:r w:rsidRPr="00166B8D">
        <w:rPr>
          <w:sz w:val="22"/>
          <w:szCs w:val="22"/>
        </w:rPr>
        <w:tab/>
        <w:t>For the purposes of calculation of charge, the weight of cattle exported is their liveweight described in the bill of lading, or similar document of title, facilitating the export of such cattle.</w:t>
      </w:r>
    </w:p>
    <w:p w14:paraId="01C898AC" w14:textId="77777777" w:rsidR="00BD26F9" w:rsidRPr="00166B8D" w:rsidRDefault="00BD26F9" w:rsidP="00BD26F9">
      <w:pPr>
        <w:widowControl w:val="0"/>
        <w:tabs>
          <w:tab w:val="left" w:pos="730"/>
        </w:tabs>
        <w:autoSpaceDE w:val="0"/>
        <w:autoSpaceDN w:val="0"/>
        <w:adjustRightInd w:val="0"/>
        <w:spacing w:before="120"/>
        <w:ind w:firstLine="341"/>
        <w:jc w:val="both"/>
        <w:rPr>
          <w:sz w:val="22"/>
          <w:szCs w:val="22"/>
        </w:rPr>
      </w:pPr>
      <w:r w:rsidRPr="00166B8D">
        <w:rPr>
          <w:b/>
          <w:sz w:val="22"/>
          <w:szCs w:val="22"/>
        </w:rPr>
        <w:t>(3)</w:t>
      </w:r>
      <w:r w:rsidRPr="00166B8D">
        <w:rPr>
          <w:sz w:val="22"/>
          <w:szCs w:val="22"/>
        </w:rPr>
        <w:tab/>
        <w:t>Where the liveweight of cattle exported is not described in the bill of lading, or similar document of title, facilitating the export of the cattle, then, for the purposes of the calculation of charge, the liveweight of the cattle is taken to be 480 kilograms per head.</w:t>
      </w:r>
    </w:p>
    <w:p w14:paraId="0795B197" w14:textId="18A87F30" w:rsidR="00BD26F9" w:rsidRPr="00166B8D" w:rsidRDefault="00BD26F9" w:rsidP="00BD26F9">
      <w:pPr>
        <w:widowControl w:val="0"/>
        <w:tabs>
          <w:tab w:val="left" w:pos="730"/>
        </w:tabs>
        <w:autoSpaceDE w:val="0"/>
        <w:autoSpaceDN w:val="0"/>
        <w:adjustRightInd w:val="0"/>
        <w:spacing w:before="120"/>
        <w:ind w:firstLine="341"/>
        <w:jc w:val="both"/>
        <w:rPr>
          <w:sz w:val="22"/>
          <w:szCs w:val="22"/>
        </w:rPr>
      </w:pPr>
      <w:r w:rsidRPr="00166B8D">
        <w:rPr>
          <w:b/>
          <w:sz w:val="22"/>
          <w:szCs w:val="22"/>
        </w:rPr>
        <w:t>(4)</w:t>
      </w:r>
      <w:r w:rsidRPr="00166B8D">
        <w:rPr>
          <w:sz w:val="22"/>
          <w:szCs w:val="22"/>
        </w:rPr>
        <w:tab/>
        <w:t xml:space="preserve">Despite subsection (1), if the Minister makes a declaration under section </w:t>
      </w:r>
      <w:r w:rsidRPr="00166B8D">
        <w:rPr>
          <w:smallCaps/>
          <w:sz w:val="22"/>
          <w:szCs w:val="22"/>
        </w:rPr>
        <w:t xml:space="preserve">7a </w:t>
      </w:r>
      <w:r w:rsidRPr="00166B8D">
        <w:rPr>
          <w:sz w:val="22"/>
          <w:szCs w:val="22"/>
        </w:rPr>
        <w:t xml:space="preserve">of the </w:t>
      </w:r>
      <w:r w:rsidRPr="00166B8D">
        <w:rPr>
          <w:i/>
          <w:iCs/>
          <w:sz w:val="22"/>
          <w:szCs w:val="22"/>
        </w:rPr>
        <w:t>Live-stock Export Charge Act 1977</w:t>
      </w:r>
      <w:r w:rsidRPr="002023E9">
        <w:rPr>
          <w:iCs/>
          <w:sz w:val="22"/>
          <w:szCs w:val="22"/>
        </w:rPr>
        <w:t>,</w:t>
      </w:r>
      <w:bookmarkStart w:id="0" w:name="_GoBack"/>
      <w:bookmarkEnd w:id="0"/>
      <w:r w:rsidRPr="00166B8D">
        <w:rPr>
          <w:i/>
          <w:iCs/>
          <w:sz w:val="22"/>
          <w:szCs w:val="22"/>
        </w:rPr>
        <w:t xml:space="preserve"> </w:t>
      </w:r>
      <w:r w:rsidRPr="00166B8D">
        <w:rPr>
          <w:sz w:val="22"/>
          <w:szCs w:val="22"/>
        </w:rPr>
        <w:t>the rate of charge under this Act on cattle exported, on or after the day the declaration is expressed to come into force, is $0.00 per kilogram of cattle exported.</w:t>
      </w:r>
    </w:p>
    <w:p w14:paraId="14CA9CB1" w14:textId="77777777" w:rsidR="00BD26F9" w:rsidRPr="00166B8D" w:rsidRDefault="00BD26F9" w:rsidP="00BD26F9">
      <w:pPr>
        <w:widowControl w:val="0"/>
        <w:autoSpaceDE w:val="0"/>
        <w:autoSpaceDN w:val="0"/>
        <w:adjustRightInd w:val="0"/>
        <w:spacing w:before="120" w:after="60"/>
        <w:jc w:val="both"/>
        <w:rPr>
          <w:bCs/>
          <w:sz w:val="22"/>
          <w:szCs w:val="22"/>
        </w:rPr>
      </w:pPr>
      <w:r w:rsidRPr="00166B8D">
        <w:rPr>
          <w:b/>
          <w:bCs/>
          <w:sz w:val="22"/>
          <w:szCs w:val="22"/>
        </w:rPr>
        <w:t>By whom charge payable</w:t>
      </w:r>
    </w:p>
    <w:p w14:paraId="3BE9EA90" w14:textId="77777777" w:rsidR="00BD26F9" w:rsidRPr="00166B8D" w:rsidRDefault="00BD26F9" w:rsidP="00BD26F9">
      <w:pPr>
        <w:widowControl w:val="0"/>
        <w:tabs>
          <w:tab w:val="left" w:pos="629"/>
        </w:tabs>
        <w:autoSpaceDE w:val="0"/>
        <w:autoSpaceDN w:val="0"/>
        <w:adjustRightInd w:val="0"/>
        <w:spacing w:before="120"/>
        <w:ind w:firstLine="341"/>
        <w:jc w:val="both"/>
        <w:rPr>
          <w:sz w:val="22"/>
          <w:szCs w:val="22"/>
        </w:rPr>
      </w:pPr>
      <w:r w:rsidRPr="00166B8D">
        <w:rPr>
          <w:b/>
          <w:bCs/>
          <w:sz w:val="22"/>
          <w:szCs w:val="22"/>
        </w:rPr>
        <w:t>7.</w:t>
      </w:r>
      <w:r w:rsidRPr="00166B8D">
        <w:rPr>
          <w:b/>
          <w:bCs/>
          <w:sz w:val="22"/>
          <w:szCs w:val="22"/>
        </w:rPr>
        <w:tab/>
      </w:r>
      <w:r w:rsidRPr="00166B8D">
        <w:rPr>
          <w:sz w:val="22"/>
          <w:szCs w:val="22"/>
        </w:rPr>
        <w:t>The charge on cattle exported from Australia is payable by the exporter of the cattle.</w:t>
      </w:r>
    </w:p>
    <w:p w14:paraId="17D870B7" w14:textId="77777777" w:rsidR="00BD26F9" w:rsidRPr="00166B8D" w:rsidRDefault="00BD26F9" w:rsidP="00BD26F9">
      <w:pPr>
        <w:widowControl w:val="0"/>
        <w:autoSpaceDE w:val="0"/>
        <w:autoSpaceDN w:val="0"/>
        <w:adjustRightInd w:val="0"/>
        <w:spacing w:before="120" w:after="60"/>
        <w:jc w:val="both"/>
        <w:rPr>
          <w:bCs/>
          <w:sz w:val="22"/>
          <w:szCs w:val="22"/>
        </w:rPr>
      </w:pPr>
      <w:r w:rsidRPr="00166B8D">
        <w:rPr>
          <w:sz w:val="22"/>
          <w:szCs w:val="22"/>
        </w:rPr>
        <w:br w:type="page"/>
      </w:r>
      <w:r w:rsidRPr="00166B8D">
        <w:rPr>
          <w:b/>
          <w:bCs/>
          <w:sz w:val="22"/>
          <w:szCs w:val="22"/>
        </w:rPr>
        <w:lastRenderedPageBreak/>
        <w:t>Regulations</w:t>
      </w:r>
    </w:p>
    <w:p w14:paraId="6568E8E8" w14:textId="77777777" w:rsidR="00BD26F9" w:rsidRPr="00166B8D" w:rsidRDefault="00BD26F9" w:rsidP="00BD26F9">
      <w:pPr>
        <w:widowControl w:val="0"/>
        <w:autoSpaceDE w:val="0"/>
        <w:autoSpaceDN w:val="0"/>
        <w:adjustRightInd w:val="0"/>
        <w:spacing w:before="120"/>
        <w:ind w:firstLine="341"/>
        <w:jc w:val="both"/>
        <w:rPr>
          <w:sz w:val="22"/>
          <w:szCs w:val="22"/>
        </w:rPr>
      </w:pPr>
      <w:r w:rsidRPr="00166B8D">
        <w:rPr>
          <w:b/>
          <w:bCs/>
          <w:sz w:val="22"/>
          <w:szCs w:val="22"/>
        </w:rPr>
        <w:t>8</w:t>
      </w:r>
      <w:r w:rsidRPr="00166B8D">
        <w:rPr>
          <w:bCs/>
          <w:sz w:val="22"/>
          <w:szCs w:val="22"/>
        </w:rPr>
        <w:t>.</w:t>
      </w:r>
      <w:r w:rsidRPr="00166B8D">
        <w:rPr>
          <w:bCs/>
          <w:sz w:val="22"/>
          <w:szCs w:val="22"/>
        </w:rPr>
        <w:tab/>
      </w:r>
      <w:r w:rsidRPr="00166B8D">
        <w:rPr>
          <w:b/>
          <w:bCs/>
          <w:sz w:val="22"/>
          <w:szCs w:val="22"/>
        </w:rPr>
        <w:t xml:space="preserve">(1) </w:t>
      </w:r>
      <w:r w:rsidRPr="00166B8D">
        <w:rPr>
          <w:sz w:val="22"/>
          <w:szCs w:val="22"/>
        </w:rPr>
        <w:t>The Governor-General may make regulations, not inconsistent with this Act, prescribing matters:</w:t>
      </w:r>
    </w:p>
    <w:p w14:paraId="04BBF09D" w14:textId="77777777" w:rsidR="00BD26F9" w:rsidRPr="00166B8D" w:rsidRDefault="00BD26F9" w:rsidP="00BD26F9">
      <w:pPr>
        <w:widowControl w:val="0"/>
        <w:tabs>
          <w:tab w:val="left" w:pos="802"/>
        </w:tabs>
        <w:autoSpaceDE w:val="0"/>
        <w:autoSpaceDN w:val="0"/>
        <w:adjustRightInd w:val="0"/>
        <w:spacing w:before="120"/>
        <w:ind w:left="422"/>
        <w:jc w:val="both"/>
        <w:rPr>
          <w:sz w:val="22"/>
          <w:szCs w:val="22"/>
        </w:rPr>
      </w:pPr>
      <w:r w:rsidRPr="00166B8D">
        <w:rPr>
          <w:sz w:val="22"/>
          <w:szCs w:val="22"/>
        </w:rPr>
        <w:t>(a)</w:t>
      </w:r>
      <w:r w:rsidRPr="00166B8D">
        <w:rPr>
          <w:sz w:val="22"/>
          <w:szCs w:val="22"/>
        </w:rPr>
        <w:tab/>
        <w:t>required or permitted by this Act to be prescribed; or</w:t>
      </w:r>
    </w:p>
    <w:p w14:paraId="390A72D4" w14:textId="77777777" w:rsidR="00BD26F9" w:rsidRPr="00166B8D" w:rsidRDefault="00BD26F9" w:rsidP="00BD26F9">
      <w:pPr>
        <w:widowControl w:val="0"/>
        <w:tabs>
          <w:tab w:val="left" w:pos="802"/>
        </w:tabs>
        <w:autoSpaceDE w:val="0"/>
        <w:autoSpaceDN w:val="0"/>
        <w:adjustRightInd w:val="0"/>
        <w:spacing w:before="120"/>
        <w:ind w:left="802" w:hanging="379"/>
        <w:jc w:val="both"/>
        <w:rPr>
          <w:sz w:val="22"/>
          <w:szCs w:val="22"/>
        </w:rPr>
      </w:pPr>
      <w:r w:rsidRPr="00166B8D">
        <w:rPr>
          <w:sz w:val="22"/>
          <w:szCs w:val="22"/>
        </w:rPr>
        <w:t>(b)</w:t>
      </w:r>
      <w:r w:rsidRPr="00166B8D">
        <w:rPr>
          <w:sz w:val="22"/>
          <w:szCs w:val="22"/>
        </w:rPr>
        <w:tab/>
        <w:t>necessary or convenient to be prescribed for carrying out or giving effect to this Act.</w:t>
      </w:r>
    </w:p>
    <w:p w14:paraId="60E406E8" w14:textId="77777777" w:rsidR="00BD26F9" w:rsidRPr="00166B8D" w:rsidRDefault="00BD26F9" w:rsidP="00BD26F9">
      <w:pPr>
        <w:widowControl w:val="0"/>
        <w:tabs>
          <w:tab w:val="left" w:pos="730"/>
        </w:tabs>
        <w:autoSpaceDE w:val="0"/>
        <w:autoSpaceDN w:val="0"/>
        <w:adjustRightInd w:val="0"/>
        <w:spacing w:before="120"/>
        <w:ind w:firstLine="336"/>
        <w:jc w:val="both"/>
        <w:rPr>
          <w:sz w:val="22"/>
          <w:szCs w:val="22"/>
        </w:rPr>
      </w:pPr>
      <w:r w:rsidRPr="00166B8D">
        <w:rPr>
          <w:b/>
          <w:sz w:val="22"/>
          <w:szCs w:val="22"/>
        </w:rPr>
        <w:t>(2)</w:t>
      </w:r>
      <w:r w:rsidRPr="00166B8D">
        <w:rPr>
          <w:sz w:val="22"/>
          <w:szCs w:val="22"/>
        </w:rPr>
        <w:tab/>
        <w:t>The power of the Governor-General to make regulations prescribing an amount for the purposes of paragraph 6 (1) (a) is exercisable only on advice of the Executive Council given after the Council has taken into consideration the recommendations with respect to the amount made to the Minister by the Corporation.</w:t>
      </w:r>
    </w:p>
    <w:p w14:paraId="26E9CE98" w14:textId="77777777" w:rsidR="00BD26F9" w:rsidRPr="00166B8D" w:rsidRDefault="00BD26F9" w:rsidP="00BD26F9">
      <w:pPr>
        <w:widowControl w:val="0"/>
        <w:tabs>
          <w:tab w:val="left" w:pos="730"/>
        </w:tabs>
        <w:autoSpaceDE w:val="0"/>
        <w:autoSpaceDN w:val="0"/>
        <w:adjustRightInd w:val="0"/>
        <w:spacing w:before="120"/>
        <w:ind w:firstLine="336"/>
        <w:jc w:val="both"/>
        <w:rPr>
          <w:sz w:val="22"/>
          <w:szCs w:val="22"/>
        </w:rPr>
      </w:pPr>
      <w:r w:rsidRPr="00166B8D">
        <w:rPr>
          <w:b/>
          <w:sz w:val="22"/>
          <w:szCs w:val="22"/>
        </w:rPr>
        <w:t>(3)</w:t>
      </w:r>
      <w:r w:rsidRPr="00166B8D">
        <w:rPr>
          <w:sz w:val="22"/>
          <w:szCs w:val="22"/>
        </w:rPr>
        <w:tab/>
        <w:t>The power of the Governor-General to make regulations prescribing an amount for the purposes of paragraph 6 (1) (b) is exercisable only on advice of the Executive Council given after the Council has taken into consideration the recommendations with respect to the amount made to the Minister by the Research and Development Corporation.</w:t>
      </w:r>
    </w:p>
    <w:p w14:paraId="72A76EAA" w14:textId="77777777" w:rsidR="00BD26F9" w:rsidRPr="00166B8D" w:rsidRDefault="00BD26F9" w:rsidP="00BD26F9">
      <w:pPr>
        <w:widowControl w:val="0"/>
        <w:tabs>
          <w:tab w:val="left" w:pos="730"/>
        </w:tabs>
        <w:autoSpaceDE w:val="0"/>
        <w:autoSpaceDN w:val="0"/>
        <w:adjustRightInd w:val="0"/>
        <w:spacing w:before="120"/>
        <w:ind w:firstLine="336"/>
        <w:jc w:val="both"/>
        <w:rPr>
          <w:sz w:val="22"/>
          <w:szCs w:val="22"/>
        </w:rPr>
      </w:pPr>
      <w:r w:rsidRPr="00166B8D">
        <w:rPr>
          <w:b/>
          <w:sz w:val="22"/>
          <w:szCs w:val="22"/>
        </w:rPr>
        <w:t>(4)</w:t>
      </w:r>
      <w:r w:rsidRPr="00166B8D">
        <w:rPr>
          <w:sz w:val="22"/>
          <w:szCs w:val="22"/>
        </w:rPr>
        <w:tab/>
        <w:t>The Corporation must not make a recommendation to the Minister in relation to regulations to be made for the purposes of paragraph 6 (1) (a):</w:t>
      </w:r>
    </w:p>
    <w:p w14:paraId="1C4D5A9C" w14:textId="77777777" w:rsidR="00BD26F9" w:rsidRPr="00166B8D" w:rsidRDefault="00BD26F9" w:rsidP="00BD26F9">
      <w:pPr>
        <w:widowControl w:val="0"/>
        <w:tabs>
          <w:tab w:val="left" w:pos="792"/>
        </w:tabs>
        <w:autoSpaceDE w:val="0"/>
        <w:autoSpaceDN w:val="0"/>
        <w:adjustRightInd w:val="0"/>
        <w:spacing w:before="120"/>
        <w:ind w:left="792" w:hanging="394"/>
        <w:jc w:val="both"/>
        <w:rPr>
          <w:sz w:val="22"/>
          <w:szCs w:val="22"/>
        </w:rPr>
      </w:pPr>
      <w:r w:rsidRPr="00166B8D">
        <w:rPr>
          <w:sz w:val="22"/>
          <w:szCs w:val="22"/>
        </w:rPr>
        <w:t>(a)</w:t>
      </w:r>
      <w:r w:rsidRPr="00166B8D">
        <w:rPr>
          <w:sz w:val="22"/>
          <w:szCs w:val="22"/>
        </w:rPr>
        <w:tab/>
        <w:t>if a motion that the terms of the recommendation be endorsed has not been put before the last annual general meeting of the Australian meat and live-stock industry convened under section 30</w:t>
      </w:r>
      <w:r w:rsidRPr="00166B8D">
        <w:rPr>
          <w:smallCaps/>
          <w:sz w:val="22"/>
          <w:szCs w:val="22"/>
        </w:rPr>
        <w:t>b</w:t>
      </w:r>
      <w:r w:rsidRPr="00166B8D">
        <w:rPr>
          <w:sz w:val="22"/>
          <w:szCs w:val="22"/>
        </w:rPr>
        <w:t xml:space="preserve"> of the </w:t>
      </w:r>
      <w:r w:rsidRPr="00166B8D">
        <w:rPr>
          <w:i/>
          <w:iCs/>
          <w:sz w:val="22"/>
          <w:szCs w:val="22"/>
        </w:rPr>
        <w:t xml:space="preserve">Australian Meat and Live-stock Corporation Act 1977 </w:t>
      </w:r>
      <w:r w:rsidRPr="00166B8D">
        <w:rPr>
          <w:sz w:val="22"/>
          <w:szCs w:val="22"/>
        </w:rPr>
        <w:t>before the making of that recommendation; or</w:t>
      </w:r>
    </w:p>
    <w:p w14:paraId="5E99C70C" w14:textId="77777777" w:rsidR="00BD26F9" w:rsidRPr="00166B8D" w:rsidRDefault="00BD26F9" w:rsidP="00BD26F9">
      <w:pPr>
        <w:widowControl w:val="0"/>
        <w:tabs>
          <w:tab w:val="left" w:pos="792"/>
        </w:tabs>
        <w:autoSpaceDE w:val="0"/>
        <w:autoSpaceDN w:val="0"/>
        <w:adjustRightInd w:val="0"/>
        <w:spacing w:before="120"/>
        <w:ind w:left="792" w:hanging="394"/>
        <w:jc w:val="both"/>
        <w:rPr>
          <w:sz w:val="22"/>
          <w:szCs w:val="22"/>
        </w:rPr>
      </w:pPr>
      <w:r w:rsidRPr="00166B8D">
        <w:rPr>
          <w:sz w:val="22"/>
          <w:szCs w:val="22"/>
        </w:rPr>
        <w:t>(b)</w:t>
      </w:r>
      <w:r w:rsidRPr="00166B8D">
        <w:rPr>
          <w:sz w:val="22"/>
          <w:szCs w:val="22"/>
        </w:rPr>
        <w:tab/>
        <w:t>if such a motion is so put and, by virtue of the application of subsection 30</w:t>
      </w:r>
      <w:r w:rsidRPr="00166B8D">
        <w:rPr>
          <w:smallCaps/>
          <w:sz w:val="22"/>
          <w:szCs w:val="22"/>
        </w:rPr>
        <w:t>g</w:t>
      </w:r>
      <w:r w:rsidRPr="00166B8D">
        <w:rPr>
          <w:sz w:val="22"/>
          <w:szCs w:val="22"/>
        </w:rPr>
        <w:t xml:space="preserve"> (5) of that Act, defeated.</w:t>
      </w:r>
    </w:p>
    <w:p w14:paraId="4C75EFED" w14:textId="77777777" w:rsidR="00BD26F9" w:rsidRPr="00166B8D" w:rsidRDefault="00BD26F9" w:rsidP="00BD26F9">
      <w:pPr>
        <w:widowControl w:val="0"/>
        <w:tabs>
          <w:tab w:val="left" w:pos="730"/>
        </w:tabs>
        <w:autoSpaceDE w:val="0"/>
        <w:autoSpaceDN w:val="0"/>
        <w:adjustRightInd w:val="0"/>
        <w:spacing w:before="120"/>
        <w:ind w:firstLine="336"/>
        <w:jc w:val="both"/>
        <w:rPr>
          <w:sz w:val="22"/>
          <w:szCs w:val="22"/>
        </w:rPr>
      </w:pPr>
      <w:r w:rsidRPr="00166B8D">
        <w:rPr>
          <w:b/>
          <w:sz w:val="22"/>
          <w:szCs w:val="22"/>
        </w:rPr>
        <w:t>(5)</w:t>
      </w:r>
      <w:r w:rsidRPr="00166B8D">
        <w:rPr>
          <w:sz w:val="22"/>
          <w:szCs w:val="22"/>
        </w:rPr>
        <w:tab/>
        <w:t>The Corporation must, at the time of making a recommendation to the Minister of the kind referred to in subsection (4), give the Minister particulars in writing of the voting in respect of the motion that the terms of the recommendation be endorsed.</w:t>
      </w:r>
    </w:p>
    <w:p w14:paraId="63822565" w14:textId="77777777" w:rsidR="00BD26F9" w:rsidRPr="00166B8D" w:rsidRDefault="00BD26F9" w:rsidP="00BD26F9">
      <w:pPr>
        <w:widowControl w:val="0"/>
        <w:tabs>
          <w:tab w:val="left" w:pos="730"/>
        </w:tabs>
        <w:autoSpaceDE w:val="0"/>
        <w:autoSpaceDN w:val="0"/>
        <w:adjustRightInd w:val="0"/>
        <w:spacing w:before="120"/>
        <w:ind w:firstLine="336"/>
        <w:jc w:val="both"/>
        <w:rPr>
          <w:sz w:val="22"/>
          <w:szCs w:val="22"/>
        </w:rPr>
      </w:pPr>
      <w:r w:rsidRPr="00166B8D">
        <w:rPr>
          <w:b/>
          <w:sz w:val="22"/>
          <w:szCs w:val="22"/>
        </w:rPr>
        <w:t>(6)</w:t>
      </w:r>
      <w:r w:rsidRPr="00166B8D">
        <w:rPr>
          <w:sz w:val="22"/>
          <w:szCs w:val="22"/>
        </w:rPr>
        <w:tab/>
        <w:t>The Research and Development Corporation must not make a recommendation to the Minister in relation to regulations to be made for the purposes of paragraph 6 (1) (b):</w:t>
      </w:r>
    </w:p>
    <w:p w14:paraId="12E18CC7" w14:textId="77777777" w:rsidR="00BD26F9" w:rsidRPr="00166B8D" w:rsidRDefault="00BD26F9" w:rsidP="00BD26F9">
      <w:pPr>
        <w:widowControl w:val="0"/>
        <w:tabs>
          <w:tab w:val="left" w:pos="773"/>
        </w:tabs>
        <w:autoSpaceDE w:val="0"/>
        <w:autoSpaceDN w:val="0"/>
        <w:adjustRightInd w:val="0"/>
        <w:spacing w:before="120"/>
        <w:ind w:left="773" w:hanging="398"/>
        <w:jc w:val="both"/>
        <w:rPr>
          <w:sz w:val="22"/>
          <w:szCs w:val="22"/>
        </w:rPr>
      </w:pPr>
      <w:r w:rsidRPr="00166B8D">
        <w:rPr>
          <w:sz w:val="22"/>
          <w:szCs w:val="22"/>
        </w:rPr>
        <w:t>(a)</w:t>
      </w:r>
      <w:r w:rsidRPr="00166B8D">
        <w:rPr>
          <w:sz w:val="22"/>
          <w:szCs w:val="22"/>
        </w:rPr>
        <w:tab/>
        <w:t xml:space="preserve">if a motion that the terms of the recommendation be endorsed has not been put before the last annual general meeting of the Australian meat and live-stock industry convened under section 22 of the </w:t>
      </w:r>
      <w:r w:rsidRPr="00166B8D">
        <w:rPr>
          <w:i/>
          <w:iCs/>
          <w:sz w:val="22"/>
          <w:szCs w:val="22"/>
        </w:rPr>
        <w:t xml:space="preserve">Australian Meat and Live-stock Research and Development Corporation Act 1985 </w:t>
      </w:r>
      <w:r w:rsidRPr="00166B8D">
        <w:rPr>
          <w:sz w:val="22"/>
          <w:szCs w:val="22"/>
        </w:rPr>
        <w:t>before the making of that recommendation; or</w:t>
      </w:r>
    </w:p>
    <w:p w14:paraId="71E27625" w14:textId="77777777" w:rsidR="00BD26F9" w:rsidRPr="00166B8D" w:rsidRDefault="00BD26F9" w:rsidP="00BD26F9">
      <w:pPr>
        <w:widowControl w:val="0"/>
        <w:tabs>
          <w:tab w:val="left" w:pos="773"/>
        </w:tabs>
        <w:autoSpaceDE w:val="0"/>
        <w:autoSpaceDN w:val="0"/>
        <w:adjustRightInd w:val="0"/>
        <w:spacing w:before="120"/>
        <w:ind w:left="773" w:hanging="398"/>
        <w:jc w:val="both"/>
        <w:rPr>
          <w:sz w:val="22"/>
          <w:szCs w:val="22"/>
        </w:rPr>
      </w:pPr>
      <w:r w:rsidRPr="00166B8D">
        <w:rPr>
          <w:sz w:val="22"/>
          <w:szCs w:val="22"/>
        </w:rPr>
        <w:t>(b)</w:t>
      </w:r>
      <w:r w:rsidRPr="00166B8D">
        <w:rPr>
          <w:sz w:val="22"/>
          <w:szCs w:val="22"/>
        </w:rPr>
        <w:tab/>
        <w:t>if such a motion is so put and, by virtue of the application of subsection 27 (5) of that Act, defeated.</w:t>
      </w:r>
    </w:p>
    <w:p w14:paraId="17DB7110" w14:textId="77777777" w:rsidR="00BD26F9" w:rsidRDefault="00BD26F9" w:rsidP="00BD26F9">
      <w:pPr>
        <w:widowControl w:val="0"/>
        <w:autoSpaceDE w:val="0"/>
        <w:autoSpaceDN w:val="0"/>
        <w:adjustRightInd w:val="0"/>
        <w:spacing w:before="120"/>
        <w:ind w:firstLine="336"/>
        <w:jc w:val="both"/>
        <w:rPr>
          <w:sz w:val="22"/>
          <w:szCs w:val="22"/>
        </w:rPr>
      </w:pPr>
      <w:r w:rsidRPr="00166B8D">
        <w:rPr>
          <w:sz w:val="22"/>
          <w:szCs w:val="22"/>
        </w:rPr>
        <w:br w:type="page"/>
      </w:r>
      <w:r w:rsidRPr="00166B8D">
        <w:rPr>
          <w:b/>
          <w:sz w:val="22"/>
          <w:szCs w:val="22"/>
        </w:rPr>
        <w:lastRenderedPageBreak/>
        <w:t>(7)</w:t>
      </w:r>
      <w:r w:rsidR="002B3ADC">
        <w:rPr>
          <w:sz w:val="22"/>
          <w:szCs w:val="22"/>
        </w:rPr>
        <w:tab/>
      </w:r>
      <w:r w:rsidRPr="00166B8D">
        <w:rPr>
          <w:sz w:val="22"/>
          <w:szCs w:val="22"/>
        </w:rPr>
        <w:t>The Research and Development Corporation must, at the time of making a recommendation to the Minister of the kind referred to in subsection (6), give the Minister particulars in writing of the voting in respect of the motion that the terms of the recommendation be endorsed.</w:t>
      </w:r>
    </w:p>
    <w:p w14:paraId="588D43F5" w14:textId="77777777" w:rsidR="00B07177" w:rsidRPr="00166B8D" w:rsidRDefault="00B07177" w:rsidP="00B07177">
      <w:pPr>
        <w:widowControl w:val="0"/>
        <w:autoSpaceDE w:val="0"/>
        <w:autoSpaceDN w:val="0"/>
        <w:adjustRightInd w:val="0"/>
        <w:spacing w:before="120"/>
        <w:jc w:val="both"/>
        <w:rPr>
          <w:sz w:val="22"/>
          <w:szCs w:val="22"/>
        </w:rPr>
      </w:pPr>
      <w:r>
        <w:rPr>
          <w:sz w:val="22"/>
          <w:szCs w:val="22"/>
        </w:rPr>
        <w:t>_____________________________________________________________________________________</w:t>
      </w:r>
    </w:p>
    <w:p w14:paraId="3E750358" w14:textId="77777777" w:rsidR="00BD26F9" w:rsidRPr="00B07177" w:rsidRDefault="00BD26F9" w:rsidP="00BD26F9">
      <w:pPr>
        <w:widowControl w:val="0"/>
        <w:autoSpaceDE w:val="0"/>
        <w:autoSpaceDN w:val="0"/>
        <w:adjustRightInd w:val="0"/>
        <w:spacing w:before="120"/>
        <w:jc w:val="both"/>
        <w:rPr>
          <w:sz w:val="20"/>
          <w:szCs w:val="22"/>
        </w:rPr>
      </w:pPr>
      <w:r w:rsidRPr="00B07177">
        <w:rPr>
          <w:sz w:val="20"/>
          <w:szCs w:val="22"/>
        </w:rPr>
        <w:t>[</w:t>
      </w:r>
      <w:r w:rsidRPr="00B07177">
        <w:rPr>
          <w:i/>
          <w:iCs/>
          <w:sz w:val="20"/>
          <w:szCs w:val="22"/>
        </w:rPr>
        <w:t>Minister’s second reading speech made in</w:t>
      </w:r>
      <w:r w:rsidRPr="00B07177">
        <w:rPr>
          <w:sz w:val="20"/>
          <w:szCs w:val="22"/>
        </w:rPr>
        <w:t>—</w:t>
      </w:r>
    </w:p>
    <w:p w14:paraId="2A0E0BAE" w14:textId="77777777" w:rsidR="00BD26F9" w:rsidRPr="00B07177" w:rsidRDefault="00BD26F9" w:rsidP="002B3ADC">
      <w:pPr>
        <w:widowControl w:val="0"/>
        <w:autoSpaceDE w:val="0"/>
        <w:autoSpaceDN w:val="0"/>
        <w:adjustRightInd w:val="0"/>
        <w:ind w:left="734"/>
        <w:jc w:val="both"/>
        <w:rPr>
          <w:iCs/>
          <w:sz w:val="20"/>
          <w:szCs w:val="22"/>
        </w:rPr>
      </w:pPr>
      <w:r w:rsidRPr="00B07177">
        <w:rPr>
          <w:i/>
          <w:iCs/>
          <w:sz w:val="20"/>
          <w:szCs w:val="22"/>
        </w:rPr>
        <w:t>House of Representatives on 10 October 1990</w:t>
      </w:r>
    </w:p>
    <w:p w14:paraId="77E2DB56" w14:textId="77777777" w:rsidR="00BD26F9" w:rsidRPr="00B07177" w:rsidRDefault="00BD26F9" w:rsidP="002B3ADC">
      <w:pPr>
        <w:widowControl w:val="0"/>
        <w:autoSpaceDE w:val="0"/>
        <w:autoSpaceDN w:val="0"/>
        <w:adjustRightInd w:val="0"/>
        <w:ind w:left="734"/>
        <w:jc w:val="both"/>
        <w:rPr>
          <w:sz w:val="22"/>
        </w:rPr>
      </w:pPr>
      <w:r w:rsidRPr="00B07177">
        <w:rPr>
          <w:i/>
          <w:iCs/>
          <w:sz w:val="20"/>
          <w:szCs w:val="22"/>
        </w:rPr>
        <w:t>Senate on 8 November 1990</w:t>
      </w:r>
      <w:r w:rsidRPr="00B07177">
        <w:rPr>
          <w:sz w:val="20"/>
          <w:szCs w:val="22"/>
        </w:rPr>
        <w:t>]</w:t>
      </w:r>
    </w:p>
    <w:sectPr w:rsidR="00BD26F9" w:rsidRPr="00B07177" w:rsidSect="00ED590A">
      <w:headerReference w:type="default" r:id="rId8"/>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7F478F" w15:done="0"/>
  <w15:commentEx w15:paraId="2C30DAA6" w15:done="0"/>
  <w15:commentEx w15:paraId="69B6AB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7F478F" w16cid:durableId="2069977D"/>
  <w16cid:commentId w16cid:paraId="2C30DAA6" w16cid:durableId="20699795"/>
  <w16cid:commentId w16cid:paraId="69B6AB1E" w16cid:durableId="206997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682B1" w14:textId="77777777" w:rsidR="00526767" w:rsidRDefault="00526767">
      <w:r>
        <w:separator/>
      </w:r>
    </w:p>
  </w:endnote>
  <w:endnote w:type="continuationSeparator" w:id="0">
    <w:p w14:paraId="2A4083F7" w14:textId="77777777" w:rsidR="00526767" w:rsidRDefault="005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9C1D2" w14:textId="77777777" w:rsidR="00526767" w:rsidRDefault="00526767">
      <w:r>
        <w:separator/>
      </w:r>
    </w:p>
  </w:footnote>
  <w:footnote w:type="continuationSeparator" w:id="0">
    <w:p w14:paraId="673DF476" w14:textId="77777777" w:rsidR="00526767" w:rsidRDefault="005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F4EF5" w14:textId="5371D9B8" w:rsidR="002B3ADC" w:rsidRDefault="002B3ADC" w:rsidP="002B3ADC">
    <w:pPr>
      <w:pStyle w:val="Header"/>
      <w:jc w:val="center"/>
    </w:pPr>
    <w:r w:rsidRPr="00166B8D">
      <w:rPr>
        <w:i/>
        <w:iCs/>
        <w:sz w:val="22"/>
        <w:szCs w:val="22"/>
      </w:rPr>
      <w:t xml:space="preserve">Cattle Export Charge </w:t>
    </w:r>
    <w:r w:rsidR="002023E9">
      <w:rPr>
        <w:i/>
        <w:iCs/>
        <w:sz w:val="22"/>
        <w:szCs w:val="22"/>
      </w:rPr>
      <w:t xml:space="preserve">    </w:t>
    </w:r>
    <w:r w:rsidRPr="00166B8D">
      <w:rPr>
        <w:i/>
        <w:iCs/>
        <w:sz w:val="22"/>
        <w:szCs w:val="22"/>
      </w:rPr>
      <w:t>No. 142, 1990</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6F9"/>
    <w:rsid w:val="002023E9"/>
    <w:rsid w:val="002B3ADC"/>
    <w:rsid w:val="00447022"/>
    <w:rsid w:val="00526767"/>
    <w:rsid w:val="00B07177"/>
    <w:rsid w:val="00B3683A"/>
    <w:rsid w:val="00BD26F9"/>
    <w:rsid w:val="00E96773"/>
    <w:rsid w:val="00ED590A"/>
    <w:rsid w:val="00EF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8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ADC"/>
    <w:pPr>
      <w:tabs>
        <w:tab w:val="center" w:pos="4320"/>
        <w:tab w:val="right" w:pos="8640"/>
      </w:tabs>
    </w:pPr>
  </w:style>
  <w:style w:type="paragraph" w:styleId="Footer">
    <w:name w:val="footer"/>
    <w:basedOn w:val="Normal"/>
    <w:rsid w:val="002B3ADC"/>
    <w:pPr>
      <w:tabs>
        <w:tab w:val="center" w:pos="4320"/>
        <w:tab w:val="right" w:pos="8640"/>
      </w:tabs>
    </w:pPr>
  </w:style>
  <w:style w:type="paragraph" w:styleId="BalloonText">
    <w:name w:val="Balloon Text"/>
    <w:basedOn w:val="Normal"/>
    <w:link w:val="BalloonTextChar"/>
    <w:semiHidden/>
    <w:unhideWhenUsed/>
    <w:rsid w:val="00B3683A"/>
    <w:rPr>
      <w:rFonts w:ascii="Segoe UI" w:hAnsi="Segoe UI" w:cs="Segoe UI"/>
      <w:sz w:val="18"/>
      <w:szCs w:val="18"/>
    </w:rPr>
  </w:style>
  <w:style w:type="character" w:customStyle="1" w:styleId="BalloonTextChar">
    <w:name w:val="Balloon Text Char"/>
    <w:basedOn w:val="DefaultParagraphFont"/>
    <w:link w:val="BalloonText"/>
    <w:semiHidden/>
    <w:rsid w:val="00B3683A"/>
    <w:rPr>
      <w:rFonts w:ascii="Segoe UI" w:hAnsi="Segoe UI" w:cs="Segoe UI"/>
      <w:sz w:val="18"/>
      <w:szCs w:val="18"/>
    </w:rPr>
  </w:style>
  <w:style w:type="character" w:styleId="CommentReference">
    <w:name w:val="annotation reference"/>
    <w:basedOn w:val="DefaultParagraphFont"/>
    <w:semiHidden/>
    <w:unhideWhenUsed/>
    <w:rsid w:val="00B3683A"/>
    <w:rPr>
      <w:sz w:val="16"/>
      <w:szCs w:val="16"/>
    </w:rPr>
  </w:style>
  <w:style w:type="paragraph" w:styleId="CommentText">
    <w:name w:val="annotation text"/>
    <w:basedOn w:val="Normal"/>
    <w:link w:val="CommentTextChar"/>
    <w:semiHidden/>
    <w:unhideWhenUsed/>
    <w:rsid w:val="00B3683A"/>
    <w:rPr>
      <w:sz w:val="20"/>
      <w:szCs w:val="20"/>
    </w:rPr>
  </w:style>
  <w:style w:type="character" w:customStyle="1" w:styleId="CommentTextChar">
    <w:name w:val="Comment Text Char"/>
    <w:basedOn w:val="DefaultParagraphFont"/>
    <w:link w:val="CommentText"/>
    <w:semiHidden/>
    <w:rsid w:val="00B3683A"/>
  </w:style>
  <w:style w:type="paragraph" w:styleId="CommentSubject">
    <w:name w:val="annotation subject"/>
    <w:basedOn w:val="CommentText"/>
    <w:next w:val="CommentText"/>
    <w:link w:val="CommentSubjectChar"/>
    <w:semiHidden/>
    <w:unhideWhenUsed/>
    <w:rsid w:val="00B3683A"/>
    <w:rPr>
      <w:b/>
      <w:bCs/>
    </w:rPr>
  </w:style>
  <w:style w:type="character" w:customStyle="1" w:styleId="CommentSubjectChar">
    <w:name w:val="Comment Subject Char"/>
    <w:basedOn w:val="CommentTextChar"/>
    <w:link w:val="CommentSubject"/>
    <w:semiHidden/>
    <w:rsid w:val="00B3683A"/>
    <w:rPr>
      <w:b/>
      <w:bCs/>
    </w:rPr>
  </w:style>
  <w:style w:type="paragraph" w:styleId="Revision">
    <w:name w:val="Revision"/>
    <w:hidden/>
    <w:uiPriority w:val="99"/>
    <w:semiHidden/>
    <w:rsid w:val="002023E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ADC"/>
    <w:pPr>
      <w:tabs>
        <w:tab w:val="center" w:pos="4320"/>
        <w:tab w:val="right" w:pos="8640"/>
      </w:tabs>
    </w:pPr>
  </w:style>
  <w:style w:type="paragraph" w:styleId="Footer">
    <w:name w:val="footer"/>
    <w:basedOn w:val="Normal"/>
    <w:rsid w:val="002B3ADC"/>
    <w:pPr>
      <w:tabs>
        <w:tab w:val="center" w:pos="4320"/>
        <w:tab w:val="right" w:pos="8640"/>
      </w:tabs>
    </w:pPr>
  </w:style>
  <w:style w:type="paragraph" w:styleId="BalloonText">
    <w:name w:val="Balloon Text"/>
    <w:basedOn w:val="Normal"/>
    <w:link w:val="BalloonTextChar"/>
    <w:semiHidden/>
    <w:unhideWhenUsed/>
    <w:rsid w:val="00B3683A"/>
    <w:rPr>
      <w:rFonts w:ascii="Segoe UI" w:hAnsi="Segoe UI" w:cs="Segoe UI"/>
      <w:sz w:val="18"/>
      <w:szCs w:val="18"/>
    </w:rPr>
  </w:style>
  <w:style w:type="character" w:customStyle="1" w:styleId="BalloonTextChar">
    <w:name w:val="Balloon Text Char"/>
    <w:basedOn w:val="DefaultParagraphFont"/>
    <w:link w:val="BalloonText"/>
    <w:semiHidden/>
    <w:rsid w:val="00B3683A"/>
    <w:rPr>
      <w:rFonts w:ascii="Segoe UI" w:hAnsi="Segoe UI" w:cs="Segoe UI"/>
      <w:sz w:val="18"/>
      <w:szCs w:val="18"/>
    </w:rPr>
  </w:style>
  <w:style w:type="character" w:styleId="CommentReference">
    <w:name w:val="annotation reference"/>
    <w:basedOn w:val="DefaultParagraphFont"/>
    <w:semiHidden/>
    <w:unhideWhenUsed/>
    <w:rsid w:val="00B3683A"/>
    <w:rPr>
      <w:sz w:val="16"/>
      <w:szCs w:val="16"/>
    </w:rPr>
  </w:style>
  <w:style w:type="paragraph" w:styleId="CommentText">
    <w:name w:val="annotation text"/>
    <w:basedOn w:val="Normal"/>
    <w:link w:val="CommentTextChar"/>
    <w:semiHidden/>
    <w:unhideWhenUsed/>
    <w:rsid w:val="00B3683A"/>
    <w:rPr>
      <w:sz w:val="20"/>
      <w:szCs w:val="20"/>
    </w:rPr>
  </w:style>
  <w:style w:type="character" w:customStyle="1" w:styleId="CommentTextChar">
    <w:name w:val="Comment Text Char"/>
    <w:basedOn w:val="DefaultParagraphFont"/>
    <w:link w:val="CommentText"/>
    <w:semiHidden/>
    <w:rsid w:val="00B3683A"/>
  </w:style>
  <w:style w:type="paragraph" w:styleId="CommentSubject">
    <w:name w:val="annotation subject"/>
    <w:basedOn w:val="CommentText"/>
    <w:next w:val="CommentText"/>
    <w:link w:val="CommentSubjectChar"/>
    <w:semiHidden/>
    <w:unhideWhenUsed/>
    <w:rsid w:val="00B3683A"/>
    <w:rPr>
      <w:b/>
      <w:bCs/>
    </w:rPr>
  </w:style>
  <w:style w:type="character" w:customStyle="1" w:styleId="CommentSubjectChar">
    <w:name w:val="Comment Subject Char"/>
    <w:basedOn w:val="CommentTextChar"/>
    <w:link w:val="CommentSubject"/>
    <w:semiHidden/>
    <w:rsid w:val="00B3683A"/>
    <w:rPr>
      <w:b/>
      <w:bCs/>
    </w:rPr>
  </w:style>
  <w:style w:type="paragraph" w:styleId="Revision">
    <w:name w:val="Revision"/>
    <w:hidden/>
    <w:uiPriority w:val="99"/>
    <w:semiHidden/>
    <w:rsid w:val="002023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960</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dc:creator>
  <cp:lastModifiedBy>Ziegler, Liesl</cp:lastModifiedBy>
  <cp:revision>3</cp:revision>
  <dcterms:created xsi:type="dcterms:W3CDTF">2019-04-23T03:56:00Z</dcterms:created>
  <dcterms:modified xsi:type="dcterms:W3CDTF">2019-10-10T00:44:00Z</dcterms:modified>
</cp:coreProperties>
</file>