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1B7D3" w14:textId="77777777" w:rsidR="00ED2620" w:rsidRPr="00FB7120" w:rsidRDefault="00892474" w:rsidP="00FB7120">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5C32E2AA" wp14:editId="272E8906">
            <wp:extent cx="1463040" cy="10896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1089660"/>
                    </a:xfrm>
                    <a:prstGeom prst="rect">
                      <a:avLst/>
                    </a:prstGeom>
                    <a:noFill/>
                    <a:ln>
                      <a:noFill/>
                    </a:ln>
                  </pic:spPr>
                </pic:pic>
              </a:graphicData>
            </a:graphic>
          </wp:inline>
        </w:drawing>
      </w:r>
    </w:p>
    <w:p w14:paraId="55E615CF" w14:textId="77777777" w:rsidR="00ED2620" w:rsidRPr="00FB7120" w:rsidRDefault="00ED2620" w:rsidP="00FB7120">
      <w:pPr>
        <w:widowControl w:val="0"/>
        <w:autoSpaceDE w:val="0"/>
        <w:autoSpaceDN w:val="0"/>
        <w:adjustRightInd w:val="0"/>
        <w:spacing w:before="720"/>
        <w:jc w:val="center"/>
        <w:rPr>
          <w:b/>
          <w:sz w:val="36"/>
          <w:szCs w:val="22"/>
        </w:rPr>
      </w:pPr>
      <w:r w:rsidRPr="00FB7120">
        <w:rPr>
          <w:b/>
          <w:bCs/>
          <w:sz w:val="36"/>
          <w:szCs w:val="22"/>
        </w:rPr>
        <w:t xml:space="preserve">Builders </w:t>
      </w:r>
      <w:proofErr w:type="spellStart"/>
      <w:r w:rsidRPr="00FB7120">
        <w:rPr>
          <w:b/>
          <w:bCs/>
          <w:sz w:val="36"/>
          <w:szCs w:val="22"/>
        </w:rPr>
        <w:t>Labourers’</w:t>
      </w:r>
      <w:proofErr w:type="spellEnd"/>
      <w:r w:rsidRPr="00FB7120">
        <w:rPr>
          <w:b/>
          <w:bCs/>
          <w:sz w:val="36"/>
          <w:szCs w:val="22"/>
        </w:rPr>
        <w:t xml:space="preserve"> Federation Legislation</w:t>
      </w:r>
      <w:r w:rsidR="00FB7120" w:rsidRPr="00FB7120">
        <w:rPr>
          <w:b/>
          <w:bCs/>
          <w:sz w:val="36"/>
          <w:szCs w:val="22"/>
        </w:rPr>
        <w:br/>
      </w:r>
      <w:r w:rsidRPr="00FB7120">
        <w:rPr>
          <w:b/>
          <w:bCs/>
          <w:sz w:val="36"/>
          <w:szCs w:val="22"/>
        </w:rPr>
        <w:t>Amendment Act 1990</w:t>
      </w:r>
    </w:p>
    <w:p w14:paraId="76DF7F49" w14:textId="39D9AA97" w:rsidR="00FB7120" w:rsidRPr="0094313F" w:rsidRDefault="00ED2620" w:rsidP="00FB7120">
      <w:pPr>
        <w:widowControl w:val="0"/>
        <w:autoSpaceDE w:val="0"/>
        <w:autoSpaceDN w:val="0"/>
        <w:adjustRightInd w:val="0"/>
        <w:spacing w:before="720"/>
        <w:jc w:val="center"/>
        <w:rPr>
          <w:b/>
          <w:bCs/>
          <w:sz w:val="28"/>
          <w:szCs w:val="22"/>
        </w:rPr>
      </w:pPr>
      <w:r w:rsidRPr="0094313F">
        <w:rPr>
          <w:b/>
          <w:bCs/>
          <w:sz w:val="28"/>
          <w:szCs w:val="22"/>
        </w:rPr>
        <w:t>No. 132 of 1990</w:t>
      </w:r>
    </w:p>
    <w:p w14:paraId="77231298" w14:textId="77777777" w:rsidR="00ED2620" w:rsidRPr="00FB7120" w:rsidRDefault="00ED2620" w:rsidP="00FB7120">
      <w:pPr>
        <w:widowControl w:val="0"/>
        <w:pBdr>
          <w:bottom w:val="double" w:sz="4" w:space="1" w:color="auto"/>
        </w:pBdr>
        <w:autoSpaceDE w:val="0"/>
        <w:autoSpaceDN w:val="0"/>
        <w:adjustRightInd w:val="0"/>
        <w:spacing w:before="720"/>
        <w:jc w:val="center"/>
        <w:rPr>
          <w:sz w:val="22"/>
          <w:szCs w:val="22"/>
        </w:rPr>
      </w:pPr>
    </w:p>
    <w:p w14:paraId="178D53D2" w14:textId="05861F6B" w:rsidR="00ED2620" w:rsidRPr="0094313F" w:rsidRDefault="00ED2620" w:rsidP="00FB7120">
      <w:pPr>
        <w:widowControl w:val="0"/>
        <w:autoSpaceDE w:val="0"/>
        <w:autoSpaceDN w:val="0"/>
        <w:adjustRightInd w:val="0"/>
        <w:spacing w:before="720"/>
        <w:jc w:val="center"/>
        <w:rPr>
          <w:szCs w:val="22"/>
        </w:rPr>
      </w:pPr>
      <w:r w:rsidRPr="0094313F">
        <w:rPr>
          <w:b/>
          <w:bCs/>
          <w:szCs w:val="22"/>
        </w:rPr>
        <w:t xml:space="preserve">An Act to amend the </w:t>
      </w:r>
      <w:r w:rsidRPr="0094313F">
        <w:rPr>
          <w:b/>
          <w:bCs/>
          <w:i/>
          <w:iCs/>
          <w:szCs w:val="22"/>
        </w:rPr>
        <w:t xml:space="preserve">Builders </w:t>
      </w:r>
      <w:proofErr w:type="spellStart"/>
      <w:r w:rsidRPr="0094313F">
        <w:rPr>
          <w:b/>
          <w:bCs/>
          <w:i/>
          <w:iCs/>
          <w:szCs w:val="22"/>
        </w:rPr>
        <w:t>Labourers’</w:t>
      </w:r>
      <w:proofErr w:type="spellEnd"/>
      <w:r w:rsidRPr="0094313F">
        <w:rPr>
          <w:b/>
          <w:bCs/>
          <w:i/>
          <w:iCs/>
          <w:szCs w:val="22"/>
        </w:rPr>
        <w:t xml:space="preserve"> Federation</w:t>
      </w:r>
      <w:r w:rsidR="00FB7120" w:rsidRPr="0094313F">
        <w:rPr>
          <w:b/>
          <w:bCs/>
          <w:i/>
          <w:iCs/>
          <w:szCs w:val="22"/>
        </w:rPr>
        <w:br/>
      </w:r>
      <w:r w:rsidRPr="0094313F">
        <w:rPr>
          <w:b/>
          <w:bCs/>
          <w:i/>
          <w:iCs/>
          <w:szCs w:val="22"/>
        </w:rPr>
        <w:t>(Cancellation of Registration</w:t>
      </w:r>
      <w:r w:rsidRPr="0094313F">
        <w:rPr>
          <w:b/>
          <w:bCs/>
          <w:szCs w:val="22"/>
        </w:rPr>
        <w:t>—</w:t>
      </w:r>
      <w:r w:rsidRPr="0094313F">
        <w:rPr>
          <w:b/>
          <w:bCs/>
          <w:i/>
          <w:iCs/>
          <w:szCs w:val="22"/>
        </w:rPr>
        <w:t>Consequential Provisions)</w:t>
      </w:r>
      <w:r w:rsidR="00FB7120" w:rsidRPr="0094313F">
        <w:rPr>
          <w:b/>
          <w:bCs/>
          <w:i/>
          <w:iCs/>
          <w:szCs w:val="22"/>
        </w:rPr>
        <w:br/>
      </w:r>
      <w:r w:rsidRPr="0094313F">
        <w:rPr>
          <w:b/>
          <w:bCs/>
          <w:i/>
          <w:iCs/>
          <w:szCs w:val="22"/>
        </w:rPr>
        <w:t xml:space="preserve">Act 1986, </w:t>
      </w:r>
      <w:r w:rsidRPr="0094313F">
        <w:rPr>
          <w:b/>
          <w:bCs/>
          <w:szCs w:val="22"/>
        </w:rPr>
        <w:t>and for related purposes</w:t>
      </w:r>
    </w:p>
    <w:p w14:paraId="23D569D8" w14:textId="77777777" w:rsidR="00ED2620" w:rsidRPr="00FB7120" w:rsidRDefault="00ED2620" w:rsidP="00FB7120">
      <w:pPr>
        <w:widowControl w:val="0"/>
        <w:autoSpaceDE w:val="0"/>
        <w:autoSpaceDN w:val="0"/>
        <w:adjustRightInd w:val="0"/>
        <w:spacing w:before="120"/>
        <w:jc w:val="right"/>
        <w:rPr>
          <w:sz w:val="22"/>
          <w:szCs w:val="22"/>
        </w:rPr>
      </w:pPr>
      <w:r w:rsidRPr="00FB7120">
        <w:rPr>
          <w:sz w:val="22"/>
          <w:szCs w:val="22"/>
        </w:rPr>
        <w:t>[</w:t>
      </w:r>
      <w:r w:rsidRPr="00FB7120">
        <w:rPr>
          <w:i/>
          <w:iCs/>
          <w:sz w:val="22"/>
          <w:szCs w:val="22"/>
        </w:rPr>
        <w:t>Assented to 28 December 1990</w:t>
      </w:r>
      <w:r w:rsidRPr="00FB7120">
        <w:rPr>
          <w:sz w:val="22"/>
          <w:szCs w:val="22"/>
        </w:rPr>
        <w:t>]</w:t>
      </w:r>
    </w:p>
    <w:p w14:paraId="4D4A530B" w14:textId="77777777" w:rsidR="00ED2620" w:rsidRPr="00FB7120" w:rsidRDefault="00ED2620" w:rsidP="00ED2620">
      <w:pPr>
        <w:widowControl w:val="0"/>
        <w:autoSpaceDE w:val="0"/>
        <w:autoSpaceDN w:val="0"/>
        <w:adjustRightInd w:val="0"/>
        <w:spacing w:before="120"/>
        <w:ind w:left="350"/>
        <w:jc w:val="both"/>
        <w:rPr>
          <w:sz w:val="22"/>
          <w:szCs w:val="22"/>
        </w:rPr>
      </w:pPr>
      <w:r w:rsidRPr="00FB7120">
        <w:rPr>
          <w:sz w:val="22"/>
          <w:szCs w:val="22"/>
        </w:rPr>
        <w:t>The Parliament of Australia enacts:</w:t>
      </w:r>
    </w:p>
    <w:p w14:paraId="3760A317" w14:textId="77777777" w:rsidR="00ED2620" w:rsidRPr="00FB7120" w:rsidRDefault="00ED2620" w:rsidP="00ED2620">
      <w:pPr>
        <w:widowControl w:val="0"/>
        <w:autoSpaceDE w:val="0"/>
        <w:autoSpaceDN w:val="0"/>
        <w:adjustRightInd w:val="0"/>
        <w:spacing w:before="120" w:after="60"/>
        <w:jc w:val="both"/>
        <w:rPr>
          <w:sz w:val="22"/>
          <w:szCs w:val="22"/>
        </w:rPr>
      </w:pPr>
      <w:r w:rsidRPr="00FB7120">
        <w:rPr>
          <w:b/>
          <w:bCs/>
          <w:sz w:val="22"/>
          <w:szCs w:val="22"/>
        </w:rPr>
        <w:t>Short title etc.</w:t>
      </w:r>
    </w:p>
    <w:p w14:paraId="115D77E2" w14:textId="77777777" w:rsidR="00ED2620" w:rsidRPr="00FB7120" w:rsidRDefault="00ED2620" w:rsidP="00ED2620">
      <w:pPr>
        <w:widowControl w:val="0"/>
        <w:tabs>
          <w:tab w:val="left" w:pos="634"/>
        </w:tabs>
        <w:autoSpaceDE w:val="0"/>
        <w:autoSpaceDN w:val="0"/>
        <w:adjustRightInd w:val="0"/>
        <w:spacing w:before="120"/>
        <w:ind w:firstLine="350"/>
        <w:jc w:val="both"/>
        <w:rPr>
          <w:sz w:val="22"/>
          <w:szCs w:val="22"/>
        </w:rPr>
      </w:pPr>
      <w:r w:rsidRPr="00FB7120">
        <w:rPr>
          <w:b/>
          <w:bCs/>
          <w:sz w:val="22"/>
          <w:szCs w:val="22"/>
        </w:rPr>
        <w:t>1.</w:t>
      </w:r>
      <w:r w:rsidRPr="00FB7120">
        <w:rPr>
          <w:sz w:val="22"/>
          <w:szCs w:val="22"/>
        </w:rPr>
        <w:tab/>
      </w:r>
      <w:r w:rsidRPr="00FB7120">
        <w:rPr>
          <w:b/>
          <w:bCs/>
          <w:sz w:val="22"/>
          <w:szCs w:val="22"/>
        </w:rPr>
        <w:t>(1)</w:t>
      </w:r>
      <w:r w:rsidRPr="00FB7120">
        <w:rPr>
          <w:sz w:val="22"/>
          <w:szCs w:val="22"/>
        </w:rPr>
        <w:t xml:space="preserve"> This Act may be cited as the </w:t>
      </w:r>
      <w:r w:rsidRPr="00FB7120">
        <w:rPr>
          <w:i/>
          <w:iCs/>
          <w:sz w:val="22"/>
          <w:szCs w:val="22"/>
        </w:rPr>
        <w:t xml:space="preserve">Builders </w:t>
      </w:r>
      <w:proofErr w:type="spellStart"/>
      <w:r w:rsidRPr="00FB7120">
        <w:rPr>
          <w:i/>
          <w:iCs/>
          <w:sz w:val="22"/>
          <w:szCs w:val="22"/>
        </w:rPr>
        <w:t>Labourers’</w:t>
      </w:r>
      <w:proofErr w:type="spellEnd"/>
      <w:r w:rsidRPr="00FB7120">
        <w:rPr>
          <w:i/>
          <w:iCs/>
          <w:sz w:val="22"/>
          <w:szCs w:val="22"/>
        </w:rPr>
        <w:t xml:space="preserve"> Federation Legislation Amendment Act 1990.</w:t>
      </w:r>
    </w:p>
    <w:p w14:paraId="49CCDA5D" w14:textId="77777777" w:rsidR="00ED2620" w:rsidRPr="00FB7120" w:rsidRDefault="00ED2620" w:rsidP="00ED2620">
      <w:pPr>
        <w:widowControl w:val="0"/>
        <w:autoSpaceDE w:val="0"/>
        <w:autoSpaceDN w:val="0"/>
        <w:adjustRightInd w:val="0"/>
        <w:spacing w:before="120"/>
        <w:ind w:firstLine="341"/>
        <w:jc w:val="both"/>
        <w:rPr>
          <w:sz w:val="22"/>
          <w:szCs w:val="22"/>
        </w:rPr>
      </w:pPr>
      <w:r w:rsidRPr="00FB7120">
        <w:rPr>
          <w:sz w:val="22"/>
          <w:szCs w:val="22"/>
        </w:rPr>
        <w:t>(</w:t>
      </w:r>
      <w:r w:rsidRPr="00FB7120">
        <w:rPr>
          <w:b/>
          <w:bCs/>
          <w:sz w:val="22"/>
          <w:szCs w:val="22"/>
        </w:rPr>
        <w:t>2</w:t>
      </w:r>
      <w:r w:rsidRPr="00FB7120">
        <w:rPr>
          <w:sz w:val="22"/>
          <w:szCs w:val="22"/>
        </w:rPr>
        <w:t>)</w:t>
      </w:r>
      <w:r w:rsidRPr="00FB7120">
        <w:rPr>
          <w:sz w:val="22"/>
          <w:szCs w:val="22"/>
        </w:rPr>
        <w:tab/>
        <w:t xml:space="preserve">In this Act, </w:t>
      </w:r>
      <w:r w:rsidRPr="00FB7120">
        <w:rPr>
          <w:b/>
          <w:bCs/>
          <w:sz w:val="22"/>
          <w:szCs w:val="22"/>
        </w:rPr>
        <w:t xml:space="preserve">“Principal Act” </w:t>
      </w:r>
      <w:r w:rsidRPr="00FB7120">
        <w:rPr>
          <w:sz w:val="22"/>
          <w:szCs w:val="22"/>
        </w:rPr>
        <w:t xml:space="preserve">means the </w:t>
      </w:r>
      <w:r w:rsidRPr="00FB7120">
        <w:rPr>
          <w:i/>
          <w:iCs/>
          <w:sz w:val="22"/>
          <w:szCs w:val="22"/>
        </w:rPr>
        <w:t xml:space="preserve">Builders </w:t>
      </w:r>
      <w:proofErr w:type="spellStart"/>
      <w:r w:rsidRPr="00FB7120">
        <w:rPr>
          <w:i/>
          <w:iCs/>
          <w:sz w:val="22"/>
          <w:szCs w:val="22"/>
        </w:rPr>
        <w:t>Labourers’</w:t>
      </w:r>
      <w:proofErr w:type="spellEnd"/>
      <w:r w:rsidRPr="00FB7120">
        <w:rPr>
          <w:i/>
          <w:iCs/>
          <w:sz w:val="22"/>
          <w:szCs w:val="22"/>
        </w:rPr>
        <w:t xml:space="preserve"> Federation (Cancellation of Registration</w:t>
      </w:r>
      <w:r w:rsidRPr="00FB7120">
        <w:rPr>
          <w:sz w:val="22"/>
          <w:szCs w:val="22"/>
        </w:rPr>
        <w:t>—</w:t>
      </w:r>
      <w:r w:rsidRPr="00FB7120">
        <w:rPr>
          <w:i/>
          <w:iCs/>
          <w:sz w:val="22"/>
          <w:szCs w:val="22"/>
        </w:rPr>
        <w:t>Consequential Provisions) Act 1986</w:t>
      </w:r>
      <w:r w:rsidRPr="00FB7120">
        <w:rPr>
          <w:sz w:val="22"/>
          <w:szCs w:val="22"/>
          <w:vertAlign w:val="superscript"/>
        </w:rPr>
        <w:t>1</w:t>
      </w:r>
      <w:r w:rsidRPr="00FB7120">
        <w:rPr>
          <w:i/>
          <w:iCs/>
          <w:sz w:val="22"/>
          <w:szCs w:val="22"/>
        </w:rPr>
        <w:t>.</w:t>
      </w:r>
    </w:p>
    <w:p w14:paraId="52E203A4" w14:textId="77777777" w:rsidR="00ED2620" w:rsidRPr="00FB7120" w:rsidRDefault="00ED2620" w:rsidP="00ED2620">
      <w:pPr>
        <w:widowControl w:val="0"/>
        <w:autoSpaceDE w:val="0"/>
        <w:autoSpaceDN w:val="0"/>
        <w:adjustRightInd w:val="0"/>
        <w:spacing w:before="120" w:after="60"/>
        <w:jc w:val="both"/>
        <w:rPr>
          <w:sz w:val="22"/>
          <w:szCs w:val="22"/>
        </w:rPr>
      </w:pPr>
      <w:r w:rsidRPr="00FB7120">
        <w:rPr>
          <w:b/>
          <w:bCs/>
          <w:sz w:val="22"/>
          <w:szCs w:val="22"/>
        </w:rPr>
        <w:t>Commencement</w:t>
      </w:r>
    </w:p>
    <w:p w14:paraId="43B28CF6" w14:textId="77777777" w:rsidR="00ED2620" w:rsidRPr="00FB7120" w:rsidRDefault="00ED2620" w:rsidP="00ED2620">
      <w:pPr>
        <w:widowControl w:val="0"/>
        <w:tabs>
          <w:tab w:val="left" w:pos="634"/>
        </w:tabs>
        <w:autoSpaceDE w:val="0"/>
        <w:autoSpaceDN w:val="0"/>
        <w:adjustRightInd w:val="0"/>
        <w:spacing w:before="120"/>
        <w:ind w:firstLine="350"/>
        <w:jc w:val="both"/>
        <w:rPr>
          <w:sz w:val="22"/>
          <w:szCs w:val="22"/>
        </w:rPr>
      </w:pPr>
      <w:r w:rsidRPr="00FB7120">
        <w:rPr>
          <w:b/>
          <w:bCs/>
          <w:sz w:val="22"/>
          <w:szCs w:val="22"/>
        </w:rPr>
        <w:t>2.</w:t>
      </w:r>
      <w:r w:rsidRPr="00FB7120">
        <w:rPr>
          <w:b/>
          <w:bCs/>
          <w:sz w:val="22"/>
          <w:szCs w:val="22"/>
        </w:rPr>
        <w:tab/>
        <w:t xml:space="preserve">(1) </w:t>
      </w:r>
      <w:r w:rsidRPr="00FB7120">
        <w:rPr>
          <w:sz w:val="22"/>
          <w:szCs w:val="22"/>
        </w:rPr>
        <w:t>Sections 1, 2 and 5 commence on the day on which this Act receives the Royal Assent.</w:t>
      </w:r>
    </w:p>
    <w:p w14:paraId="33D67FCD" w14:textId="77777777" w:rsidR="00ED2620" w:rsidRPr="00FB7120" w:rsidRDefault="00ED2620" w:rsidP="00ED2620">
      <w:pPr>
        <w:widowControl w:val="0"/>
        <w:autoSpaceDE w:val="0"/>
        <w:autoSpaceDN w:val="0"/>
        <w:adjustRightInd w:val="0"/>
        <w:spacing w:before="120"/>
        <w:ind w:firstLine="336"/>
        <w:jc w:val="both"/>
        <w:rPr>
          <w:sz w:val="22"/>
          <w:szCs w:val="22"/>
        </w:rPr>
      </w:pPr>
      <w:r w:rsidRPr="00FB7120">
        <w:rPr>
          <w:sz w:val="22"/>
          <w:szCs w:val="22"/>
        </w:rPr>
        <w:t>(</w:t>
      </w:r>
      <w:r w:rsidRPr="00FB7120">
        <w:rPr>
          <w:b/>
          <w:bCs/>
          <w:sz w:val="22"/>
          <w:szCs w:val="22"/>
        </w:rPr>
        <w:t>2</w:t>
      </w:r>
      <w:r w:rsidRPr="00FB7120">
        <w:rPr>
          <w:sz w:val="22"/>
          <w:szCs w:val="22"/>
        </w:rPr>
        <w:t>)</w:t>
      </w:r>
      <w:r w:rsidRPr="00FB7120">
        <w:rPr>
          <w:sz w:val="22"/>
          <w:szCs w:val="22"/>
        </w:rPr>
        <w:tab/>
        <w:t>Subject to subsections (3) and (4), the remaining provisions of this Act commence on a day or days to be fixed by Proclamation.</w:t>
      </w:r>
    </w:p>
    <w:p w14:paraId="46F1AB6C" w14:textId="77777777" w:rsidR="00ED2620" w:rsidRPr="00FB7120" w:rsidRDefault="00FB7120" w:rsidP="00ED2620">
      <w:pPr>
        <w:widowControl w:val="0"/>
        <w:tabs>
          <w:tab w:val="left" w:pos="734"/>
        </w:tabs>
        <w:autoSpaceDE w:val="0"/>
        <w:autoSpaceDN w:val="0"/>
        <w:adjustRightInd w:val="0"/>
        <w:spacing w:before="120"/>
        <w:ind w:firstLine="341"/>
        <w:jc w:val="both"/>
        <w:rPr>
          <w:sz w:val="22"/>
          <w:szCs w:val="22"/>
        </w:rPr>
      </w:pPr>
      <w:r>
        <w:rPr>
          <w:sz w:val="22"/>
          <w:szCs w:val="22"/>
        </w:rPr>
        <w:br w:type="page"/>
      </w:r>
      <w:r w:rsidR="00ED2620" w:rsidRPr="00FB7120">
        <w:rPr>
          <w:b/>
          <w:bCs/>
          <w:sz w:val="22"/>
          <w:szCs w:val="22"/>
        </w:rPr>
        <w:lastRenderedPageBreak/>
        <w:t>(3)</w:t>
      </w:r>
      <w:r w:rsidR="00ED2620" w:rsidRPr="00FB7120">
        <w:rPr>
          <w:sz w:val="22"/>
          <w:szCs w:val="22"/>
        </w:rPr>
        <w:tab/>
        <w:t xml:space="preserve">If the commencement of a provision referred to in subsection (2) is not fixed by a Proclamation published in the </w:t>
      </w:r>
      <w:r w:rsidR="00ED2620" w:rsidRPr="00FB7120">
        <w:rPr>
          <w:i/>
          <w:iCs/>
          <w:sz w:val="22"/>
          <w:szCs w:val="22"/>
        </w:rPr>
        <w:t xml:space="preserve">Gazette </w:t>
      </w:r>
      <w:r w:rsidR="00ED2620" w:rsidRPr="00FB7120">
        <w:rPr>
          <w:sz w:val="22"/>
          <w:szCs w:val="22"/>
        </w:rPr>
        <w:t>within the period of 6 months beginning on the day on which this Act receives the Royal Assent, the provision is repealed on the first day after the end of that period.</w:t>
      </w:r>
    </w:p>
    <w:p w14:paraId="404A20CE" w14:textId="77777777" w:rsidR="00ED2620" w:rsidRPr="00FB7120" w:rsidRDefault="00ED2620" w:rsidP="00ED2620">
      <w:pPr>
        <w:widowControl w:val="0"/>
        <w:tabs>
          <w:tab w:val="left" w:pos="734"/>
        </w:tabs>
        <w:autoSpaceDE w:val="0"/>
        <w:autoSpaceDN w:val="0"/>
        <w:adjustRightInd w:val="0"/>
        <w:spacing w:before="120"/>
        <w:ind w:firstLine="341"/>
        <w:jc w:val="both"/>
        <w:rPr>
          <w:sz w:val="22"/>
          <w:szCs w:val="22"/>
        </w:rPr>
      </w:pPr>
      <w:r w:rsidRPr="00FB7120">
        <w:rPr>
          <w:b/>
          <w:bCs/>
          <w:sz w:val="22"/>
          <w:szCs w:val="22"/>
        </w:rPr>
        <w:t>(4)</w:t>
      </w:r>
      <w:r w:rsidRPr="00FB7120">
        <w:rPr>
          <w:sz w:val="22"/>
          <w:szCs w:val="22"/>
        </w:rPr>
        <w:tab/>
        <w:t>If paragraph 4 (1) (b) commences under subsection (2) and subsection 4 (2) does not commence at the same time as paragraph 4 (1) (b), subsection 4 (2) is repealed on the day on which paragraph 4 (1) (b) commences.</w:t>
      </w:r>
    </w:p>
    <w:p w14:paraId="76D95F1E" w14:textId="77777777" w:rsidR="00ED2620" w:rsidRPr="00FB7120" w:rsidRDefault="00ED2620" w:rsidP="00ED2620">
      <w:pPr>
        <w:widowControl w:val="0"/>
        <w:autoSpaceDE w:val="0"/>
        <w:autoSpaceDN w:val="0"/>
        <w:adjustRightInd w:val="0"/>
        <w:spacing w:before="120" w:after="60"/>
        <w:jc w:val="both"/>
        <w:rPr>
          <w:sz w:val="22"/>
          <w:szCs w:val="22"/>
        </w:rPr>
      </w:pPr>
      <w:r w:rsidRPr="00FB7120">
        <w:rPr>
          <w:b/>
          <w:bCs/>
          <w:sz w:val="22"/>
          <w:szCs w:val="22"/>
        </w:rPr>
        <w:t>Interpretation</w:t>
      </w:r>
    </w:p>
    <w:p w14:paraId="0C22EB67" w14:textId="77777777" w:rsidR="00ED2620" w:rsidRPr="00FB7120" w:rsidRDefault="00ED2620" w:rsidP="00ED2620">
      <w:pPr>
        <w:widowControl w:val="0"/>
        <w:autoSpaceDE w:val="0"/>
        <w:autoSpaceDN w:val="0"/>
        <w:adjustRightInd w:val="0"/>
        <w:spacing w:before="120"/>
        <w:ind w:left="346"/>
        <w:jc w:val="both"/>
        <w:rPr>
          <w:sz w:val="22"/>
          <w:szCs w:val="22"/>
        </w:rPr>
      </w:pPr>
      <w:r w:rsidRPr="00FB7120">
        <w:rPr>
          <w:b/>
          <w:bCs/>
          <w:sz w:val="22"/>
          <w:szCs w:val="22"/>
        </w:rPr>
        <w:t>3</w:t>
      </w:r>
      <w:r w:rsidRPr="00FB7120">
        <w:rPr>
          <w:sz w:val="22"/>
          <w:szCs w:val="22"/>
        </w:rPr>
        <w:t>.</w:t>
      </w:r>
      <w:r w:rsidRPr="00FB7120">
        <w:rPr>
          <w:sz w:val="22"/>
          <w:szCs w:val="22"/>
        </w:rPr>
        <w:tab/>
        <w:t>Section 3 of the Principal Act is amended:</w:t>
      </w:r>
    </w:p>
    <w:p w14:paraId="32AD784E" w14:textId="77777777" w:rsidR="00ED2620" w:rsidRPr="00FB7120" w:rsidRDefault="00ED2620" w:rsidP="00ED2620">
      <w:pPr>
        <w:widowControl w:val="0"/>
        <w:tabs>
          <w:tab w:val="left" w:pos="778"/>
        </w:tabs>
        <w:autoSpaceDE w:val="0"/>
        <w:autoSpaceDN w:val="0"/>
        <w:adjustRightInd w:val="0"/>
        <w:spacing w:before="120"/>
        <w:ind w:left="778" w:hanging="384"/>
        <w:jc w:val="both"/>
        <w:rPr>
          <w:sz w:val="22"/>
          <w:szCs w:val="22"/>
        </w:rPr>
      </w:pPr>
      <w:r w:rsidRPr="00FB7120">
        <w:rPr>
          <w:b/>
          <w:bCs/>
          <w:sz w:val="22"/>
          <w:szCs w:val="22"/>
        </w:rPr>
        <w:t>(a)</w:t>
      </w:r>
      <w:r w:rsidRPr="00FB7120">
        <w:rPr>
          <w:sz w:val="22"/>
          <w:szCs w:val="22"/>
        </w:rPr>
        <w:tab/>
        <w:t>by inserting in the definition of “non-registered association” after paragraph (a) the following paragraph:</w:t>
      </w:r>
    </w:p>
    <w:p w14:paraId="43ED106B" w14:textId="77777777" w:rsidR="00ED2620" w:rsidRPr="00FB7120" w:rsidRDefault="00ED2620" w:rsidP="00ED2620">
      <w:pPr>
        <w:widowControl w:val="0"/>
        <w:autoSpaceDE w:val="0"/>
        <w:autoSpaceDN w:val="0"/>
        <w:adjustRightInd w:val="0"/>
        <w:spacing w:before="120"/>
        <w:ind w:left="1008"/>
        <w:jc w:val="both"/>
        <w:rPr>
          <w:sz w:val="22"/>
          <w:szCs w:val="22"/>
        </w:rPr>
      </w:pPr>
      <w:r w:rsidRPr="00FB7120">
        <w:rPr>
          <w:sz w:val="22"/>
          <w:szCs w:val="22"/>
        </w:rPr>
        <w:t>“(ab)</w:t>
      </w:r>
      <w:r w:rsidR="00FB7120">
        <w:rPr>
          <w:sz w:val="22"/>
          <w:szCs w:val="22"/>
        </w:rPr>
        <w:tab/>
      </w:r>
      <w:r w:rsidRPr="00FB7120">
        <w:rPr>
          <w:sz w:val="22"/>
          <w:szCs w:val="22"/>
        </w:rPr>
        <w:t>a State association; or”;</w:t>
      </w:r>
    </w:p>
    <w:p w14:paraId="789BA8AB" w14:textId="77777777" w:rsidR="00ED2620" w:rsidRPr="00FB7120" w:rsidRDefault="00ED2620" w:rsidP="00ED2620">
      <w:pPr>
        <w:widowControl w:val="0"/>
        <w:tabs>
          <w:tab w:val="left" w:pos="778"/>
        </w:tabs>
        <w:autoSpaceDE w:val="0"/>
        <w:autoSpaceDN w:val="0"/>
        <w:adjustRightInd w:val="0"/>
        <w:spacing w:before="120"/>
        <w:ind w:left="778" w:hanging="384"/>
        <w:jc w:val="both"/>
        <w:rPr>
          <w:sz w:val="22"/>
          <w:szCs w:val="22"/>
        </w:rPr>
      </w:pPr>
      <w:r w:rsidRPr="00FB7120">
        <w:rPr>
          <w:b/>
          <w:bCs/>
          <w:sz w:val="22"/>
          <w:szCs w:val="22"/>
        </w:rPr>
        <w:t>(b)</w:t>
      </w:r>
      <w:r w:rsidRPr="00FB7120">
        <w:rPr>
          <w:sz w:val="22"/>
          <w:szCs w:val="22"/>
        </w:rPr>
        <w:tab/>
        <w:t>by omitting “another” from paragraph (b) of the definition of “non-registered association” and substituting “any other”;</w:t>
      </w:r>
    </w:p>
    <w:p w14:paraId="06A2931F" w14:textId="77777777" w:rsidR="00ED2620" w:rsidRPr="00FB7120" w:rsidRDefault="00ED2620" w:rsidP="00ED2620">
      <w:pPr>
        <w:widowControl w:val="0"/>
        <w:tabs>
          <w:tab w:val="left" w:pos="778"/>
        </w:tabs>
        <w:autoSpaceDE w:val="0"/>
        <w:autoSpaceDN w:val="0"/>
        <w:adjustRightInd w:val="0"/>
        <w:spacing w:before="120"/>
        <w:ind w:left="778" w:hanging="384"/>
        <w:jc w:val="both"/>
        <w:rPr>
          <w:sz w:val="22"/>
          <w:szCs w:val="22"/>
        </w:rPr>
      </w:pPr>
      <w:r w:rsidRPr="00FB7120">
        <w:rPr>
          <w:b/>
          <w:bCs/>
          <w:sz w:val="22"/>
          <w:szCs w:val="22"/>
        </w:rPr>
        <w:t>(c)</w:t>
      </w:r>
      <w:r w:rsidRPr="00FB7120">
        <w:rPr>
          <w:sz w:val="22"/>
          <w:szCs w:val="22"/>
        </w:rPr>
        <w:tab/>
        <w:t>by omitting subparagraph (b) (iii) from the definition of “non-registered association” and substituting the following subparagraph:</w:t>
      </w:r>
    </w:p>
    <w:p w14:paraId="25F2CE6D" w14:textId="77777777" w:rsidR="00ED2620" w:rsidRPr="00FB7120" w:rsidRDefault="00ED2620" w:rsidP="00ED2620">
      <w:pPr>
        <w:widowControl w:val="0"/>
        <w:autoSpaceDE w:val="0"/>
        <w:autoSpaceDN w:val="0"/>
        <w:adjustRightInd w:val="0"/>
        <w:spacing w:before="120"/>
        <w:ind w:left="1536" w:hanging="576"/>
        <w:jc w:val="both"/>
        <w:rPr>
          <w:sz w:val="22"/>
          <w:szCs w:val="22"/>
        </w:rPr>
      </w:pPr>
      <w:r w:rsidRPr="00FB7120">
        <w:rPr>
          <w:sz w:val="22"/>
          <w:szCs w:val="22"/>
        </w:rPr>
        <w:t>“(iii)</w:t>
      </w:r>
      <w:r w:rsidR="00FB7120">
        <w:rPr>
          <w:sz w:val="22"/>
          <w:szCs w:val="22"/>
        </w:rPr>
        <w:tab/>
      </w:r>
      <w:r w:rsidRPr="00FB7120">
        <w:rPr>
          <w:sz w:val="22"/>
          <w:szCs w:val="22"/>
        </w:rPr>
        <w:t>a substantial number of the members of which are persons who are within one or more of the following categories:</w:t>
      </w:r>
    </w:p>
    <w:p w14:paraId="6EE5EDFB" w14:textId="77777777" w:rsidR="00ED2620" w:rsidRPr="00FB7120" w:rsidRDefault="00ED2620" w:rsidP="00ED2620">
      <w:pPr>
        <w:widowControl w:val="0"/>
        <w:tabs>
          <w:tab w:val="left" w:pos="2184"/>
        </w:tabs>
        <w:autoSpaceDE w:val="0"/>
        <w:autoSpaceDN w:val="0"/>
        <w:adjustRightInd w:val="0"/>
        <w:spacing w:before="120"/>
        <w:ind w:left="2184" w:hanging="384"/>
        <w:jc w:val="both"/>
        <w:rPr>
          <w:sz w:val="22"/>
          <w:szCs w:val="22"/>
        </w:rPr>
      </w:pPr>
      <w:r w:rsidRPr="00FB7120">
        <w:rPr>
          <w:sz w:val="22"/>
          <w:szCs w:val="22"/>
        </w:rPr>
        <w:t>(</w:t>
      </w:r>
      <w:r w:rsidRPr="00FB7120">
        <w:rPr>
          <w:smallCaps/>
          <w:sz w:val="22"/>
          <w:szCs w:val="22"/>
        </w:rPr>
        <w:t>a</w:t>
      </w:r>
      <w:r w:rsidRPr="00FB7120">
        <w:rPr>
          <w:sz w:val="22"/>
          <w:szCs w:val="22"/>
        </w:rPr>
        <w:t>)</w:t>
      </w:r>
      <w:r w:rsidRPr="00FB7120">
        <w:rPr>
          <w:sz w:val="22"/>
          <w:szCs w:val="22"/>
        </w:rPr>
        <w:tab/>
        <w:t>persons who are or have been members of the Federation;</w:t>
      </w:r>
    </w:p>
    <w:p w14:paraId="05E7B3D8" w14:textId="77777777" w:rsidR="00ED2620" w:rsidRPr="00FB7120" w:rsidRDefault="00ED2620" w:rsidP="00ED2620">
      <w:pPr>
        <w:widowControl w:val="0"/>
        <w:tabs>
          <w:tab w:val="left" w:pos="2184"/>
        </w:tabs>
        <w:autoSpaceDE w:val="0"/>
        <w:autoSpaceDN w:val="0"/>
        <w:adjustRightInd w:val="0"/>
        <w:spacing w:before="120"/>
        <w:ind w:left="2184" w:hanging="384"/>
        <w:jc w:val="both"/>
        <w:rPr>
          <w:sz w:val="22"/>
          <w:szCs w:val="22"/>
        </w:rPr>
      </w:pPr>
      <w:r w:rsidRPr="00FB7120">
        <w:rPr>
          <w:sz w:val="22"/>
          <w:szCs w:val="22"/>
        </w:rPr>
        <w:t>(</w:t>
      </w:r>
      <w:r w:rsidRPr="00FB7120">
        <w:rPr>
          <w:smallCaps/>
          <w:sz w:val="22"/>
          <w:szCs w:val="22"/>
        </w:rPr>
        <w:t>b</w:t>
      </w:r>
      <w:r w:rsidRPr="00FB7120">
        <w:rPr>
          <w:sz w:val="22"/>
          <w:szCs w:val="22"/>
        </w:rPr>
        <w:t>)</w:t>
      </w:r>
      <w:r w:rsidRPr="00FB7120">
        <w:rPr>
          <w:sz w:val="22"/>
          <w:szCs w:val="22"/>
        </w:rPr>
        <w:tab/>
        <w:t>persons who perform work that renders them eligible, or that would, if performed in another part of Australia, render them eligible, to be members of the Federation;</w:t>
      </w:r>
    </w:p>
    <w:p w14:paraId="24EB0A1C" w14:textId="419DB440" w:rsidR="00ED2620" w:rsidRPr="00FB7120" w:rsidRDefault="00ED2620" w:rsidP="00ED2620">
      <w:pPr>
        <w:widowControl w:val="0"/>
        <w:tabs>
          <w:tab w:val="left" w:pos="2184"/>
        </w:tabs>
        <w:autoSpaceDE w:val="0"/>
        <w:autoSpaceDN w:val="0"/>
        <w:adjustRightInd w:val="0"/>
        <w:spacing w:before="120"/>
        <w:ind w:left="2184" w:hanging="384"/>
        <w:jc w:val="both"/>
        <w:rPr>
          <w:sz w:val="22"/>
          <w:szCs w:val="22"/>
        </w:rPr>
      </w:pPr>
      <w:r w:rsidRPr="00FB7120">
        <w:rPr>
          <w:sz w:val="22"/>
          <w:szCs w:val="22"/>
        </w:rPr>
        <w:t>(</w:t>
      </w:r>
      <w:r w:rsidRPr="00FB7120">
        <w:rPr>
          <w:smallCaps/>
          <w:sz w:val="22"/>
          <w:szCs w:val="22"/>
        </w:rPr>
        <w:t>c</w:t>
      </w:r>
      <w:r w:rsidRPr="00FB7120">
        <w:rPr>
          <w:sz w:val="22"/>
          <w:szCs w:val="22"/>
        </w:rPr>
        <w:t>)</w:t>
      </w:r>
      <w:r w:rsidRPr="00FB7120">
        <w:rPr>
          <w:sz w:val="22"/>
          <w:szCs w:val="22"/>
        </w:rPr>
        <w:tab/>
        <w:t xml:space="preserve">persons who perform work that, if they had been performing it immediately before the commencement of the </w:t>
      </w:r>
      <w:r w:rsidRPr="00FB7120">
        <w:rPr>
          <w:i/>
          <w:iCs/>
          <w:sz w:val="22"/>
          <w:szCs w:val="22"/>
        </w:rPr>
        <w:t xml:space="preserve">Builders </w:t>
      </w:r>
      <w:proofErr w:type="spellStart"/>
      <w:r w:rsidRPr="00FB7120">
        <w:rPr>
          <w:i/>
          <w:iCs/>
          <w:sz w:val="22"/>
          <w:szCs w:val="22"/>
        </w:rPr>
        <w:t>Labourers’</w:t>
      </w:r>
      <w:proofErr w:type="spellEnd"/>
      <w:r w:rsidRPr="00FB7120">
        <w:rPr>
          <w:i/>
          <w:iCs/>
          <w:sz w:val="22"/>
          <w:szCs w:val="22"/>
        </w:rPr>
        <w:t xml:space="preserve"> Federation (Cancellation of Registration) Act 1986</w:t>
      </w:r>
      <w:r w:rsidRPr="0094313F">
        <w:rPr>
          <w:iCs/>
          <w:sz w:val="22"/>
          <w:szCs w:val="22"/>
        </w:rPr>
        <w:t>,</w:t>
      </w:r>
      <w:r w:rsidRPr="00FB7120">
        <w:rPr>
          <w:i/>
          <w:iCs/>
          <w:sz w:val="22"/>
          <w:szCs w:val="22"/>
        </w:rPr>
        <w:t xml:space="preserve"> </w:t>
      </w:r>
      <w:r w:rsidRPr="00FB7120">
        <w:rPr>
          <w:sz w:val="22"/>
          <w:szCs w:val="22"/>
        </w:rPr>
        <w:t>would have rendered them eligible or would, if performed-in another part of Australia, have rendered them eligible, to be members of the Federation;”;</w:t>
      </w:r>
    </w:p>
    <w:p w14:paraId="67EFA731" w14:textId="77777777" w:rsidR="00ED2620" w:rsidRPr="00FB7120" w:rsidRDefault="00ED2620" w:rsidP="00ED2620">
      <w:pPr>
        <w:widowControl w:val="0"/>
        <w:tabs>
          <w:tab w:val="left" w:pos="778"/>
        </w:tabs>
        <w:autoSpaceDE w:val="0"/>
        <w:autoSpaceDN w:val="0"/>
        <w:adjustRightInd w:val="0"/>
        <w:spacing w:before="120"/>
        <w:ind w:left="403"/>
        <w:jc w:val="both"/>
        <w:rPr>
          <w:sz w:val="22"/>
          <w:szCs w:val="22"/>
        </w:rPr>
      </w:pPr>
      <w:r w:rsidRPr="00FB7120">
        <w:rPr>
          <w:b/>
          <w:bCs/>
          <w:sz w:val="22"/>
          <w:szCs w:val="22"/>
        </w:rPr>
        <w:t>(d)</w:t>
      </w:r>
      <w:r w:rsidRPr="00FB7120">
        <w:rPr>
          <w:sz w:val="22"/>
          <w:szCs w:val="22"/>
        </w:rPr>
        <w:tab/>
        <w:t>by inserting the following definition:</w:t>
      </w:r>
    </w:p>
    <w:p w14:paraId="6FEDE687" w14:textId="57C188A0" w:rsidR="00ED2620" w:rsidRPr="00FB7120" w:rsidRDefault="00ED2620" w:rsidP="00ED2620">
      <w:pPr>
        <w:widowControl w:val="0"/>
        <w:tabs>
          <w:tab w:val="left" w:pos="778"/>
        </w:tabs>
        <w:autoSpaceDE w:val="0"/>
        <w:autoSpaceDN w:val="0"/>
        <w:adjustRightInd w:val="0"/>
        <w:spacing w:before="120"/>
        <w:ind w:left="778"/>
        <w:jc w:val="both"/>
        <w:rPr>
          <w:sz w:val="22"/>
          <w:szCs w:val="22"/>
        </w:rPr>
      </w:pPr>
      <w:r w:rsidRPr="0094313F">
        <w:rPr>
          <w:bCs/>
          <w:sz w:val="22"/>
          <w:szCs w:val="22"/>
        </w:rPr>
        <w:t>“</w:t>
      </w:r>
      <w:r w:rsidRPr="00FB7120">
        <w:rPr>
          <w:b/>
          <w:bCs/>
          <w:sz w:val="22"/>
          <w:szCs w:val="22"/>
        </w:rPr>
        <w:t xml:space="preserve"> ‘State association’ </w:t>
      </w:r>
      <w:r w:rsidRPr="00FB7120">
        <w:rPr>
          <w:sz w:val="22"/>
          <w:szCs w:val="22"/>
        </w:rPr>
        <w:t>means:</w:t>
      </w:r>
    </w:p>
    <w:p w14:paraId="14B1C02F" w14:textId="77777777" w:rsidR="00ED2620" w:rsidRPr="00FB7120" w:rsidRDefault="00ED2620" w:rsidP="00ED2620">
      <w:pPr>
        <w:widowControl w:val="0"/>
        <w:autoSpaceDE w:val="0"/>
        <w:autoSpaceDN w:val="0"/>
        <w:adjustRightInd w:val="0"/>
        <w:spacing w:before="120"/>
        <w:ind w:left="1061"/>
        <w:jc w:val="both"/>
        <w:rPr>
          <w:sz w:val="22"/>
          <w:szCs w:val="22"/>
        </w:rPr>
      </w:pPr>
      <w:r w:rsidRPr="00FB7120">
        <w:rPr>
          <w:sz w:val="22"/>
          <w:szCs w:val="22"/>
        </w:rPr>
        <w:t>(a)</w:t>
      </w:r>
      <w:r w:rsidRPr="00FB7120">
        <w:rPr>
          <w:sz w:val="22"/>
          <w:szCs w:val="22"/>
        </w:rPr>
        <w:tab/>
        <w:t>each of the following associations:</w:t>
      </w:r>
    </w:p>
    <w:p w14:paraId="0226775C" w14:textId="77777777" w:rsidR="00ED2620" w:rsidRPr="00FB7120" w:rsidRDefault="00ED2620" w:rsidP="00ED2620">
      <w:pPr>
        <w:widowControl w:val="0"/>
        <w:autoSpaceDE w:val="0"/>
        <w:autoSpaceDN w:val="0"/>
        <w:adjustRightInd w:val="0"/>
        <w:spacing w:before="120"/>
        <w:ind w:left="2102" w:hanging="346"/>
        <w:jc w:val="both"/>
        <w:rPr>
          <w:sz w:val="22"/>
          <w:szCs w:val="22"/>
        </w:rPr>
      </w:pPr>
      <w:r w:rsidRPr="00FB7120">
        <w:rPr>
          <w:sz w:val="22"/>
          <w:szCs w:val="22"/>
        </w:rPr>
        <w:t>(</w:t>
      </w:r>
      <w:proofErr w:type="spellStart"/>
      <w:r w:rsidRPr="00FB7120">
        <w:rPr>
          <w:sz w:val="22"/>
          <w:szCs w:val="22"/>
        </w:rPr>
        <w:t>i</w:t>
      </w:r>
      <w:proofErr w:type="spellEnd"/>
      <w:r w:rsidRPr="00FB7120">
        <w:rPr>
          <w:sz w:val="22"/>
          <w:szCs w:val="22"/>
        </w:rPr>
        <w:t>)</w:t>
      </w:r>
      <w:r w:rsidRPr="00FB7120">
        <w:rPr>
          <w:sz w:val="22"/>
          <w:szCs w:val="22"/>
        </w:rPr>
        <w:tab/>
        <w:t xml:space="preserve">the association that was registered under the Trade Union Act 1881 of New South Wales by the name ‘Building Construction Employees and Builders </w:t>
      </w:r>
      <w:proofErr w:type="spellStart"/>
      <w:r w:rsidRPr="00FB7120">
        <w:rPr>
          <w:sz w:val="22"/>
          <w:szCs w:val="22"/>
        </w:rPr>
        <w:t>Labourers’</w:t>
      </w:r>
      <w:proofErr w:type="spellEnd"/>
      <w:r w:rsidRPr="00FB7120">
        <w:rPr>
          <w:sz w:val="22"/>
          <w:szCs w:val="22"/>
        </w:rPr>
        <w:t xml:space="preserve"> Federation of New South Wales’;</w:t>
      </w:r>
    </w:p>
    <w:p w14:paraId="18BDC550" w14:textId="77777777" w:rsidR="00ED2620" w:rsidRPr="00FB7120" w:rsidRDefault="00FB7120" w:rsidP="00ED2620">
      <w:pPr>
        <w:widowControl w:val="0"/>
        <w:autoSpaceDE w:val="0"/>
        <w:autoSpaceDN w:val="0"/>
        <w:adjustRightInd w:val="0"/>
        <w:spacing w:before="120"/>
        <w:ind w:left="2083" w:hanging="398"/>
        <w:jc w:val="both"/>
        <w:rPr>
          <w:sz w:val="22"/>
          <w:szCs w:val="22"/>
        </w:rPr>
      </w:pPr>
      <w:r>
        <w:rPr>
          <w:sz w:val="22"/>
          <w:szCs w:val="22"/>
        </w:rPr>
        <w:br w:type="page"/>
      </w:r>
      <w:r w:rsidR="00ED2620" w:rsidRPr="00FB7120">
        <w:rPr>
          <w:sz w:val="22"/>
          <w:szCs w:val="22"/>
        </w:rPr>
        <w:lastRenderedPageBreak/>
        <w:t>(ii)</w:t>
      </w:r>
      <w:r w:rsidR="00ED2620" w:rsidRPr="00FB7120">
        <w:rPr>
          <w:sz w:val="22"/>
          <w:szCs w:val="22"/>
        </w:rPr>
        <w:tab/>
        <w:t xml:space="preserve">the association that was registered under the </w:t>
      </w:r>
      <w:r w:rsidR="00ED2620" w:rsidRPr="00FB7120">
        <w:rPr>
          <w:i/>
          <w:iCs/>
          <w:sz w:val="22"/>
          <w:szCs w:val="22"/>
        </w:rPr>
        <w:t xml:space="preserve">Industrial Relations Act 1990 </w:t>
      </w:r>
      <w:r w:rsidR="00ED2620" w:rsidRPr="00FB7120">
        <w:rPr>
          <w:sz w:val="22"/>
          <w:szCs w:val="22"/>
        </w:rPr>
        <w:t xml:space="preserve">of Queensland by the name ‘Australian Building Construction Employees and Builders’ </w:t>
      </w:r>
      <w:proofErr w:type="spellStart"/>
      <w:r w:rsidR="00ED2620" w:rsidRPr="00FB7120">
        <w:rPr>
          <w:sz w:val="22"/>
          <w:szCs w:val="22"/>
        </w:rPr>
        <w:t>Labourers’</w:t>
      </w:r>
      <w:proofErr w:type="spellEnd"/>
      <w:r w:rsidR="00ED2620" w:rsidRPr="00FB7120">
        <w:rPr>
          <w:sz w:val="22"/>
          <w:szCs w:val="22"/>
        </w:rPr>
        <w:t xml:space="preserve"> Federation (Queensland Branch) Union of Employees’;</w:t>
      </w:r>
    </w:p>
    <w:p w14:paraId="43474D14" w14:textId="77777777" w:rsidR="00ED2620" w:rsidRPr="00FB7120" w:rsidRDefault="00ED2620" w:rsidP="00ED2620">
      <w:pPr>
        <w:widowControl w:val="0"/>
        <w:autoSpaceDE w:val="0"/>
        <w:autoSpaceDN w:val="0"/>
        <w:adjustRightInd w:val="0"/>
        <w:spacing w:before="120"/>
        <w:ind w:left="2069" w:hanging="456"/>
        <w:jc w:val="both"/>
        <w:rPr>
          <w:sz w:val="22"/>
          <w:szCs w:val="22"/>
        </w:rPr>
      </w:pPr>
      <w:r w:rsidRPr="00FB7120">
        <w:rPr>
          <w:sz w:val="22"/>
          <w:szCs w:val="22"/>
        </w:rPr>
        <w:t>(iii)</w:t>
      </w:r>
      <w:r w:rsidRPr="00FB7120">
        <w:rPr>
          <w:sz w:val="22"/>
          <w:szCs w:val="22"/>
        </w:rPr>
        <w:tab/>
        <w:t xml:space="preserve">the association that was registered under the Industrial Arbitration Act, 1979 of Western Australia by the name ‘The Australian Builders’ </w:t>
      </w:r>
      <w:proofErr w:type="spellStart"/>
      <w:r w:rsidRPr="00FB7120">
        <w:rPr>
          <w:sz w:val="22"/>
          <w:szCs w:val="22"/>
        </w:rPr>
        <w:t>Labourers’</w:t>
      </w:r>
      <w:proofErr w:type="spellEnd"/>
      <w:r w:rsidRPr="00FB7120">
        <w:rPr>
          <w:sz w:val="22"/>
          <w:szCs w:val="22"/>
        </w:rPr>
        <w:t xml:space="preserve"> Federated Union of Workers—Western Australian Branch’;</w:t>
      </w:r>
    </w:p>
    <w:p w14:paraId="2164DFE5" w14:textId="77777777" w:rsidR="00ED2620" w:rsidRPr="00FB7120" w:rsidRDefault="00ED2620" w:rsidP="00ED2620">
      <w:pPr>
        <w:widowControl w:val="0"/>
        <w:autoSpaceDE w:val="0"/>
        <w:autoSpaceDN w:val="0"/>
        <w:adjustRightInd w:val="0"/>
        <w:spacing w:before="120"/>
        <w:ind w:left="2074" w:hanging="456"/>
        <w:jc w:val="both"/>
        <w:rPr>
          <w:sz w:val="22"/>
          <w:szCs w:val="22"/>
        </w:rPr>
      </w:pPr>
      <w:r w:rsidRPr="00FB7120">
        <w:rPr>
          <w:sz w:val="22"/>
          <w:szCs w:val="22"/>
        </w:rPr>
        <w:t>(iv)</w:t>
      </w:r>
      <w:r w:rsidRPr="00FB7120">
        <w:rPr>
          <w:sz w:val="22"/>
          <w:szCs w:val="22"/>
        </w:rPr>
        <w:tab/>
        <w:t>the association that was registered under the Industrial Conciliation and Arbitration Act, 1972 of South Australia by the name ‘Australian Building and Construction Workers’ Federation’;</w:t>
      </w:r>
    </w:p>
    <w:p w14:paraId="35EE0FAF" w14:textId="77777777" w:rsidR="00ED2620" w:rsidRPr="00FB7120" w:rsidRDefault="00ED2620" w:rsidP="00ED2620">
      <w:pPr>
        <w:widowControl w:val="0"/>
        <w:autoSpaceDE w:val="0"/>
        <w:autoSpaceDN w:val="0"/>
        <w:adjustRightInd w:val="0"/>
        <w:spacing w:before="120"/>
        <w:ind w:left="2074" w:hanging="384"/>
        <w:jc w:val="both"/>
        <w:rPr>
          <w:sz w:val="22"/>
          <w:szCs w:val="22"/>
        </w:rPr>
      </w:pPr>
      <w:r w:rsidRPr="00FB7120">
        <w:rPr>
          <w:sz w:val="22"/>
          <w:szCs w:val="22"/>
        </w:rPr>
        <w:t>(v)</w:t>
      </w:r>
      <w:r w:rsidRPr="00FB7120">
        <w:rPr>
          <w:sz w:val="22"/>
          <w:szCs w:val="22"/>
        </w:rPr>
        <w:tab/>
        <w:t xml:space="preserve">the association that was registered under the </w:t>
      </w:r>
      <w:r w:rsidRPr="00FB7120">
        <w:rPr>
          <w:i/>
          <w:iCs/>
          <w:sz w:val="22"/>
          <w:szCs w:val="22"/>
        </w:rPr>
        <w:t xml:space="preserve">Industrial Relations Act </w:t>
      </w:r>
      <w:r w:rsidRPr="00FB7120">
        <w:rPr>
          <w:sz w:val="22"/>
          <w:szCs w:val="22"/>
        </w:rPr>
        <w:t xml:space="preserve">1984 of Tasmania by the name ‘The Australian Building Construction Employees’ and Builders </w:t>
      </w:r>
      <w:proofErr w:type="spellStart"/>
      <w:r w:rsidRPr="00FB7120">
        <w:rPr>
          <w:sz w:val="22"/>
          <w:szCs w:val="22"/>
        </w:rPr>
        <w:t>Labourers’</w:t>
      </w:r>
      <w:proofErr w:type="spellEnd"/>
      <w:r w:rsidRPr="00FB7120">
        <w:rPr>
          <w:sz w:val="22"/>
          <w:szCs w:val="22"/>
        </w:rPr>
        <w:t xml:space="preserve"> Federation, Tasmanian Branch’; or</w:t>
      </w:r>
    </w:p>
    <w:p w14:paraId="08DC8EF5" w14:textId="77777777" w:rsidR="00ED2620" w:rsidRPr="00FB7120" w:rsidRDefault="00ED2620" w:rsidP="00ED2620">
      <w:pPr>
        <w:widowControl w:val="0"/>
        <w:autoSpaceDE w:val="0"/>
        <w:autoSpaceDN w:val="0"/>
        <w:adjustRightInd w:val="0"/>
        <w:spacing w:before="120"/>
        <w:ind w:left="1426" w:hanging="389"/>
        <w:jc w:val="both"/>
        <w:rPr>
          <w:sz w:val="22"/>
          <w:szCs w:val="22"/>
        </w:rPr>
      </w:pPr>
      <w:r w:rsidRPr="00FB7120">
        <w:rPr>
          <w:sz w:val="22"/>
          <w:szCs w:val="22"/>
        </w:rPr>
        <w:t>(b)</w:t>
      </w:r>
      <w:r w:rsidRPr="00FB7120">
        <w:rPr>
          <w:sz w:val="22"/>
          <w:szCs w:val="22"/>
        </w:rPr>
        <w:tab/>
        <w:t>if the name of an association referred to in paragraph (a) has been or is changed—that association under the new name.”.</w:t>
      </w:r>
    </w:p>
    <w:p w14:paraId="10651371" w14:textId="77777777" w:rsidR="00ED2620" w:rsidRPr="00FB7120" w:rsidRDefault="00ED2620" w:rsidP="00ED2620">
      <w:pPr>
        <w:widowControl w:val="0"/>
        <w:autoSpaceDE w:val="0"/>
        <w:autoSpaceDN w:val="0"/>
        <w:adjustRightInd w:val="0"/>
        <w:spacing w:before="120"/>
        <w:jc w:val="both"/>
        <w:rPr>
          <w:b/>
          <w:sz w:val="22"/>
          <w:szCs w:val="22"/>
        </w:rPr>
      </w:pPr>
      <w:r w:rsidRPr="00FB7120">
        <w:rPr>
          <w:b/>
          <w:sz w:val="22"/>
          <w:szCs w:val="22"/>
        </w:rPr>
        <w:t>Effect on Federation of cancellation of registration</w:t>
      </w:r>
    </w:p>
    <w:p w14:paraId="10A77FA4" w14:textId="77777777" w:rsidR="00ED2620" w:rsidRPr="00FB7120" w:rsidRDefault="00ED2620" w:rsidP="00ED2620">
      <w:pPr>
        <w:widowControl w:val="0"/>
        <w:autoSpaceDE w:val="0"/>
        <w:autoSpaceDN w:val="0"/>
        <w:adjustRightInd w:val="0"/>
        <w:spacing w:before="120"/>
        <w:ind w:left="331"/>
        <w:jc w:val="both"/>
        <w:rPr>
          <w:sz w:val="22"/>
          <w:szCs w:val="22"/>
        </w:rPr>
      </w:pPr>
      <w:r w:rsidRPr="00FB7120">
        <w:rPr>
          <w:b/>
          <w:bCs/>
          <w:sz w:val="22"/>
          <w:szCs w:val="22"/>
        </w:rPr>
        <w:t>4</w:t>
      </w:r>
      <w:r w:rsidRPr="00FB7120">
        <w:rPr>
          <w:sz w:val="22"/>
          <w:szCs w:val="22"/>
        </w:rPr>
        <w:t>.</w:t>
      </w:r>
      <w:r w:rsidRPr="00FB7120">
        <w:rPr>
          <w:sz w:val="22"/>
          <w:szCs w:val="22"/>
        </w:rPr>
        <w:tab/>
      </w:r>
      <w:r w:rsidRPr="00FB7120">
        <w:rPr>
          <w:b/>
          <w:bCs/>
          <w:sz w:val="22"/>
          <w:szCs w:val="22"/>
        </w:rPr>
        <w:t>(1)</w:t>
      </w:r>
      <w:r w:rsidRPr="00FB7120">
        <w:rPr>
          <w:sz w:val="22"/>
          <w:szCs w:val="22"/>
        </w:rPr>
        <w:t xml:space="preserve"> Section 4 of the Principal Act is amended:</w:t>
      </w:r>
    </w:p>
    <w:p w14:paraId="04D862CA" w14:textId="77777777" w:rsidR="00ED2620" w:rsidRPr="00FB7120" w:rsidRDefault="00ED2620" w:rsidP="00ED2620">
      <w:pPr>
        <w:widowControl w:val="0"/>
        <w:tabs>
          <w:tab w:val="left" w:pos="758"/>
        </w:tabs>
        <w:autoSpaceDE w:val="0"/>
        <w:autoSpaceDN w:val="0"/>
        <w:adjustRightInd w:val="0"/>
        <w:spacing w:before="120"/>
        <w:ind w:left="758" w:hanging="374"/>
        <w:jc w:val="both"/>
        <w:rPr>
          <w:sz w:val="22"/>
          <w:szCs w:val="22"/>
        </w:rPr>
      </w:pPr>
      <w:r w:rsidRPr="00FB7120">
        <w:rPr>
          <w:b/>
          <w:bCs/>
          <w:sz w:val="22"/>
          <w:szCs w:val="22"/>
        </w:rPr>
        <w:t>(a)</w:t>
      </w:r>
      <w:r w:rsidRPr="00FB7120">
        <w:rPr>
          <w:sz w:val="22"/>
          <w:szCs w:val="22"/>
        </w:rPr>
        <w:tab/>
        <w:t xml:space="preserve">by omitting from subsection (3) “A non-registered” and substituting “Subject to subsection </w:t>
      </w:r>
      <w:r w:rsidRPr="00FB7120">
        <w:rPr>
          <w:smallCaps/>
          <w:sz w:val="22"/>
          <w:szCs w:val="22"/>
        </w:rPr>
        <w:t xml:space="preserve">(3a), </w:t>
      </w:r>
      <w:r w:rsidRPr="00FB7120">
        <w:rPr>
          <w:sz w:val="22"/>
          <w:szCs w:val="22"/>
        </w:rPr>
        <w:t>a non-registered”;</w:t>
      </w:r>
    </w:p>
    <w:p w14:paraId="7C52994D" w14:textId="77777777" w:rsidR="00ED2620" w:rsidRPr="00FB7120" w:rsidRDefault="00ED2620" w:rsidP="00ED2620">
      <w:pPr>
        <w:widowControl w:val="0"/>
        <w:tabs>
          <w:tab w:val="left" w:pos="758"/>
        </w:tabs>
        <w:autoSpaceDE w:val="0"/>
        <w:autoSpaceDN w:val="0"/>
        <w:adjustRightInd w:val="0"/>
        <w:spacing w:before="120"/>
        <w:ind w:left="384"/>
        <w:jc w:val="both"/>
        <w:rPr>
          <w:sz w:val="22"/>
          <w:szCs w:val="22"/>
        </w:rPr>
      </w:pPr>
      <w:r w:rsidRPr="00FB7120">
        <w:rPr>
          <w:b/>
          <w:bCs/>
          <w:sz w:val="22"/>
          <w:szCs w:val="22"/>
        </w:rPr>
        <w:t>(b)</w:t>
      </w:r>
      <w:r w:rsidRPr="00FB7120">
        <w:rPr>
          <w:sz w:val="22"/>
          <w:szCs w:val="22"/>
        </w:rPr>
        <w:tab/>
        <w:t>by inserting after subsection (3) the following subsection:</w:t>
      </w:r>
    </w:p>
    <w:p w14:paraId="07D0087A" w14:textId="77777777" w:rsidR="00ED2620" w:rsidRPr="00FB7120" w:rsidRDefault="00ED2620" w:rsidP="00ED2620">
      <w:pPr>
        <w:widowControl w:val="0"/>
        <w:autoSpaceDE w:val="0"/>
        <w:autoSpaceDN w:val="0"/>
        <w:adjustRightInd w:val="0"/>
        <w:spacing w:before="120"/>
        <w:ind w:left="778" w:firstLine="216"/>
        <w:jc w:val="both"/>
        <w:rPr>
          <w:sz w:val="22"/>
          <w:szCs w:val="22"/>
        </w:rPr>
      </w:pPr>
      <w:r w:rsidRPr="00FB7120">
        <w:rPr>
          <w:smallCaps/>
          <w:sz w:val="22"/>
          <w:szCs w:val="22"/>
        </w:rPr>
        <w:t xml:space="preserve">“(3a) </w:t>
      </w:r>
      <w:r w:rsidRPr="00FB7120">
        <w:rPr>
          <w:sz w:val="22"/>
          <w:szCs w:val="22"/>
        </w:rPr>
        <w:t xml:space="preserve">A State association, other than the Building Construction Employees and Builders </w:t>
      </w:r>
      <w:proofErr w:type="spellStart"/>
      <w:r w:rsidRPr="00FB7120">
        <w:rPr>
          <w:sz w:val="22"/>
          <w:szCs w:val="22"/>
        </w:rPr>
        <w:t>Labourers’</w:t>
      </w:r>
      <w:proofErr w:type="spellEnd"/>
      <w:r w:rsidRPr="00FB7120">
        <w:rPr>
          <w:sz w:val="22"/>
          <w:szCs w:val="22"/>
        </w:rPr>
        <w:t xml:space="preserve"> Federation of New South Wales, may do any of the following:</w:t>
      </w:r>
    </w:p>
    <w:p w14:paraId="52E1DA34" w14:textId="77777777" w:rsidR="00ED2620" w:rsidRPr="00FB7120" w:rsidRDefault="00ED2620" w:rsidP="00ED2620">
      <w:pPr>
        <w:widowControl w:val="0"/>
        <w:tabs>
          <w:tab w:val="left" w:pos="1435"/>
        </w:tabs>
        <w:autoSpaceDE w:val="0"/>
        <w:autoSpaceDN w:val="0"/>
        <w:adjustRightInd w:val="0"/>
        <w:spacing w:before="120"/>
        <w:ind w:left="1435" w:hanging="389"/>
        <w:jc w:val="both"/>
        <w:rPr>
          <w:sz w:val="22"/>
          <w:szCs w:val="22"/>
        </w:rPr>
      </w:pPr>
      <w:r w:rsidRPr="00FB7120">
        <w:rPr>
          <w:sz w:val="22"/>
          <w:szCs w:val="22"/>
        </w:rPr>
        <w:t>(a)</w:t>
      </w:r>
      <w:r w:rsidRPr="00FB7120">
        <w:rPr>
          <w:sz w:val="22"/>
          <w:szCs w:val="22"/>
        </w:rPr>
        <w:tab/>
        <w:t>by leave of the Commission, granted under section 43 of the Industrial Relations Act, intervene in a proceeding before the Commission under the Industrial Relations Act in relation to the possible exercise by the Commission of its powers under subparagraphs 111 (1) (g) (</w:t>
      </w:r>
      <w:proofErr w:type="spellStart"/>
      <w:r w:rsidRPr="00FB7120">
        <w:rPr>
          <w:sz w:val="22"/>
          <w:szCs w:val="22"/>
        </w:rPr>
        <w:t>i</w:t>
      </w:r>
      <w:proofErr w:type="spellEnd"/>
      <w:r w:rsidRPr="00FB7120">
        <w:rPr>
          <w:sz w:val="22"/>
          <w:szCs w:val="22"/>
        </w:rPr>
        <w:t>), (ii) and (iii) of the Industrial Relations Act;</w:t>
      </w:r>
    </w:p>
    <w:p w14:paraId="3D7CEB56" w14:textId="77777777" w:rsidR="00ED2620" w:rsidRPr="00FB7120" w:rsidRDefault="00ED2620" w:rsidP="00ED2620">
      <w:pPr>
        <w:widowControl w:val="0"/>
        <w:tabs>
          <w:tab w:val="left" w:pos="1435"/>
        </w:tabs>
        <w:autoSpaceDE w:val="0"/>
        <w:autoSpaceDN w:val="0"/>
        <w:adjustRightInd w:val="0"/>
        <w:spacing w:before="120"/>
        <w:ind w:left="1435" w:hanging="389"/>
        <w:jc w:val="both"/>
        <w:rPr>
          <w:sz w:val="22"/>
          <w:szCs w:val="22"/>
        </w:rPr>
      </w:pPr>
      <w:r w:rsidRPr="00FB7120">
        <w:rPr>
          <w:sz w:val="22"/>
          <w:szCs w:val="22"/>
        </w:rPr>
        <w:t>(b)</w:t>
      </w:r>
      <w:r w:rsidRPr="00FB7120">
        <w:rPr>
          <w:sz w:val="22"/>
          <w:szCs w:val="22"/>
        </w:rPr>
        <w:tab/>
        <w:t>make an objection under section 253 of the Industrial Relations Act, or under regulations made under that Act in relation to a proceeding under Part IX of that Act, and be heard in relation to that objection.”;</w:t>
      </w:r>
    </w:p>
    <w:p w14:paraId="7C5D120A" w14:textId="77777777" w:rsidR="00ED2620" w:rsidRPr="00FB7120" w:rsidRDefault="00ED2620" w:rsidP="00ED2620">
      <w:pPr>
        <w:widowControl w:val="0"/>
        <w:tabs>
          <w:tab w:val="left" w:pos="758"/>
        </w:tabs>
        <w:autoSpaceDE w:val="0"/>
        <w:autoSpaceDN w:val="0"/>
        <w:adjustRightInd w:val="0"/>
        <w:spacing w:before="120"/>
        <w:ind w:left="758" w:hanging="374"/>
        <w:jc w:val="both"/>
        <w:rPr>
          <w:sz w:val="22"/>
          <w:szCs w:val="22"/>
        </w:rPr>
      </w:pPr>
      <w:r w:rsidRPr="00FB7120">
        <w:rPr>
          <w:b/>
          <w:bCs/>
          <w:sz w:val="22"/>
          <w:szCs w:val="22"/>
        </w:rPr>
        <w:t>(c)</w:t>
      </w:r>
      <w:r w:rsidRPr="00FB7120">
        <w:rPr>
          <w:sz w:val="22"/>
          <w:szCs w:val="22"/>
        </w:rPr>
        <w:tab/>
        <w:t>by omitting subsection (6) and substituting the following subsection:</w:t>
      </w:r>
    </w:p>
    <w:p w14:paraId="1989F4A2" w14:textId="77777777" w:rsidR="00ED2620" w:rsidRPr="00FB7120" w:rsidRDefault="00ED2620" w:rsidP="00ED2620">
      <w:pPr>
        <w:widowControl w:val="0"/>
        <w:autoSpaceDE w:val="0"/>
        <w:autoSpaceDN w:val="0"/>
        <w:adjustRightInd w:val="0"/>
        <w:spacing w:before="120"/>
        <w:ind w:left="763" w:firstLine="216"/>
        <w:jc w:val="both"/>
        <w:rPr>
          <w:sz w:val="22"/>
          <w:szCs w:val="22"/>
        </w:rPr>
      </w:pPr>
      <w:r w:rsidRPr="00FB7120">
        <w:rPr>
          <w:sz w:val="22"/>
          <w:szCs w:val="22"/>
        </w:rPr>
        <w:t>“(6)</w:t>
      </w:r>
      <w:r w:rsidRPr="00FB7120">
        <w:rPr>
          <w:sz w:val="22"/>
          <w:szCs w:val="22"/>
        </w:rPr>
        <w:tab/>
        <w:t>Where a State association is a party to, or intervenes in, a proceeding before a State industrial authority, a member of</w:t>
      </w:r>
    </w:p>
    <w:p w14:paraId="5C7AAD03" w14:textId="77777777" w:rsidR="00ED2620" w:rsidRPr="00FB7120" w:rsidRDefault="00FB7120" w:rsidP="00ED2620">
      <w:pPr>
        <w:widowControl w:val="0"/>
        <w:autoSpaceDE w:val="0"/>
        <w:autoSpaceDN w:val="0"/>
        <w:adjustRightInd w:val="0"/>
        <w:spacing w:before="120"/>
        <w:ind w:left="778"/>
        <w:jc w:val="both"/>
        <w:rPr>
          <w:sz w:val="22"/>
          <w:szCs w:val="22"/>
        </w:rPr>
      </w:pPr>
      <w:r>
        <w:rPr>
          <w:sz w:val="22"/>
          <w:szCs w:val="22"/>
        </w:rPr>
        <w:br w:type="page"/>
      </w:r>
      <w:r w:rsidR="00ED2620" w:rsidRPr="00FB7120">
        <w:rPr>
          <w:sz w:val="22"/>
          <w:szCs w:val="22"/>
        </w:rPr>
        <w:lastRenderedPageBreak/>
        <w:t>the Commission is not prevented by this section from exercising the powers of the Commission under section 175 of the Industrial Relations Act in the presence of that State industrial authority.”.</w:t>
      </w:r>
    </w:p>
    <w:p w14:paraId="694C34D6" w14:textId="7EFB70F5" w:rsidR="00ED2620" w:rsidRPr="00FB7120" w:rsidRDefault="00ED2620" w:rsidP="00ED2620">
      <w:pPr>
        <w:widowControl w:val="0"/>
        <w:autoSpaceDE w:val="0"/>
        <w:autoSpaceDN w:val="0"/>
        <w:adjustRightInd w:val="0"/>
        <w:spacing w:before="120"/>
        <w:ind w:firstLine="336"/>
        <w:jc w:val="both"/>
        <w:rPr>
          <w:sz w:val="22"/>
          <w:szCs w:val="22"/>
        </w:rPr>
      </w:pPr>
      <w:r w:rsidRPr="00FB7120">
        <w:rPr>
          <w:sz w:val="22"/>
          <w:szCs w:val="22"/>
        </w:rPr>
        <w:t>(</w:t>
      </w:r>
      <w:r w:rsidRPr="00FB7120">
        <w:rPr>
          <w:b/>
          <w:bCs/>
          <w:sz w:val="22"/>
          <w:szCs w:val="22"/>
        </w:rPr>
        <w:t>2</w:t>
      </w:r>
      <w:r w:rsidRPr="00FB7120">
        <w:rPr>
          <w:sz w:val="22"/>
          <w:szCs w:val="22"/>
        </w:rPr>
        <w:t>)</w:t>
      </w:r>
      <w:r w:rsidRPr="00FB7120">
        <w:rPr>
          <w:sz w:val="22"/>
          <w:szCs w:val="22"/>
        </w:rPr>
        <w:tab/>
        <w:t xml:space="preserve">Subsection 4 </w:t>
      </w:r>
      <w:r w:rsidRPr="00FB7120">
        <w:rPr>
          <w:smallCaps/>
          <w:sz w:val="22"/>
          <w:szCs w:val="22"/>
        </w:rPr>
        <w:t xml:space="preserve">(3a) </w:t>
      </w:r>
      <w:r w:rsidRPr="00FB7120">
        <w:rPr>
          <w:sz w:val="22"/>
          <w:szCs w:val="22"/>
        </w:rPr>
        <w:t xml:space="preserve">of the Principal Act, as amended by this Act, does not apply in relation to a proceeding before the Commission that was instituted before the commencement of paragraph </w:t>
      </w:r>
      <w:r w:rsidRPr="0094313F">
        <w:rPr>
          <w:bCs/>
          <w:sz w:val="22"/>
          <w:szCs w:val="22"/>
        </w:rPr>
        <w:t xml:space="preserve">(1) </w:t>
      </w:r>
      <w:bookmarkStart w:id="0" w:name="_GoBack"/>
      <w:bookmarkEnd w:id="0"/>
      <w:r w:rsidRPr="00FB7120">
        <w:rPr>
          <w:sz w:val="22"/>
          <w:szCs w:val="22"/>
        </w:rPr>
        <w:t>(b).</w:t>
      </w:r>
    </w:p>
    <w:p w14:paraId="2B93F366" w14:textId="77777777" w:rsidR="00ED2620" w:rsidRPr="00FB7120" w:rsidRDefault="00ED2620" w:rsidP="00ED2620">
      <w:pPr>
        <w:widowControl w:val="0"/>
        <w:autoSpaceDE w:val="0"/>
        <w:autoSpaceDN w:val="0"/>
        <w:adjustRightInd w:val="0"/>
        <w:spacing w:before="120" w:after="60"/>
        <w:jc w:val="both"/>
        <w:rPr>
          <w:sz w:val="22"/>
          <w:szCs w:val="22"/>
        </w:rPr>
      </w:pPr>
      <w:r w:rsidRPr="00FB7120">
        <w:rPr>
          <w:b/>
          <w:bCs/>
          <w:sz w:val="22"/>
          <w:szCs w:val="22"/>
        </w:rPr>
        <w:t>Registration</w:t>
      </w:r>
    </w:p>
    <w:p w14:paraId="65ED5AFB" w14:textId="77777777" w:rsidR="00ED2620" w:rsidRPr="00FB7120" w:rsidRDefault="00ED2620" w:rsidP="00ED2620">
      <w:pPr>
        <w:widowControl w:val="0"/>
        <w:tabs>
          <w:tab w:val="left" w:pos="643"/>
        </w:tabs>
        <w:autoSpaceDE w:val="0"/>
        <w:autoSpaceDN w:val="0"/>
        <w:adjustRightInd w:val="0"/>
        <w:spacing w:before="120"/>
        <w:ind w:firstLine="346"/>
        <w:jc w:val="both"/>
        <w:rPr>
          <w:sz w:val="22"/>
          <w:szCs w:val="22"/>
        </w:rPr>
      </w:pPr>
      <w:r w:rsidRPr="00FB7120">
        <w:rPr>
          <w:b/>
          <w:bCs/>
          <w:sz w:val="22"/>
          <w:szCs w:val="22"/>
        </w:rPr>
        <w:t>5.</w:t>
      </w:r>
      <w:r w:rsidRPr="00FB7120">
        <w:rPr>
          <w:b/>
          <w:bCs/>
          <w:sz w:val="22"/>
          <w:szCs w:val="22"/>
        </w:rPr>
        <w:tab/>
      </w:r>
      <w:r w:rsidRPr="00FB7120">
        <w:rPr>
          <w:sz w:val="22"/>
          <w:szCs w:val="22"/>
        </w:rPr>
        <w:t>Section 5 of the Principal Act is amended by omitting from paragraph 5 (1) (a) “5 years” and substituting “10 years”.</w:t>
      </w:r>
    </w:p>
    <w:p w14:paraId="5DC84199" w14:textId="77777777" w:rsidR="00ED2620" w:rsidRPr="00FB7120" w:rsidRDefault="00ED2620" w:rsidP="00ED2620">
      <w:pPr>
        <w:widowControl w:val="0"/>
        <w:autoSpaceDE w:val="0"/>
        <w:autoSpaceDN w:val="0"/>
        <w:adjustRightInd w:val="0"/>
        <w:spacing w:before="120" w:after="60"/>
        <w:jc w:val="both"/>
        <w:rPr>
          <w:sz w:val="22"/>
          <w:szCs w:val="22"/>
        </w:rPr>
      </w:pPr>
      <w:r w:rsidRPr="00FB7120">
        <w:rPr>
          <w:b/>
          <w:bCs/>
          <w:sz w:val="22"/>
          <w:szCs w:val="22"/>
        </w:rPr>
        <w:t>Application</w:t>
      </w:r>
    </w:p>
    <w:p w14:paraId="6689726E" w14:textId="77777777" w:rsidR="00ED2620" w:rsidRPr="00FB7120" w:rsidRDefault="00ED2620" w:rsidP="00ED2620">
      <w:pPr>
        <w:widowControl w:val="0"/>
        <w:tabs>
          <w:tab w:val="left" w:pos="643"/>
        </w:tabs>
        <w:autoSpaceDE w:val="0"/>
        <w:autoSpaceDN w:val="0"/>
        <w:adjustRightInd w:val="0"/>
        <w:spacing w:before="120"/>
        <w:ind w:firstLine="346"/>
        <w:jc w:val="both"/>
        <w:rPr>
          <w:sz w:val="22"/>
          <w:szCs w:val="22"/>
        </w:rPr>
      </w:pPr>
      <w:r w:rsidRPr="00FB7120">
        <w:rPr>
          <w:b/>
          <w:bCs/>
          <w:sz w:val="22"/>
          <w:szCs w:val="22"/>
        </w:rPr>
        <w:t>6.</w:t>
      </w:r>
      <w:r w:rsidRPr="00FB7120">
        <w:rPr>
          <w:b/>
          <w:bCs/>
          <w:sz w:val="22"/>
          <w:szCs w:val="22"/>
        </w:rPr>
        <w:tab/>
      </w:r>
      <w:r w:rsidRPr="00FB7120">
        <w:rPr>
          <w:sz w:val="22"/>
          <w:szCs w:val="22"/>
        </w:rPr>
        <w:t>Subject to this Act, an amendment of the Principal Act made by this Act has effect in relation to any application or proceeding under the Industrial Relations Act made or instituted before the commencement of that amendment.</w:t>
      </w:r>
    </w:p>
    <w:p w14:paraId="41F7DCB9" w14:textId="77777777" w:rsidR="00FB7120" w:rsidRDefault="0094313F" w:rsidP="00ED2620">
      <w:pPr>
        <w:widowControl w:val="0"/>
        <w:autoSpaceDE w:val="0"/>
        <w:autoSpaceDN w:val="0"/>
        <w:adjustRightInd w:val="0"/>
        <w:spacing w:before="120"/>
        <w:jc w:val="both"/>
        <w:rPr>
          <w:b/>
          <w:bCs/>
          <w:sz w:val="22"/>
          <w:szCs w:val="22"/>
        </w:rPr>
      </w:pPr>
      <w:r>
        <w:rPr>
          <w:b/>
          <w:bCs/>
          <w:sz w:val="22"/>
          <w:szCs w:val="22"/>
        </w:rPr>
        <w:pict w14:anchorId="3F4B6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8" o:title="BD10219_"/>
          </v:shape>
        </w:pict>
      </w:r>
    </w:p>
    <w:p w14:paraId="5CDB7B39" w14:textId="77777777" w:rsidR="00ED2620" w:rsidRPr="00FB7120" w:rsidRDefault="00ED2620" w:rsidP="00FB7120">
      <w:pPr>
        <w:widowControl w:val="0"/>
        <w:autoSpaceDE w:val="0"/>
        <w:autoSpaceDN w:val="0"/>
        <w:adjustRightInd w:val="0"/>
        <w:spacing w:before="120"/>
        <w:jc w:val="center"/>
        <w:rPr>
          <w:sz w:val="22"/>
          <w:szCs w:val="22"/>
        </w:rPr>
      </w:pPr>
      <w:r w:rsidRPr="00FB7120">
        <w:rPr>
          <w:b/>
          <w:bCs/>
          <w:sz w:val="22"/>
          <w:szCs w:val="22"/>
        </w:rPr>
        <w:t>NOTE</w:t>
      </w:r>
    </w:p>
    <w:p w14:paraId="6B1327A0" w14:textId="77777777" w:rsidR="00ED2620" w:rsidRPr="00652B37" w:rsidRDefault="00ED2620" w:rsidP="00ED2620">
      <w:pPr>
        <w:widowControl w:val="0"/>
        <w:autoSpaceDE w:val="0"/>
        <w:autoSpaceDN w:val="0"/>
        <w:adjustRightInd w:val="0"/>
        <w:spacing w:before="120"/>
        <w:jc w:val="both"/>
        <w:rPr>
          <w:sz w:val="20"/>
          <w:szCs w:val="22"/>
        </w:rPr>
      </w:pPr>
      <w:r w:rsidRPr="00652B37">
        <w:rPr>
          <w:sz w:val="20"/>
          <w:szCs w:val="22"/>
        </w:rPr>
        <w:t>1.</w:t>
      </w:r>
      <w:r w:rsidRPr="00652B37">
        <w:rPr>
          <w:sz w:val="20"/>
          <w:szCs w:val="22"/>
        </w:rPr>
        <w:tab/>
        <w:t>No. 7, 1986, as amended. For previous amendments, see No. 87, 1988.</w:t>
      </w:r>
    </w:p>
    <w:p w14:paraId="58E410DF" w14:textId="77777777" w:rsidR="00ED2620" w:rsidRPr="00652B37" w:rsidRDefault="00ED2620" w:rsidP="00ED2620">
      <w:pPr>
        <w:widowControl w:val="0"/>
        <w:autoSpaceDE w:val="0"/>
        <w:autoSpaceDN w:val="0"/>
        <w:adjustRightInd w:val="0"/>
        <w:spacing w:before="120"/>
        <w:jc w:val="both"/>
        <w:rPr>
          <w:sz w:val="20"/>
          <w:szCs w:val="22"/>
        </w:rPr>
      </w:pPr>
      <w:r w:rsidRPr="00652B37">
        <w:rPr>
          <w:sz w:val="20"/>
          <w:szCs w:val="22"/>
        </w:rPr>
        <w:t>[</w:t>
      </w:r>
      <w:r w:rsidRPr="00652B37">
        <w:rPr>
          <w:i/>
          <w:iCs/>
          <w:sz w:val="20"/>
          <w:szCs w:val="22"/>
        </w:rPr>
        <w:t>Minister’s second reading speech made in</w:t>
      </w:r>
      <w:r w:rsidRPr="00652B37">
        <w:rPr>
          <w:sz w:val="20"/>
          <w:szCs w:val="22"/>
        </w:rPr>
        <w:t>—</w:t>
      </w:r>
    </w:p>
    <w:p w14:paraId="40681CA5" w14:textId="77777777" w:rsidR="00ED2620" w:rsidRPr="00652B37" w:rsidRDefault="00ED2620" w:rsidP="00FB7120">
      <w:pPr>
        <w:widowControl w:val="0"/>
        <w:autoSpaceDE w:val="0"/>
        <w:autoSpaceDN w:val="0"/>
        <w:adjustRightInd w:val="0"/>
        <w:ind w:left="734"/>
        <w:jc w:val="both"/>
        <w:rPr>
          <w:sz w:val="20"/>
          <w:szCs w:val="22"/>
        </w:rPr>
      </w:pPr>
      <w:r w:rsidRPr="00652B37">
        <w:rPr>
          <w:i/>
          <w:iCs/>
          <w:sz w:val="20"/>
          <w:szCs w:val="22"/>
        </w:rPr>
        <w:t>House of Representatives on 8 November 1990</w:t>
      </w:r>
    </w:p>
    <w:p w14:paraId="751FB36A" w14:textId="77777777" w:rsidR="00ED2620" w:rsidRPr="00652B37" w:rsidRDefault="00ED2620" w:rsidP="00FB7120">
      <w:pPr>
        <w:widowControl w:val="0"/>
        <w:autoSpaceDE w:val="0"/>
        <w:autoSpaceDN w:val="0"/>
        <w:adjustRightInd w:val="0"/>
        <w:ind w:left="734"/>
        <w:jc w:val="both"/>
        <w:rPr>
          <w:sz w:val="22"/>
        </w:rPr>
      </w:pPr>
      <w:r w:rsidRPr="00652B37">
        <w:rPr>
          <w:i/>
          <w:iCs/>
          <w:sz w:val="20"/>
          <w:szCs w:val="22"/>
        </w:rPr>
        <w:t>Senate on 15 November 1990</w:t>
      </w:r>
      <w:r w:rsidRPr="00652B37">
        <w:rPr>
          <w:sz w:val="20"/>
          <w:szCs w:val="22"/>
        </w:rPr>
        <w:t>]</w:t>
      </w:r>
    </w:p>
    <w:sectPr w:rsidR="00ED2620" w:rsidRPr="00652B37" w:rsidSect="00892474">
      <w:headerReference w:type="default" r:id="rId9"/>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870F1" w15:done="0"/>
  <w15:commentEx w15:paraId="7CC61767" w15:done="0"/>
  <w15:commentEx w15:paraId="38B57029" w15:done="0"/>
  <w15:commentEx w15:paraId="0949A5E2" w15:done="0"/>
  <w15:commentEx w15:paraId="4CC4C60C" w15:done="0"/>
  <w15:commentEx w15:paraId="5E1E5B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870F1" w16cid:durableId="20693154"/>
  <w16cid:commentId w16cid:paraId="7CC61767" w16cid:durableId="20693180"/>
  <w16cid:commentId w16cid:paraId="38B57029" w16cid:durableId="2069316B"/>
  <w16cid:commentId w16cid:paraId="0949A5E2" w16cid:durableId="206931AB"/>
  <w16cid:commentId w16cid:paraId="4CC4C60C" w16cid:durableId="206931B5"/>
  <w16cid:commentId w16cid:paraId="5E1E5B99" w16cid:durableId="206931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630F7" w14:textId="77777777" w:rsidR="00125DC3" w:rsidRDefault="00125DC3">
      <w:r>
        <w:separator/>
      </w:r>
    </w:p>
  </w:endnote>
  <w:endnote w:type="continuationSeparator" w:id="0">
    <w:p w14:paraId="37BC6466" w14:textId="77777777" w:rsidR="00125DC3" w:rsidRDefault="0012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51963" w14:textId="77777777" w:rsidR="00125DC3" w:rsidRDefault="00125DC3">
      <w:r>
        <w:separator/>
      </w:r>
    </w:p>
  </w:footnote>
  <w:footnote w:type="continuationSeparator" w:id="0">
    <w:p w14:paraId="3C317068" w14:textId="77777777" w:rsidR="00125DC3" w:rsidRDefault="00125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D0D6" w14:textId="77777777" w:rsidR="00283F34" w:rsidRDefault="00283F34" w:rsidP="00FB7120">
    <w:pPr>
      <w:pStyle w:val="Header"/>
      <w:jc w:val="center"/>
    </w:pPr>
    <w:r w:rsidRPr="00166B8D">
      <w:rPr>
        <w:i/>
        <w:iCs/>
        <w:sz w:val="22"/>
        <w:szCs w:val="22"/>
      </w:rPr>
      <w:t xml:space="preserve">Builders </w:t>
    </w:r>
    <w:proofErr w:type="spellStart"/>
    <w:r w:rsidRPr="00166B8D">
      <w:rPr>
        <w:i/>
        <w:iCs/>
        <w:sz w:val="22"/>
        <w:szCs w:val="22"/>
      </w:rPr>
      <w:t>Labourers’</w:t>
    </w:r>
    <w:proofErr w:type="spellEnd"/>
    <w:r w:rsidRPr="00166B8D">
      <w:rPr>
        <w:i/>
        <w:iCs/>
        <w:sz w:val="22"/>
        <w:szCs w:val="22"/>
      </w:rPr>
      <w:t xml:space="preserve"> Federation Legislation Amendment</w:t>
    </w:r>
    <w:r>
      <w:rPr>
        <w:sz w:val="22"/>
        <w:szCs w:val="22"/>
      </w:rPr>
      <w:br/>
    </w:r>
    <w:r w:rsidRPr="00166B8D">
      <w:rPr>
        <w:i/>
        <w:iCs/>
        <w:sz w:val="22"/>
        <w:szCs w:val="22"/>
      </w:rPr>
      <w:t>No. 132,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20"/>
    <w:rsid w:val="000C491F"/>
    <w:rsid w:val="00125DC3"/>
    <w:rsid w:val="00283F34"/>
    <w:rsid w:val="00652B37"/>
    <w:rsid w:val="00892474"/>
    <w:rsid w:val="0094313F"/>
    <w:rsid w:val="009B666B"/>
    <w:rsid w:val="00CD78A0"/>
    <w:rsid w:val="00E272B9"/>
    <w:rsid w:val="00ED2620"/>
    <w:rsid w:val="00FB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43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120"/>
    <w:pPr>
      <w:tabs>
        <w:tab w:val="center" w:pos="4320"/>
        <w:tab w:val="right" w:pos="8640"/>
      </w:tabs>
    </w:pPr>
  </w:style>
  <w:style w:type="paragraph" w:styleId="Footer">
    <w:name w:val="footer"/>
    <w:basedOn w:val="Normal"/>
    <w:rsid w:val="00FB7120"/>
    <w:pPr>
      <w:tabs>
        <w:tab w:val="center" w:pos="4320"/>
        <w:tab w:val="right" w:pos="8640"/>
      </w:tabs>
    </w:pPr>
  </w:style>
  <w:style w:type="paragraph" w:styleId="BalloonText">
    <w:name w:val="Balloon Text"/>
    <w:basedOn w:val="Normal"/>
    <w:link w:val="BalloonTextChar"/>
    <w:semiHidden/>
    <w:unhideWhenUsed/>
    <w:rsid w:val="00CD78A0"/>
    <w:rPr>
      <w:rFonts w:ascii="Segoe UI" w:hAnsi="Segoe UI" w:cs="Segoe UI"/>
      <w:sz w:val="18"/>
      <w:szCs w:val="18"/>
    </w:rPr>
  </w:style>
  <w:style w:type="character" w:customStyle="1" w:styleId="BalloonTextChar">
    <w:name w:val="Balloon Text Char"/>
    <w:basedOn w:val="DefaultParagraphFont"/>
    <w:link w:val="BalloonText"/>
    <w:semiHidden/>
    <w:rsid w:val="00CD78A0"/>
    <w:rPr>
      <w:rFonts w:ascii="Segoe UI" w:hAnsi="Segoe UI" w:cs="Segoe UI"/>
      <w:sz w:val="18"/>
      <w:szCs w:val="18"/>
    </w:rPr>
  </w:style>
  <w:style w:type="character" w:styleId="CommentReference">
    <w:name w:val="annotation reference"/>
    <w:basedOn w:val="DefaultParagraphFont"/>
    <w:semiHidden/>
    <w:unhideWhenUsed/>
    <w:rsid w:val="00CD78A0"/>
    <w:rPr>
      <w:sz w:val="16"/>
      <w:szCs w:val="16"/>
    </w:rPr>
  </w:style>
  <w:style w:type="paragraph" w:styleId="CommentText">
    <w:name w:val="annotation text"/>
    <w:basedOn w:val="Normal"/>
    <w:link w:val="CommentTextChar"/>
    <w:semiHidden/>
    <w:unhideWhenUsed/>
    <w:rsid w:val="00CD78A0"/>
    <w:rPr>
      <w:sz w:val="20"/>
      <w:szCs w:val="20"/>
    </w:rPr>
  </w:style>
  <w:style w:type="character" w:customStyle="1" w:styleId="CommentTextChar">
    <w:name w:val="Comment Text Char"/>
    <w:basedOn w:val="DefaultParagraphFont"/>
    <w:link w:val="CommentText"/>
    <w:semiHidden/>
    <w:rsid w:val="00CD78A0"/>
  </w:style>
  <w:style w:type="paragraph" w:styleId="CommentSubject">
    <w:name w:val="annotation subject"/>
    <w:basedOn w:val="CommentText"/>
    <w:next w:val="CommentText"/>
    <w:link w:val="CommentSubjectChar"/>
    <w:semiHidden/>
    <w:unhideWhenUsed/>
    <w:rsid w:val="00CD78A0"/>
    <w:rPr>
      <w:b/>
      <w:bCs/>
    </w:rPr>
  </w:style>
  <w:style w:type="character" w:customStyle="1" w:styleId="CommentSubjectChar">
    <w:name w:val="Comment Subject Char"/>
    <w:basedOn w:val="CommentTextChar"/>
    <w:link w:val="CommentSubject"/>
    <w:semiHidden/>
    <w:rsid w:val="00CD78A0"/>
    <w:rPr>
      <w:b/>
      <w:bCs/>
    </w:rPr>
  </w:style>
  <w:style w:type="paragraph" w:styleId="Revision">
    <w:name w:val="Revision"/>
    <w:hidden/>
    <w:uiPriority w:val="99"/>
    <w:semiHidden/>
    <w:rsid w:val="009431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120"/>
    <w:pPr>
      <w:tabs>
        <w:tab w:val="center" w:pos="4320"/>
        <w:tab w:val="right" w:pos="8640"/>
      </w:tabs>
    </w:pPr>
  </w:style>
  <w:style w:type="paragraph" w:styleId="Footer">
    <w:name w:val="footer"/>
    <w:basedOn w:val="Normal"/>
    <w:rsid w:val="00FB7120"/>
    <w:pPr>
      <w:tabs>
        <w:tab w:val="center" w:pos="4320"/>
        <w:tab w:val="right" w:pos="8640"/>
      </w:tabs>
    </w:pPr>
  </w:style>
  <w:style w:type="paragraph" w:styleId="BalloonText">
    <w:name w:val="Balloon Text"/>
    <w:basedOn w:val="Normal"/>
    <w:link w:val="BalloonTextChar"/>
    <w:semiHidden/>
    <w:unhideWhenUsed/>
    <w:rsid w:val="00CD78A0"/>
    <w:rPr>
      <w:rFonts w:ascii="Segoe UI" w:hAnsi="Segoe UI" w:cs="Segoe UI"/>
      <w:sz w:val="18"/>
      <w:szCs w:val="18"/>
    </w:rPr>
  </w:style>
  <w:style w:type="character" w:customStyle="1" w:styleId="BalloonTextChar">
    <w:name w:val="Balloon Text Char"/>
    <w:basedOn w:val="DefaultParagraphFont"/>
    <w:link w:val="BalloonText"/>
    <w:semiHidden/>
    <w:rsid w:val="00CD78A0"/>
    <w:rPr>
      <w:rFonts w:ascii="Segoe UI" w:hAnsi="Segoe UI" w:cs="Segoe UI"/>
      <w:sz w:val="18"/>
      <w:szCs w:val="18"/>
    </w:rPr>
  </w:style>
  <w:style w:type="character" w:styleId="CommentReference">
    <w:name w:val="annotation reference"/>
    <w:basedOn w:val="DefaultParagraphFont"/>
    <w:semiHidden/>
    <w:unhideWhenUsed/>
    <w:rsid w:val="00CD78A0"/>
    <w:rPr>
      <w:sz w:val="16"/>
      <w:szCs w:val="16"/>
    </w:rPr>
  </w:style>
  <w:style w:type="paragraph" w:styleId="CommentText">
    <w:name w:val="annotation text"/>
    <w:basedOn w:val="Normal"/>
    <w:link w:val="CommentTextChar"/>
    <w:semiHidden/>
    <w:unhideWhenUsed/>
    <w:rsid w:val="00CD78A0"/>
    <w:rPr>
      <w:sz w:val="20"/>
      <w:szCs w:val="20"/>
    </w:rPr>
  </w:style>
  <w:style w:type="character" w:customStyle="1" w:styleId="CommentTextChar">
    <w:name w:val="Comment Text Char"/>
    <w:basedOn w:val="DefaultParagraphFont"/>
    <w:link w:val="CommentText"/>
    <w:semiHidden/>
    <w:rsid w:val="00CD78A0"/>
  </w:style>
  <w:style w:type="paragraph" w:styleId="CommentSubject">
    <w:name w:val="annotation subject"/>
    <w:basedOn w:val="CommentText"/>
    <w:next w:val="CommentText"/>
    <w:link w:val="CommentSubjectChar"/>
    <w:semiHidden/>
    <w:unhideWhenUsed/>
    <w:rsid w:val="00CD78A0"/>
    <w:rPr>
      <w:b/>
      <w:bCs/>
    </w:rPr>
  </w:style>
  <w:style w:type="character" w:customStyle="1" w:styleId="CommentSubjectChar">
    <w:name w:val="Comment Subject Char"/>
    <w:basedOn w:val="CommentTextChar"/>
    <w:link w:val="CommentSubject"/>
    <w:semiHidden/>
    <w:rsid w:val="00CD78A0"/>
    <w:rPr>
      <w:b/>
      <w:bCs/>
    </w:rPr>
  </w:style>
  <w:style w:type="paragraph" w:styleId="Revision">
    <w:name w:val="Revision"/>
    <w:hidden/>
    <w:uiPriority w:val="99"/>
    <w:semiHidden/>
    <w:rsid w:val="009431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2019-04-22T20:40:00Z</dcterms:created>
  <dcterms:modified xsi:type="dcterms:W3CDTF">2019-10-09T23:42:00Z</dcterms:modified>
</cp:coreProperties>
</file>