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51E1C" w14:textId="77777777" w:rsidR="00C95D19" w:rsidRPr="00C95D19" w:rsidRDefault="0012771E" w:rsidP="00C95D19">
      <w:pPr>
        <w:widowControl w:val="0"/>
        <w:autoSpaceDE w:val="0"/>
        <w:autoSpaceDN w:val="0"/>
        <w:adjustRightInd w:val="0"/>
        <w:spacing w:before="120"/>
        <w:jc w:val="center"/>
        <w:rPr>
          <w:bCs/>
          <w:sz w:val="22"/>
          <w:szCs w:val="22"/>
        </w:rPr>
      </w:pPr>
      <w:r>
        <w:rPr>
          <w:noProof/>
          <w:lang w:val="en-AU" w:eastAsia="en-AU"/>
        </w:rPr>
        <w:drawing>
          <wp:inline distT="0" distB="0" distL="0" distR="0" wp14:anchorId="4A034B50" wp14:editId="7B6D197F">
            <wp:extent cx="1348740" cy="1028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17E0C103" w14:textId="77777777" w:rsidR="00D079AE" w:rsidRPr="00C95D19" w:rsidRDefault="00D079AE" w:rsidP="00C95D19">
      <w:pPr>
        <w:widowControl w:val="0"/>
        <w:autoSpaceDE w:val="0"/>
        <w:autoSpaceDN w:val="0"/>
        <w:adjustRightInd w:val="0"/>
        <w:spacing w:before="720"/>
        <w:jc w:val="center"/>
        <w:rPr>
          <w:sz w:val="36"/>
          <w:szCs w:val="22"/>
        </w:rPr>
      </w:pPr>
      <w:r w:rsidRPr="00C95D19">
        <w:rPr>
          <w:b/>
          <w:bCs/>
          <w:sz w:val="36"/>
          <w:szCs w:val="22"/>
        </w:rPr>
        <w:t>Au</w:t>
      </w:r>
      <w:bookmarkStart w:id="0" w:name="_GoBack"/>
      <w:bookmarkEnd w:id="0"/>
      <w:r w:rsidRPr="00C95D19">
        <w:rPr>
          <w:b/>
          <w:bCs/>
          <w:sz w:val="36"/>
          <w:szCs w:val="22"/>
        </w:rPr>
        <w:t>stralian Citizenship Amendment Act 1990</w:t>
      </w:r>
    </w:p>
    <w:p w14:paraId="24594358" w14:textId="15561433" w:rsidR="00C95D19" w:rsidRDefault="00D079AE" w:rsidP="00C95D19">
      <w:pPr>
        <w:widowControl w:val="0"/>
        <w:autoSpaceDE w:val="0"/>
        <w:autoSpaceDN w:val="0"/>
        <w:adjustRightInd w:val="0"/>
        <w:spacing w:before="720"/>
        <w:jc w:val="center"/>
        <w:rPr>
          <w:b/>
          <w:bCs/>
          <w:sz w:val="22"/>
          <w:szCs w:val="22"/>
        </w:rPr>
      </w:pPr>
      <w:r w:rsidRPr="00696458">
        <w:rPr>
          <w:b/>
          <w:bCs/>
          <w:sz w:val="26"/>
          <w:szCs w:val="22"/>
        </w:rPr>
        <w:t>No. 105 of 1990</w:t>
      </w:r>
    </w:p>
    <w:p w14:paraId="0F7943BD" w14:textId="77777777" w:rsidR="00D079AE" w:rsidRPr="00F20E19" w:rsidRDefault="00D079AE" w:rsidP="00C95D19">
      <w:pPr>
        <w:widowControl w:val="0"/>
        <w:pBdr>
          <w:bottom w:val="double" w:sz="4" w:space="1" w:color="auto"/>
        </w:pBdr>
        <w:autoSpaceDE w:val="0"/>
        <w:autoSpaceDN w:val="0"/>
        <w:adjustRightInd w:val="0"/>
        <w:spacing w:before="720"/>
        <w:jc w:val="center"/>
        <w:rPr>
          <w:sz w:val="22"/>
          <w:szCs w:val="22"/>
        </w:rPr>
      </w:pPr>
    </w:p>
    <w:p w14:paraId="3A28690D" w14:textId="3D06E55F" w:rsidR="00D079AE" w:rsidRPr="00C95D19" w:rsidRDefault="00D079AE" w:rsidP="00C95D19">
      <w:pPr>
        <w:widowControl w:val="0"/>
        <w:autoSpaceDE w:val="0"/>
        <w:autoSpaceDN w:val="0"/>
        <w:adjustRightInd w:val="0"/>
        <w:spacing w:before="720"/>
        <w:jc w:val="center"/>
        <w:rPr>
          <w:sz w:val="26"/>
          <w:szCs w:val="26"/>
        </w:rPr>
      </w:pPr>
      <w:r w:rsidRPr="00C95D19">
        <w:rPr>
          <w:b/>
          <w:bCs/>
          <w:sz w:val="26"/>
          <w:szCs w:val="26"/>
        </w:rPr>
        <w:t xml:space="preserve">An Act to amend the </w:t>
      </w:r>
      <w:r w:rsidRPr="00C95D19">
        <w:rPr>
          <w:b/>
          <w:bCs/>
          <w:i/>
          <w:iCs/>
          <w:sz w:val="26"/>
          <w:szCs w:val="26"/>
        </w:rPr>
        <w:t>Australian Citizenship Act 1948</w:t>
      </w:r>
      <w:r w:rsidRPr="00696458">
        <w:rPr>
          <w:b/>
          <w:bCs/>
          <w:iCs/>
          <w:sz w:val="26"/>
          <w:szCs w:val="26"/>
        </w:rPr>
        <w:t>,</w:t>
      </w:r>
      <w:r w:rsidRPr="00C95D19">
        <w:rPr>
          <w:b/>
          <w:bCs/>
          <w:i/>
          <w:iCs/>
          <w:sz w:val="26"/>
          <w:szCs w:val="26"/>
        </w:rPr>
        <w:t xml:space="preserve"> </w:t>
      </w:r>
      <w:r w:rsidRPr="00C95D19">
        <w:rPr>
          <w:b/>
          <w:bCs/>
          <w:sz w:val="26"/>
          <w:szCs w:val="26"/>
        </w:rPr>
        <w:t>and</w:t>
      </w:r>
      <w:r w:rsidR="00C95D19">
        <w:rPr>
          <w:b/>
          <w:bCs/>
          <w:sz w:val="26"/>
          <w:szCs w:val="26"/>
        </w:rPr>
        <w:br/>
      </w:r>
      <w:r w:rsidRPr="00C95D19">
        <w:rPr>
          <w:b/>
          <w:bCs/>
          <w:sz w:val="26"/>
          <w:szCs w:val="26"/>
        </w:rPr>
        <w:t>for related purposes</w:t>
      </w:r>
    </w:p>
    <w:p w14:paraId="3B52E4D3" w14:textId="77777777" w:rsidR="00D079AE" w:rsidRPr="00F20E19" w:rsidRDefault="00D079AE" w:rsidP="00C95D19">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762148F7" w14:textId="77777777" w:rsidR="00D079AE" w:rsidRPr="00F20E19" w:rsidRDefault="00D079AE" w:rsidP="00090D30">
      <w:pPr>
        <w:widowControl w:val="0"/>
        <w:autoSpaceDE w:val="0"/>
        <w:autoSpaceDN w:val="0"/>
        <w:adjustRightInd w:val="0"/>
        <w:spacing w:before="120"/>
        <w:ind w:left="360"/>
        <w:jc w:val="both"/>
        <w:rPr>
          <w:sz w:val="22"/>
          <w:szCs w:val="22"/>
        </w:rPr>
      </w:pPr>
      <w:r>
        <w:rPr>
          <w:sz w:val="22"/>
          <w:szCs w:val="22"/>
        </w:rPr>
        <w:t>The Parliament of Australia enacts:</w:t>
      </w:r>
    </w:p>
    <w:p w14:paraId="75F93585"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Short title etc.</w:t>
      </w:r>
    </w:p>
    <w:p w14:paraId="74873104" w14:textId="77777777" w:rsidR="00D079AE" w:rsidRPr="00F20E19" w:rsidRDefault="00D079AE" w:rsidP="00090D30">
      <w:pPr>
        <w:widowControl w:val="0"/>
        <w:tabs>
          <w:tab w:val="left" w:pos="629"/>
        </w:tabs>
        <w:autoSpaceDE w:val="0"/>
        <w:autoSpaceDN w:val="0"/>
        <w:adjustRightInd w:val="0"/>
        <w:spacing w:before="120"/>
        <w:ind w:firstLine="346"/>
        <w:jc w:val="both"/>
        <w:rPr>
          <w:sz w:val="22"/>
          <w:szCs w:val="22"/>
        </w:rPr>
      </w:pPr>
      <w:r>
        <w:rPr>
          <w:b/>
          <w:bCs/>
          <w:sz w:val="22"/>
          <w:szCs w:val="22"/>
        </w:rPr>
        <w:t>1.</w:t>
      </w:r>
      <w:r>
        <w:rPr>
          <w:b/>
          <w:bCs/>
          <w:sz w:val="22"/>
          <w:szCs w:val="22"/>
        </w:rPr>
        <w:tab/>
        <w:t xml:space="preserve">(1) </w:t>
      </w:r>
      <w:r>
        <w:rPr>
          <w:sz w:val="22"/>
          <w:szCs w:val="22"/>
        </w:rPr>
        <w:t xml:space="preserve">This Act may be cited as the </w:t>
      </w:r>
      <w:r>
        <w:rPr>
          <w:i/>
          <w:iCs/>
          <w:sz w:val="22"/>
          <w:szCs w:val="22"/>
        </w:rPr>
        <w:t>Australian Citizenship Amendment Act 1990.</w:t>
      </w:r>
    </w:p>
    <w:p w14:paraId="0170507B" w14:textId="77777777" w:rsidR="00D079AE" w:rsidRPr="00F20E19" w:rsidRDefault="00D079AE" w:rsidP="00090D30">
      <w:pPr>
        <w:widowControl w:val="0"/>
        <w:autoSpaceDE w:val="0"/>
        <w:autoSpaceDN w:val="0"/>
        <w:adjustRightInd w:val="0"/>
        <w:spacing w:before="120"/>
        <w:ind w:firstLine="355"/>
        <w:jc w:val="both"/>
        <w:rPr>
          <w:sz w:val="22"/>
          <w:szCs w:val="22"/>
        </w:rPr>
      </w:pPr>
      <w:r>
        <w:rPr>
          <w:sz w:val="22"/>
          <w:szCs w:val="22"/>
        </w:rPr>
        <w:t>(</w:t>
      </w:r>
      <w:r>
        <w:rPr>
          <w:b/>
          <w:bCs/>
          <w:sz w:val="22"/>
          <w:szCs w:val="22"/>
        </w:rPr>
        <w:t>2</w:t>
      </w:r>
      <w:r>
        <w:rPr>
          <w:sz w:val="22"/>
          <w:szCs w:val="22"/>
        </w:rPr>
        <w:t>)</w:t>
      </w:r>
      <w:r>
        <w:rPr>
          <w:sz w:val="22"/>
          <w:szCs w:val="22"/>
        </w:rPr>
        <w:tab/>
        <w:t xml:space="preserve">In this Act, </w:t>
      </w:r>
      <w:r>
        <w:rPr>
          <w:b/>
          <w:bCs/>
          <w:sz w:val="22"/>
          <w:szCs w:val="22"/>
        </w:rPr>
        <w:t xml:space="preserve">“Principal Act” </w:t>
      </w:r>
      <w:r>
        <w:rPr>
          <w:sz w:val="22"/>
          <w:szCs w:val="22"/>
        </w:rPr>
        <w:t xml:space="preserve">means the </w:t>
      </w:r>
      <w:r>
        <w:rPr>
          <w:i/>
          <w:iCs/>
          <w:sz w:val="22"/>
          <w:szCs w:val="22"/>
        </w:rPr>
        <w:t>Australian Citizenship Act 1948</w:t>
      </w:r>
      <w:r>
        <w:rPr>
          <w:sz w:val="22"/>
          <w:szCs w:val="22"/>
          <w:vertAlign w:val="superscript"/>
        </w:rPr>
        <w:t>1</w:t>
      </w:r>
      <w:r>
        <w:rPr>
          <w:sz w:val="22"/>
          <w:szCs w:val="22"/>
        </w:rPr>
        <w:t>.</w:t>
      </w:r>
    </w:p>
    <w:p w14:paraId="4CCC330F"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Commencement</w:t>
      </w:r>
    </w:p>
    <w:p w14:paraId="50CF9F04" w14:textId="77777777" w:rsidR="00D079AE" w:rsidRPr="00F20E19" w:rsidRDefault="00D079AE" w:rsidP="00090D30">
      <w:pPr>
        <w:widowControl w:val="0"/>
        <w:tabs>
          <w:tab w:val="left" w:pos="629"/>
        </w:tabs>
        <w:autoSpaceDE w:val="0"/>
        <w:autoSpaceDN w:val="0"/>
        <w:adjustRightInd w:val="0"/>
        <w:spacing w:before="120"/>
        <w:ind w:firstLine="346"/>
        <w:jc w:val="both"/>
        <w:rPr>
          <w:sz w:val="22"/>
          <w:szCs w:val="22"/>
        </w:rPr>
      </w:pPr>
      <w:r>
        <w:rPr>
          <w:b/>
          <w:bCs/>
          <w:sz w:val="22"/>
          <w:szCs w:val="22"/>
        </w:rPr>
        <w:t>2.</w:t>
      </w:r>
      <w:r>
        <w:rPr>
          <w:b/>
          <w:bCs/>
          <w:sz w:val="22"/>
          <w:szCs w:val="22"/>
        </w:rPr>
        <w:tab/>
        <w:t xml:space="preserve">(1) </w:t>
      </w:r>
      <w:r>
        <w:rPr>
          <w:sz w:val="22"/>
          <w:szCs w:val="22"/>
        </w:rPr>
        <w:t>Subject to subsection (2), this Act commences on a day to be fixed by Proclamation.</w:t>
      </w:r>
    </w:p>
    <w:p w14:paraId="48143638" w14:textId="77777777" w:rsidR="00D079AE" w:rsidRPr="00F20E19" w:rsidRDefault="00D079AE" w:rsidP="00090D30">
      <w:pPr>
        <w:widowControl w:val="0"/>
        <w:autoSpaceDE w:val="0"/>
        <w:autoSpaceDN w:val="0"/>
        <w:adjustRightInd w:val="0"/>
        <w:spacing w:before="120"/>
        <w:ind w:firstLine="336"/>
        <w:jc w:val="both"/>
        <w:rPr>
          <w:sz w:val="22"/>
          <w:szCs w:val="22"/>
        </w:rPr>
      </w:pPr>
      <w:r>
        <w:rPr>
          <w:sz w:val="22"/>
          <w:szCs w:val="22"/>
        </w:rPr>
        <w:t>(</w:t>
      </w:r>
      <w:r>
        <w:rPr>
          <w:b/>
          <w:bCs/>
          <w:sz w:val="22"/>
          <w:szCs w:val="22"/>
        </w:rPr>
        <w:t>2</w:t>
      </w:r>
      <w:r>
        <w:rPr>
          <w:sz w:val="22"/>
          <w:szCs w:val="22"/>
        </w:rPr>
        <w:t>)</w:t>
      </w:r>
      <w:r>
        <w:rPr>
          <w:sz w:val="22"/>
          <w:szCs w:val="22"/>
        </w:rPr>
        <w:tab/>
        <w:t>If this Act does not commence under subsection (1) within the period of 6 months beginning on the day on which it receives the</w:t>
      </w:r>
    </w:p>
    <w:p w14:paraId="4A70CD0C" w14:textId="77777777" w:rsidR="00D079AE" w:rsidRPr="00F20E19" w:rsidRDefault="00D079AE" w:rsidP="00C95D19">
      <w:pPr>
        <w:widowControl w:val="0"/>
        <w:autoSpaceDE w:val="0"/>
        <w:autoSpaceDN w:val="0"/>
        <w:adjustRightInd w:val="0"/>
        <w:spacing w:before="120"/>
        <w:jc w:val="both"/>
        <w:rPr>
          <w:sz w:val="22"/>
          <w:szCs w:val="22"/>
        </w:rPr>
      </w:pPr>
      <w:r>
        <w:rPr>
          <w:sz w:val="22"/>
          <w:szCs w:val="22"/>
        </w:rPr>
        <w:br w:type="page"/>
      </w:r>
      <w:r>
        <w:rPr>
          <w:sz w:val="22"/>
          <w:szCs w:val="22"/>
        </w:rPr>
        <w:lastRenderedPageBreak/>
        <w:t>Royal Assent, it commences on the first day after the end of that period.</w:t>
      </w:r>
    </w:p>
    <w:p w14:paraId="647722DE"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Citizenship by descent</w:t>
      </w:r>
    </w:p>
    <w:p w14:paraId="498192DD" w14:textId="77777777" w:rsidR="00D079AE" w:rsidRPr="00F20E19" w:rsidRDefault="00D079AE" w:rsidP="00090D30">
      <w:pPr>
        <w:widowControl w:val="0"/>
        <w:tabs>
          <w:tab w:val="left" w:pos="648"/>
        </w:tabs>
        <w:autoSpaceDE w:val="0"/>
        <w:autoSpaceDN w:val="0"/>
        <w:adjustRightInd w:val="0"/>
        <w:spacing w:before="120"/>
        <w:ind w:left="346"/>
        <w:jc w:val="both"/>
        <w:rPr>
          <w:sz w:val="22"/>
          <w:szCs w:val="22"/>
        </w:rPr>
      </w:pPr>
      <w:r>
        <w:rPr>
          <w:b/>
          <w:bCs/>
          <w:sz w:val="22"/>
          <w:szCs w:val="22"/>
        </w:rPr>
        <w:t>3.</w:t>
      </w:r>
      <w:r>
        <w:rPr>
          <w:b/>
          <w:bCs/>
          <w:sz w:val="22"/>
          <w:szCs w:val="22"/>
        </w:rPr>
        <w:tab/>
      </w:r>
      <w:r>
        <w:rPr>
          <w:sz w:val="22"/>
          <w:szCs w:val="22"/>
        </w:rPr>
        <w:t xml:space="preserve">Section </w:t>
      </w:r>
      <w:r>
        <w:rPr>
          <w:smallCaps/>
          <w:sz w:val="22"/>
          <w:szCs w:val="22"/>
        </w:rPr>
        <w:t xml:space="preserve">10b </w:t>
      </w:r>
      <w:r>
        <w:rPr>
          <w:sz w:val="22"/>
          <w:szCs w:val="22"/>
        </w:rPr>
        <w:t>of the Principal Act is amended:</w:t>
      </w:r>
    </w:p>
    <w:p w14:paraId="0AEBF790" w14:textId="77777777" w:rsidR="00D079AE" w:rsidRPr="00F20E19" w:rsidRDefault="00D079AE" w:rsidP="00090D30">
      <w:pPr>
        <w:widowControl w:val="0"/>
        <w:tabs>
          <w:tab w:val="left" w:pos="792"/>
        </w:tabs>
        <w:autoSpaceDE w:val="0"/>
        <w:autoSpaceDN w:val="0"/>
        <w:adjustRightInd w:val="0"/>
        <w:spacing w:before="120"/>
        <w:ind w:left="792" w:hanging="398"/>
        <w:jc w:val="both"/>
        <w:rPr>
          <w:sz w:val="22"/>
          <w:szCs w:val="22"/>
        </w:rPr>
      </w:pPr>
      <w:r>
        <w:rPr>
          <w:b/>
          <w:bCs/>
          <w:sz w:val="22"/>
          <w:szCs w:val="22"/>
        </w:rPr>
        <w:t>(a)</w:t>
      </w:r>
      <w:r>
        <w:rPr>
          <w:b/>
          <w:bCs/>
          <w:sz w:val="22"/>
          <w:szCs w:val="22"/>
        </w:rPr>
        <w:tab/>
      </w:r>
      <w:r>
        <w:rPr>
          <w:sz w:val="22"/>
          <w:szCs w:val="22"/>
        </w:rPr>
        <w:t>by omitting from paragraph (1) (a) all the words after “Australian consulate” and substituting “, and the registration is the result of an application made within 18 years of the person’s birth to register the person’s name for those purposes; and”;</w:t>
      </w:r>
    </w:p>
    <w:p w14:paraId="19850989" w14:textId="77777777" w:rsidR="00D079AE" w:rsidRPr="00F20E19" w:rsidRDefault="00D079AE" w:rsidP="00090D30">
      <w:pPr>
        <w:widowControl w:val="0"/>
        <w:tabs>
          <w:tab w:val="left" w:pos="792"/>
        </w:tabs>
        <w:autoSpaceDE w:val="0"/>
        <w:autoSpaceDN w:val="0"/>
        <w:adjustRightInd w:val="0"/>
        <w:spacing w:before="120"/>
        <w:ind w:left="394"/>
        <w:jc w:val="both"/>
        <w:rPr>
          <w:sz w:val="22"/>
          <w:szCs w:val="22"/>
        </w:rPr>
      </w:pPr>
      <w:r>
        <w:rPr>
          <w:b/>
          <w:bCs/>
          <w:sz w:val="22"/>
          <w:szCs w:val="22"/>
        </w:rPr>
        <w:t>(b)</w:t>
      </w:r>
      <w:r>
        <w:rPr>
          <w:b/>
          <w:bCs/>
          <w:sz w:val="22"/>
          <w:szCs w:val="22"/>
        </w:rPr>
        <w:tab/>
      </w:r>
      <w:r>
        <w:rPr>
          <w:sz w:val="22"/>
          <w:szCs w:val="22"/>
        </w:rPr>
        <w:t>by adding at the end the following subsection:</w:t>
      </w:r>
    </w:p>
    <w:p w14:paraId="1FCB856B" w14:textId="430F9CCC" w:rsidR="00D079AE" w:rsidRPr="00F20E19" w:rsidRDefault="00D079AE" w:rsidP="00090D30">
      <w:pPr>
        <w:widowControl w:val="0"/>
        <w:autoSpaceDE w:val="0"/>
        <w:autoSpaceDN w:val="0"/>
        <w:adjustRightInd w:val="0"/>
        <w:spacing w:before="120"/>
        <w:ind w:left="782" w:firstLine="202"/>
        <w:jc w:val="both"/>
        <w:rPr>
          <w:sz w:val="22"/>
          <w:szCs w:val="22"/>
        </w:rPr>
      </w:pPr>
      <w:r>
        <w:rPr>
          <w:sz w:val="22"/>
          <w:szCs w:val="22"/>
        </w:rPr>
        <w:t xml:space="preserve">“(4) A person born outside Australia is an Australian citizen if, before the commencement of the </w:t>
      </w:r>
      <w:r>
        <w:rPr>
          <w:i/>
          <w:iCs/>
          <w:sz w:val="22"/>
          <w:szCs w:val="22"/>
        </w:rPr>
        <w:t>Australian Citizenship Amendment Act 1990</w:t>
      </w:r>
      <w:r w:rsidRPr="00696458">
        <w:rPr>
          <w:iCs/>
          <w:sz w:val="22"/>
          <w:szCs w:val="22"/>
        </w:rPr>
        <w:t>:</w:t>
      </w:r>
    </w:p>
    <w:p w14:paraId="5DCA19A2" w14:textId="77777777" w:rsidR="00D079AE" w:rsidRPr="00F20E19" w:rsidRDefault="00D079AE" w:rsidP="00090D30">
      <w:pPr>
        <w:widowControl w:val="0"/>
        <w:tabs>
          <w:tab w:val="left" w:pos="1445"/>
        </w:tabs>
        <w:autoSpaceDE w:val="0"/>
        <w:autoSpaceDN w:val="0"/>
        <w:adjustRightInd w:val="0"/>
        <w:spacing w:before="120"/>
        <w:ind w:left="1445" w:hanging="389"/>
        <w:jc w:val="both"/>
        <w:rPr>
          <w:sz w:val="22"/>
          <w:szCs w:val="22"/>
        </w:rPr>
      </w:pPr>
      <w:r>
        <w:rPr>
          <w:sz w:val="22"/>
          <w:szCs w:val="22"/>
        </w:rPr>
        <w:t>(a)</w:t>
      </w:r>
      <w:r>
        <w:rPr>
          <w:sz w:val="22"/>
          <w:szCs w:val="22"/>
        </w:rPr>
        <w:tab/>
        <w:t>an application was made to register the person’s name at an Australian consulate for the purposes of this section before the person turned 18; and</w:t>
      </w:r>
    </w:p>
    <w:p w14:paraId="2D464BCC" w14:textId="77777777" w:rsidR="00D079AE" w:rsidRPr="00F20E19" w:rsidRDefault="00D079AE" w:rsidP="00090D30">
      <w:pPr>
        <w:widowControl w:val="0"/>
        <w:tabs>
          <w:tab w:val="left" w:pos="1445"/>
        </w:tabs>
        <w:autoSpaceDE w:val="0"/>
        <w:autoSpaceDN w:val="0"/>
        <w:adjustRightInd w:val="0"/>
        <w:spacing w:before="120"/>
        <w:ind w:left="1445" w:hanging="389"/>
        <w:jc w:val="both"/>
        <w:rPr>
          <w:sz w:val="22"/>
          <w:szCs w:val="22"/>
        </w:rPr>
      </w:pPr>
      <w:r>
        <w:rPr>
          <w:sz w:val="22"/>
          <w:szCs w:val="22"/>
        </w:rPr>
        <w:t>(b)</w:t>
      </w:r>
      <w:r>
        <w:rPr>
          <w:sz w:val="22"/>
          <w:szCs w:val="22"/>
        </w:rPr>
        <w:tab/>
        <w:t>the person’s name was so registered even though the person had turned 18 at the time of registration.”.</w:t>
      </w:r>
    </w:p>
    <w:p w14:paraId="7CD692D1" w14:textId="77777777" w:rsidR="00D079AE" w:rsidRPr="00F20E19" w:rsidRDefault="00D079AE" w:rsidP="00090D30">
      <w:pPr>
        <w:widowControl w:val="0"/>
        <w:tabs>
          <w:tab w:val="left" w:pos="638"/>
        </w:tabs>
        <w:autoSpaceDE w:val="0"/>
        <w:autoSpaceDN w:val="0"/>
        <w:adjustRightInd w:val="0"/>
        <w:spacing w:before="120"/>
        <w:ind w:firstLine="336"/>
        <w:jc w:val="both"/>
        <w:rPr>
          <w:sz w:val="22"/>
          <w:szCs w:val="22"/>
        </w:rPr>
      </w:pPr>
      <w:r>
        <w:rPr>
          <w:b/>
          <w:bCs/>
          <w:sz w:val="22"/>
          <w:szCs w:val="22"/>
        </w:rPr>
        <w:t>4.</w:t>
      </w:r>
      <w:r>
        <w:rPr>
          <w:b/>
          <w:bCs/>
          <w:sz w:val="22"/>
          <w:szCs w:val="22"/>
        </w:rPr>
        <w:tab/>
      </w:r>
      <w:r>
        <w:rPr>
          <w:sz w:val="22"/>
          <w:szCs w:val="22"/>
        </w:rPr>
        <w:t xml:space="preserve">After section </w:t>
      </w:r>
      <w:r>
        <w:rPr>
          <w:smallCaps/>
          <w:sz w:val="22"/>
          <w:szCs w:val="22"/>
        </w:rPr>
        <w:t xml:space="preserve">10b </w:t>
      </w:r>
      <w:r>
        <w:rPr>
          <w:sz w:val="22"/>
          <w:szCs w:val="22"/>
        </w:rPr>
        <w:t>of the Principal Act the following section is inserted in Division 1 of Part III:</w:t>
      </w:r>
    </w:p>
    <w:p w14:paraId="4ECB6797"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Citizenship by descent through mother</w:t>
      </w:r>
    </w:p>
    <w:p w14:paraId="6C51FBDF" w14:textId="77777777" w:rsidR="00D079AE" w:rsidRPr="00F20E19" w:rsidRDefault="00D079AE" w:rsidP="00090D30">
      <w:pPr>
        <w:widowControl w:val="0"/>
        <w:autoSpaceDE w:val="0"/>
        <w:autoSpaceDN w:val="0"/>
        <w:adjustRightInd w:val="0"/>
        <w:spacing w:before="120"/>
        <w:ind w:firstLine="355"/>
        <w:jc w:val="both"/>
        <w:rPr>
          <w:sz w:val="22"/>
          <w:szCs w:val="22"/>
        </w:rPr>
      </w:pPr>
      <w:r>
        <w:rPr>
          <w:sz w:val="22"/>
          <w:szCs w:val="22"/>
        </w:rPr>
        <w:t>“11. (1) A person born outside Australia or New Guinea before 26 January 1949 may, within 5 years after the commencement of this section, apply to the Minister for his or her registration under this section as an Australian citizen if the person’s natural mother became an Australian citizen on 26 January 1949 and, before that day:</w:t>
      </w:r>
    </w:p>
    <w:p w14:paraId="2038890F" w14:textId="77777777" w:rsidR="00D079AE" w:rsidRPr="00F20E19" w:rsidRDefault="00D079AE" w:rsidP="00090D30">
      <w:pPr>
        <w:widowControl w:val="0"/>
        <w:tabs>
          <w:tab w:val="left" w:pos="802"/>
        </w:tabs>
        <w:autoSpaceDE w:val="0"/>
        <w:autoSpaceDN w:val="0"/>
        <w:adjustRightInd w:val="0"/>
        <w:spacing w:before="120"/>
        <w:ind w:left="408"/>
        <w:jc w:val="both"/>
        <w:rPr>
          <w:sz w:val="22"/>
          <w:szCs w:val="22"/>
        </w:rPr>
      </w:pPr>
      <w:r>
        <w:rPr>
          <w:sz w:val="22"/>
          <w:szCs w:val="22"/>
        </w:rPr>
        <w:t>(a)</w:t>
      </w:r>
      <w:r>
        <w:rPr>
          <w:sz w:val="22"/>
          <w:szCs w:val="22"/>
        </w:rPr>
        <w:tab/>
        <w:t>was born in Australia or New Guinea; or</w:t>
      </w:r>
    </w:p>
    <w:p w14:paraId="33EEBF6B" w14:textId="77777777" w:rsidR="00D079AE" w:rsidRPr="00F20E19" w:rsidRDefault="00D079AE" w:rsidP="00090D30">
      <w:pPr>
        <w:widowControl w:val="0"/>
        <w:tabs>
          <w:tab w:val="left" w:pos="802"/>
        </w:tabs>
        <w:autoSpaceDE w:val="0"/>
        <w:autoSpaceDN w:val="0"/>
        <w:adjustRightInd w:val="0"/>
        <w:spacing w:before="120"/>
        <w:ind w:left="408"/>
        <w:jc w:val="both"/>
        <w:rPr>
          <w:sz w:val="22"/>
          <w:szCs w:val="22"/>
        </w:rPr>
      </w:pPr>
      <w:r>
        <w:rPr>
          <w:sz w:val="22"/>
          <w:szCs w:val="22"/>
        </w:rPr>
        <w:t>(b)</w:t>
      </w:r>
      <w:r>
        <w:rPr>
          <w:sz w:val="22"/>
          <w:szCs w:val="22"/>
        </w:rPr>
        <w:tab/>
        <w:t xml:space="preserve">was </w:t>
      </w:r>
      <w:proofErr w:type="spellStart"/>
      <w:r>
        <w:rPr>
          <w:sz w:val="22"/>
          <w:szCs w:val="22"/>
        </w:rPr>
        <w:t>naturalised</w:t>
      </w:r>
      <w:proofErr w:type="spellEnd"/>
      <w:r>
        <w:rPr>
          <w:sz w:val="22"/>
          <w:szCs w:val="22"/>
        </w:rPr>
        <w:t xml:space="preserve"> in Australia.</w:t>
      </w:r>
    </w:p>
    <w:p w14:paraId="693243D6" w14:textId="77777777" w:rsidR="00D079AE" w:rsidRPr="00F20E19" w:rsidRDefault="00D079AE" w:rsidP="00090D30">
      <w:pPr>
        <w:widowControl w:val="0"/>
        <w:autoSpaceDE w:val="0"/>
        <w:autoSpaceDN w:val="0"/>
        <w:adjustRightInd w:val="0"/>
        <w:spacing w:before="120"/>
        <w:ind w:firstLine="350"/>
        <w:jc w:val="both"/>
        <w:rPr>
          <w:sz w:val="22"/>
          <w:szCs w:val="22"/>
        </w:rPr>
      </w:pPr>
      <w:r>
        <w:rPr>
          <w:sz w:val="22"/>
          <w:szCs w:val="22"/>
        </w:rPr>
        <w:t>“(2) The application may include any natural child of the applicant, regardless of the child’s age.</w:t>
      </w:r>
    </w:p>
    <w:p w14:paraId="48614C06" w14:textId="77777777" w:rsidR="00D079AE" w:rsidRPr="00F20E19" w:rsidRDefault="00D079AE" w:rsidP="00090D30">
      <w:pPr>
        <w:widowControl w:val="0"/>
        <w:autoSpaceDE w:val="0"/>
        <w:autoSpaceDN w:val="0"/>
        <w:adjustRightInd w:val="0"/>
        <w:spacing w:before="120"/>
        <w:ind w:firstLine="355"/>
        <w:jc w:val="both"/>
        <w:rPr>
          <w:sz w:val="22"/>
          <w:szCs w:val="22"/>
        </w:rPr>
      </w:pPr>
      <w:r>
        <w:rPr>
          <w:sz w:val="22"/>
          <w:szCs w:val="22"/>
        </w:rPr>
        <w:t>“(3) The Minister must register, in the prescribed manner, the applicant as an Australian citizen where the Minister is satisfied that the applicant:</w:t>
      </w:r>
    </w:p>
    <w:p w14:paraId="57AE4F81" w14:textId="77777777" w:rsidR="00D079AE" w:rsidRPr="00F20E19" w:rsidRDefault="00D079AE" w:rsidP="00090D30">
      <w:pPr>
        <w:widowControl w:val="0"/>
        <w:tabs>
          <w:tab w:val="left" w:pos="802"/>
        </w:tabs>
        <w:autoSpaceDE w:val="0"/>
        <w:autoSpaceDN w:val="0"/>
        <w:adjustRightInd w:val="0"/>
        <w:spacing w:before="120"/>
        <w:ind w:left="403"/>
        <w:jc w:val="both"/>
        <w:rPr>
          <w:sz w:val="22"/>
          <w:szCs w:val="22"/>
        </w:rPr>
      </w:pPr>
      <w:r>
        <w:rPr>
          <w:sz w:val="22"/>
          <w:szCs w:val="22"/>
        </w:rPr>
        <w:t>(a)</w:t>
      </w:r>
      <w:r>
        <w:rPr>
          <w:sz w:val="22"/>
          <w:szCs w:val="22"/>
        </w:rPr>
        <w:tab/>
        <w:t>was present in Australia for any time before 1 May 1987; and</w:t>
      </w:r>
    </w:p>
    <w:p w14:paraId="552CF316" w14:textId="77777777" w:rsidR="00D079AE" w:rsidRPr="00F20E19" w:rsidRDefault="00D079AE" w:rsidP="00090D30">
      <w:pPr>
        <w:widowControl w:val="0"/>
        <w:tabs>
          <w:tab w:val="left" w:pos="802"/>
        </w:tabs>
        <w:autoSpaceDE w:val="0"/>
        <w:autoSpaceDN w:val="0"/>
        <w:adjustRightInd w:val="0"/>
        <w:spacing w:before="120"/>
        <w:ind w:left="403"/>
        <w:jc w:val="both"/>
        <w:rPr>
          <w:sz w:val="22"/>
          <w:szCs w:val="22"/>
        </w:rPr>
      </w:pPr>
      <w:r>
        <w:rPr>
          <w:sz w:val="22"/>
          <w:szCs w:val="22"/>
        </w:rPr>
        <w:t>(b)</w:t>
      </w:r>
      <w:r>
        <w:rPr>
          <w:sz w:val="22"/>
          <w:szCs w:val="22"/>
        </w:rPr>
        <w:tab/>
        <w:t>is of good character.</w:t>
      </w:r>
    </w:p>
    <w:p w14:paraId="38766A0F" w14:textId="77777777" w:rsidR="00D079AE" w:rsidRPr="00F20E19" w:rsidRDefault="00D079AE" w:rsidP="00090D30">
      <w:pPr>
        <w:widowControl w:val="0"/>
        <w:autoSpaceDE w:val="0"/>
        <w:autoSpaceDN w:val="0"/>
        <w:adjustRightInd w:val="0"/>
        <w:spacing w:before="120"/>
        <w:ind w:firstLine="350"/>
        <w:jc w:val="both"/>
        <w:rPr>
          <w:sz w:val="22"/>
          <w:szCs w:val="22"/>
        </w:rPr>
      </w:pPr>
      <w:r>
        <w:rPr>
          <w:sz w:val="22"/>
          <w:szCs w:val="22"/>
        </w:rPr>
        <w:t>“(4) The applicant, and any natural child of the applicant included in the application, becomes an Australian citizen on the day on which the applicant is registered as an Australian citizen.</w:t>
      </w:r>
    </w:p>
    <w:p w14:paraId="31CF9DD6" w14:textId="77777777" w:rsidR="00D079AE" w:rsidRPr="00F20E19" w:rsidRDefault="00D079AE" w:rsidP="00090D30">
      <w:pPr>
        <w:widowControl w:val="0"/>
        <w:autoSpaceDE w:val="0"/>
        <w:autoSpaceDN w:val="0"/>
        <w:adjustRightInd w:val="0"/>
        <w:spacing w:before="120"/>
        <w:ind w:firstLine="350"/>
        <w:jc w:val="both"/>
        <w:rPr>
          <w:sz w:val="22"/>
          <w:szCs w:val="22"/>
        </w:rPr>
      </w:pPr>
      <w:r>
        <w:rPr>
          <w:sz w:val="22"/>
          <w:szCs w:val="22"/>
        </w:rPr>
        <w:t>“(5) If the Minister makes a decision under subsection (3) and the applicant is not to be registered as an Australian citizen, the Minister must cause to be served on the applicant, either personally or by post, a notice in writing setting out that decision.”.</w:t>
      </w:r>
    </w:p>
    <w:p w14:paraId="04E6F329" w14:textId="77777777" w:rsidR="00D079AE" w:rsidRPr="00F20E19" w:rsidRDefault="00D079AE" w:rsidP="00090D30">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Grant of Australian citizenship</w:t>
      </w:r>
    </w:p>
    <w:p w14:paraId="2B0B2C42" w14:textId="77777777" w:rsidR="00D079AE" w:rsidRPr="00F20E19" w:rsidRDefault="00D079AE" w:rsidP="00090D30">
      <w:pPr>
        <w:widowControl w:val="0"/>
        <w:tabs>
          <w:tab w:val="left" w:pos="629"/>
        </w:tabs>
        <w:autoSpaceDE w:val="0"/>
        <w:autoSpaceDN w:val="0"/>
        <w:adjustRightInd w:val="0"/>
        <w:spacing w:before="120"/>
        <w:ind w:firstLine="331"/>
        <w:jc w:val="both"/>
        <w:rPr>
          <w:sz w:val="22"/>
          <w:szCs w:val="22"/>
        </w:rPr>
      </w:pPr>
      <w:r>
        <w:rPr>
          <w:b/>
          <w:bCs/>
          <w:sz w:val="22"/>
          <w:szCs w:val="22"/>
        </w:rPr>
        <w:t>5.</w:t>
      </w:r>
      <w:r>
        <w:rPr>
          <w:b/>
          <w:bCs/>
          <w:sz w:val="22"/>
          <w:szCs w:val="22"/>
        </w:rPr>
        <w:tab/>
      </w:r>
      <w:r>
        <w:rPr>
          <w:sz w:val="22"/>
          <w:szCs w:val="22"/>
        </w:rPr>
        <w:t>Section 13 of the Principal Act is amended by omitting from subsection (10) all the words after “under this section,” and substituting the following:</w:t>
      </w:r>
    </w:p>
    <w:p w14:paraId="66ADBAF0" w14:textId="77777777" w:rsidR="00D079AE" w:rsidRPr="00F20E19" w:rsidRDefault="00D079AE" w:rsidP="00090D30">
      <w:pPr>
        <w:widowControl w:val="0"/>
        <w:autoSpaceDE w:val="0"/>
        <w:autoSpaceDN w:val="0"/>
        <w:adjustRightInd w:val="0"/>
        <w:spacing w:before="120"/>
        <w:jc w:val="both"/>
        <w:rPr>
          <w:sz w:val="22"/>
          <w:szCs w:val="22"/>
        </w:rPr>
      </w:pPr>
      <w:r>
        <w:rPr>
          <w:sz w:val="22"/>
          <w:szCs w:val="22"/>
        </w:rPr>
        <w:t>“the name of a child if, at the time of the application:</w:t>
      </w:r>
    </w:p>
    <w:p w14:paraId="31E976A9" w14:textId="77777777" w:rsidR="00D079AE" w:rsidRPr="00F20E19" w:rsidRDefault="00D079AE" w:rsidP="00090D30">
      <w:pPr>
        <w:widowControl w:val="0"/>
        <w:tabs>
          <w:tab w:val="left" w:pos="778"/>
        </w:tabs>
        <w:autoSpaceDE w:val="0"/>
        <w:autoSpaceDN w:val="0"/>
        <w:adjustRightInd w:val="0"/>
        <w:spacing w:before="120"/>
        <w:ind w:left="384"/>
        <w:jc w:val="both"/>
        <w:rPr>
          <w:sz w:val="22"/>
          <w:szCs w:val="22"/>
        </w:rPr>
      </w:pPr>
      <w:r>
        <w:rPr>
          <w:sz w:val="22"/>
          <w:szCs w:val="22"/>
        </w:rPr>
        <w:t>(a)</w:t>
      </w:r>
      <w:r>
        <w:rPr>
          <w:sz w:val="22"/>
          <w:szCs w:val="22"/>
        </w:rPr>
        <w:tab/>
        <w:t>the child was under 16; and</w:t>
      </w:r>
    </w:p>
    <w:p w14:paraId="6479F354" w14:textId="77777777" w:rsidR="00D079AE" w:rsidRPr="00F20E19" w:rsidRDefault="00D079AE" w:rsidP="00090D30">
      <w:pPr>
        <w:widowControl w:val="0"/>
        <w:tabs>
          <w:tab w:val="left" w:pos="778"/>
        </w:tabs>
        <w:autoSpaceDE w:val="0"/>
        <w:autoSpaceDN w:val="0"/>
        <w:adjustRightInd w:val="0"/>
        <w:spacing w:before="120"/>
        <w:ind w:left="384"/>
        <w:jc w:val="both"/>
        <w:rPr>
          <w:sz w:val="22"/>
          <w:szCs w:val="22"/>
        </w:rPr>
      </w:pPr>
      <w:r>
        <w:rPr>
          <w:sz w:val="22"/>
          <w:szCs w:val="22"/>
        </w:rPr>
        <w:t>(b)</w:t>
      </w:r>
      <w:r>
        <w:rPr>
          <w:sz w:val="22"/>
          <w:szCs w:val="22"/>
        </w:rPr>
        <w:tab/>
        <w:t>the grantee was a responsible parent of the child.”.</w:t>
      </w:r>
    </w:p>
    <w:p w14:paraId="3578D7BA" w14:textId="77777777" w:rsidR="00D079AE" w:rsidRPr="00F20E19" w:rsidRDefault="00D079AE" w:rsidP="00090D30">
      <w:pPr>
        <w:widowControl w:val="0"/>
        <w:tabs>
          <w:tab w:val="left" w:pos="629"/>
        </w:tabs>
        <w:autoSpaceDE w:val="0"/>
        <w:autoSpaceDN w:val="0"/>
        <w:adjustRightInd w:val="0"/>
        <w:spacing w:before="120"/>
        <w:ind w:firstLine="331"/>
        <w:jc w:val="both"/>
        <w:rPr>
          <w:sz w:val="22"/>
          <w:szCs w:val="22"/>
        </w:rPr>
      </w:pPr>
      <w:r>
        <w:rPr>
          <w:b/>
          <w:bCs/>
          <w:sz w:val="22"/>
          <w:szCs w:val="22"/>
        </w:rPr>
        <w:t>6.</w:t>
      </w:r>
      <w:r>
        <w:rPr>
          <w:b/>
          <w:bCs/>
          <w:sz w:val="22"/>
          <w:szCs w:val="22"/>
        </w:rPr>
        <w:tab/>
      </w:r>
      <w:r>
        <w:rPr>
          <w:sz w:val="22"/>
          <w:szCs w:val="22"/>
        </w:rPr>
        <w:t>Before section 32 of the Principal Act the following section is inserted in Part V:</w:t>
      </w:r>
    </w:p>
    <w:p w14:paraId="77F8B7DC"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Application to be dealt with only if on approved form and fee paid</w:t>
      </w:r>
    </w:p>
    <w:p w14:paraId="1BB26318" w14:textId="77777777" w:rsidR="00D079AE" w:rsidRPr="00F20E19" w:rsidRDefault="00D079AE" w:rsidP="00090D30">
      <w:pPr>
        <w:widowControl w:val="0"/>
        <w:autoSpaceDE w:val="0"/>
        <w:autoSpaceDN w:val="0"/>
        <w:adjustRightInd w:val="0"/>
        <w:spacing w:before="120"/>
        <w:ind w:firstLine="341"/>
        <w:jc w:val="both"/>
        <w:rPr>
          <w:sz w:val="22"/>
          <w:szCs w:val="22"/>
        </w:rPr>
      </w:pPr>
      <w:r>
        <w:rPr>
          <w:sz w:val="22"/>
          <w:szCs w:val="22"/>
        </w:rPr>
        <w:t>“31. The Minister must not consider, or otherwise deal with, an application under this Act unless:</w:t>
      </w:r>
    </w:p>
    <w:p w14:paraId="2590400D" w14:textId="77777777" w:rsidR="00D079AE" w:rsidRPr="00F20E19" w:rsidRDefault="00D079AE" w:rsidP="00090D30">
      <w:pPr>
        <w:widowControl w:val="0"/>
        <w:tabs>
          <w:tab w:val="left" w:pos="773"/>
        </w:tabs>
        <w:autoSpaceDE w:val="0"/>
        <w:autoSpaceDN w:val="0"/>
        <w:adjustRightInd w:val="0"/>
        <w:spacing w:before="120"/>
        <w:ind w:left="773" w:hanging="394"/>
        <w:jc w:val="both"/>
        <w:rPr>
          <w:sz w:val="22"/>
          <w:szCs w:val="22"/>
        </w:rPr>
      </w:pPr>
      <w:r>
        <w:rPr>
          <w:sz w:val="22"/>
          <w:szCs w:val="22"/>
        </w:rPr>
        <w:t>(a)</w:t>
      </w:r>
      <w:r>
        <w:rPr>
          <w:sz w:val="22"/>
          <w:szCs w:val="22"/>
        </w:rPr>
        <w:tab/>
        <w:t>the application is on an approved form and in accordance with the regulations; and</w:t>
      </w:r>
    </w:p>
    <w:p w14:paraId="29F5EC45" w14:textId="77777777" w:rsidR="00D079AE" w:rsidRPr="00F20E19" w:rsidRDefault="00D079AE" w:rsidP="00090D30">
      <w:pPr>
        <w:widowControl w:val="0"/>
        <w:tabs>
          <w:tab w:val="left" w:pos="773"/>
        </w:tabs>
        <w:autoSpaceDE w:val="0"/>
        <w:autoSpaceDN w:val="0"/>
        <w:adjustRightInd w:val="0"/>
        <w:spacing w:before="120"/>
        <w:ind w:left="379"/>
        <w:jc w:val="both"/>
        <w:rPr>
          <w:sz w:val="22"/>
          <w:szCs w:val="22"/>
        </w:rPr>
      </w:pPr>
      <w:r>
        <w:rPr>
          <w:sz w:val="22"/>
          <w:szCs w:val="22"/>
        </w:rPr>
        <w:t>(b)</w:t>
      </w:r>
      <w:r>
        <w:rPr>
          <w:sz w:val="22"/>
          <w:szCs w:val="22"/>
        </w:rPr>
        <w:tab/>
        <w:t>any fee payable in respect of the application is paid.”.</w:t>
      </w:r>
    </w:p>
    <w:p w14:paraId="5A75D9B9" w14:textId="77777777" w:rsidR="00D079AE" w:rsidRPr="00F20E19" w:rsidRDefault="00D079AE" w:rsidP="00090D30">
      <w:pPr>
        <w:widowControl w:val="0"/>
        <w:autoSpaceDE w:val="0"/>
        <w:autoSpaceDN w:val="0"/>
        <w:adjustRightInd w:val="0"/>
        <w:spacing w:before="120" w:after="60"/>
        <w:jc w:val="both"/>
        <w:rPr>
          <w:sz w:val="22"/>
          <w:szCs w:val="22"/>
        </w:rPr>
      </w:pPr>
      <w:r>
        <w:rPr>
          <w:b/>
          <w:bCs/>
          <w:sz w:val="22"/>
          <w:szCs w:val="22"/>
        </w:rPr>
        <w:t>Review of decisions</w:t>
      </w:r>
    </w:p>
    <w:p w14:paraId="762E730F" w14:textId="77777777" w:rsidR="00D079AE" w:rsidRPr="00F20E19" w:rsidRDefault="00D079AE" w:rsidP="00090D30">
      <w:pPr>
        <w:widowControl w:val="0"/>
        <w:tabs>
          <w:tab w:val="left" w:pos="629"/>
        </w:tabs>
        <w:autoSpaceDE w:val="0"/>
        <w:autoSpaceDN w:val="0"/>
        <w:adjustRightInd w:val="0"/>
        <w:spacing w:before="120"/>
        <w:ind w:firstLine="331"/>
        <w:jc w:val="both"/>
        <w:rPr>
          <w:sz w:val="22"/>
          <w:szCs w:val="22"/>
        </w:rPr>
      </w:pPr>
      <w:r>
        <w:rPr>
          <w:b/>
          <w:bCs/>
          <w:sz w:val="22"/>
          <w:szCs w:val="22"/>
        </w:rPr>
        <w:t>7.</w:t>
      </w:r>
      <w:r>
        <w:rPr>
          <w:b/>
          <w:bCs/>
          <w:sz w:val="22"/>
          <w:szCs w:val="22"/>
        </w:rPr>
        <w:tab/>
      </w:r>
      <w:r>
        <w:rPr>
          <w:sz w:val="22"/>
          <w:szCs w:val="22"/>
        </w:rPr>
        <w:t xml:space="preserve">Section </w:t>
      </w:r>
      <w:r>
        <w:rPr>
          <w:smallCaps/>
          <w:sz w:val="22"/>
          <w:szCs w:val="22"/>
        </w:rPr>
        <w:t xml:space="preserve">52a </w:t>
      </w:r>
      <w:r>
        <w:rPr>
          <w:sz w:val="22"/>
          <w:szCs w:val="22"/>
        </w:rPr>
        <w:t>of the Principal Act is amended by inserting before paragraph (1) (a) the following paragraph:</w:t>
      </w:r>
    </w:p>
    <w:p w14:paraId="6F00F305" w14:textId="77777777" w:rsidR="00D079AE" w:rsidRPr="00F20E19" w:rsidRDefault="00D079AE" w:rsidP="00090D30">
      <w:pPr>
        <w:widowControl w:val="0"/>
        <w:autoSpaceDE w:val="0"/>
        <w:autoSpaceDN w:val="0"/>
        <w:adjustRightInd w:val="0"/>
        <w:spacing w:before="120"/>
        <w:ind w:left="950" w:hanging="614"/>
        <w:jc w:val="both"/>
        <w:rPr>
          <w:sz w:val="22"/>
          <w:szCs w:val="22"/>
        </w:rPr>
      </w:pPr>
      <w:r>
        <w:rPr>
          <w:sz w:val="22"/>
          <w:szCs w:val="22"/>
        </w:rPr>
        <w:t>“(aa)</w:t>
      </w:r>
      <w:r w:rsidR="00C95D19">
        <w:rPr>
          <w:sz w:val="22"/>
          <w:szCs w:val="22"/>
        </w:rPr>
        <w:tab/>
      </w:r>
      <w:r>
        <w:rPr>
          <w:sz w:val="22"/>
          <w:szCs w:val="22"/>
        </w:rPr>
        <w:t>decisions of the Minister that the Minister is not satisfied as to the matters referred to in subsection 11 (3);”.</w:t>
      </w:r>
    </w:p>
    <w:p w14:paraId="1277E84D" w14:textId="77777777" w:rsidR="00C95D19" w:rsidRPr="00C95D19" w:rsidRDefault="00696458" w:rsidP="00090D30">
      <w:pPr>
        <w:widowControl w:val="0"/>
        <w:autoSpaceDE w:val="0"/>
        <w:autoSpaceDN w:val="0"/>
        <w:adjustRightInd w:val="0"/>
        <w:spacing w:before="120" w:after="60"/>
        <w:jc w:val="both"/>
        <w:rPr>
          <w:bCs/>
          <w:sz w:val="22"/>
          <w:szCs w:val="22"/>
        </w:rPr>
      </w:pPr>
      <w:r>
        <w:rPr>
          <w:bCs/>
          <w:sz w:val="22"/>
          <w:szCs w:val="22"/>
        </w:rPr>
        <w:pict w14:anchorId="23780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1D179197" w14:textId="77777777" w:rsidR="00D079AE" w:rsidRPr="00F20E19" w:rsidRDefault="00D079AE" w:rsidP="00C95D19">
      <w:pPr>
        <w:widowControl w:val="0"/>
        <w:autoSpaceDE w:val="0"/>
        <w:autoSpaceDN w:val="0"/>
        <w:adjustRightInd w:val="0"/>
        <w:spacing w:before="120"/>
        <w:jc w:val="center"/>
        <w:rPr>
          <w:sz w:val="22"/>
          <w:szCs w:val="22"/>
        </w:rPr>
      </w:pPr>
      <w:r>
        <w:rPr>
          <w:b/>
          <w:bCs/>
          <w:sz w:val="22"/>
          <w:szCs w:val="22"/>
        </w:rPr>
        <w:t>NOTE</w:t>
      </w:r>
    </w:p>
    <w:p w14:paraId="2C390980" w14:textId="5BD1EA1E" w:rsidR="00D079AE" w:rsidRPr="00696458" w:rsidRDefault="00D079AE" w:rsidP="00090D30">
      <w:pPr>
        <w:widowControl w:val="0"/>
        <w:autoSpaceDE w:val="0"/>
        <w:autoSpaceDN w:val="0"/>
        <w:adjustRightInd w:val="0"/>
        <w:spacing w:before="120"/>
        <w:ind w:left="274" w:hanging="274"/>
        <w:jc w:val="both"/>
        <w:rPr>
          <w:sz w:val="20"/>
          <w:szCs w:val="20"/>
        </w:rPr>
      </w:pPr>
      <w:r w:rsidRPr="00696458">
        <w:rPr>
          <w:sz w:val="20"/>
          <w:szCs w:val="20"/>
        </w:rPr>
        <w:t>1.</w:t>
      </w:r>
      <w:r w:rsidR="00C95D19" w:rsidRPr="00696458">
        <w:rPr>
          <w:sz w:val="20"/>
          <w:szCs w:val="20"/>
        </w:rPr>
        <w:tab/>
      </w:r>
      <w:r w:rsidRPr="00696458">
        <w:rPr>
          <w:sz w:val="20"/>
          <w:szCs w:val="20"/>
        </w:rPr>
        <w:t>No. 83, 1948, as amended. For previous amendments, see No. 58, 1950; No. 70, 1952; No. 85, 1953; No. 1, 1955; No. 63, 1958; No. 79, 1959; No. 82, 1960; No. 11, 1966; No. 11, 1967; No. 22, 1969; Nos. 99 and 216, 1973; No. 91, 1976; No. 61, 1981; No. 80, 1982; No. 84, 1983; No. 129, 1984; No. 65, 1985; No. 70, 1986; Nos. 86 and 141, 1987; and No. 59, 1989.</w:t>
      </w:r>
    </w:p>
    <w:p w14:paraId="232E3D75" w14:textId="77777777" w:rsidR="00D079AE" w:rsidRPr="00F20E19" w:rsidRDefault="00D079AE" w:rsidP="00090D30">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3FF86FB2" w14:textId="77777777" w:rsidR="00D079AE" w:rsidRPr="00F20E19" w:rsidRDefault="00D079AE" w:rsidP="00C95D19">
      <w:pPr>
        <w:widowControl w:val="0"/>
        <w:autoSpaceDE w:val="0"/>
        <w:autoSpaceDN w:val="0"/>
        <w:adjustRightInd w:val="0"/>
        <w:ind w:left="749"/>
        <w:jc w:val="both"/>
        <w:rPr>
          <w:sz w:val="22"/>
          <w:szCs w:val="22"/>
        </w:rPr>
      </w:pPr>
      <w:r>
        <w:rPr>
          <w:i/>
          <w:iCs/>
          <w:sz w:val="22"/>
          <w:szCs w:val="22"/>
        </w:rPr>
        <w:t>House of Representatives on 12 November 1990</w:t>
      </w:r>
    </w:p>
    <w:p w14:paraId="38E1D05D" w14:textId="77777777" w:rsidR="00614F83" w:rsidRDefault="00D079AE" w:rsidP="00C95D19">
      <w:pPr>
        <w:widowControl w:val="0"/>
        <w:autoSpaceDE w:val="0"/>
        <w:autoSpaceDN w:val="0"/>
        <w:adjustRightInd w:val="0"/>
        <w:ind w:left="749"/>
        <w:jc w:val="both"/>
      </w:pPr>
      <w:r>
        <w:rPr>
          <w:i/>
          <w:iCs/>
          <w:sz w:val="22"/>
          <w:szCs w:val="22"/>
        </w:rPr>
        <w:t>Senate on 15 November 1990</w:t>
      </w:r>
      <w:r w:rsidR="00464017">
        <w:rPr>
          <w:sz w:val="22"/>
          <w:szCs w:val="22"/>
        </w:rPr>
        <w:t>]</w:t>
      </w:r>
    </w:p>
    <w:sectPr w:rsidR="00614F83" w:rsidSect="0012771E">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2F582" w15:done="0"/>
  <w15:commentEx w15:paraId="7E14F494" w15:done="0"/>
  <w15:commentEx w15:paraId="09D99098" w15:done="0"/>
  <w15:commentEx w15:paraId="272BF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2F582" w16cid:durableId="206536BB"/>
  <w16cid:commentId w16cid:paraId="7E14F494" w16cid:durableId="206536CA"/>
  <w16cid:commentId w16cid:paraId="09D99098" w16cid:durableId="206536ED"/>
  <w16cid:commentId w16cid:paraId="272BFFF3" w16cid:durableId="206537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C30C5" w14:textId="77777777" w:rsidR="00486D89" w:rsidRDefault="00486D89">
      <w:r>
        <w:separator/>
      </w:r>
    </w:p>
  </w:endnote>
  <w:endnote w:type="continuationSeparator" w:id="0">
    <w:p w14:paraId="06A7F2D5" w14:textId="77777777" w:rsidR="00486D89" w:rsidRDefault="0048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D1DB" w14:textId="77777777" w:rsidR="00486D89" w:rsidRDefault="00486D89">
      <w:r>
        <w:separator/>
      </w:r>
    </w:p>
  </w:footnote>
  <w:footnote w:type="continuationSeparator" w:id="0">
    <w:p w14:paraId="768FE928" w14:textId="77777777" w:rsidR="00486D89" w:rsidRDefault="0048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AB445" w14:textId="77777777" w:rsidR="002342FA" w:rsidRDefault="002342FA" w:rsidP="00C95D19">
    <w:pPr>
      <w:pStyle w:val="Header"/>
      <w:jc w:val="center"/>
    </w:pPr>
    <w:r>
      <w:rPr>
        <w:i/>
        <w:iCs/>
        <w:sz w:val="22"/>
        <w:szCs w:val="22"/>
      </w:rPr>
      <w:t>Australian Citizenship Amendment No. 105,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AE"/>
    <w:rsid w:val="00090D30"/>
    <w:rsid w:val="0012771E"/>
    <w:rsid w:val="002342FA"/>
    <w:rsid w:val="002B4F62"/>
    <w:rsid w:val="00464017"/>
    <w:rsid w:val="00486D89"/>
    <w:rsid w:val="005C5C50"/>
    <w:rsid w:val="00614F83"/>
    <w:rsid w:val="00696458"/>
    <w:rsid w:val="009C508C"/>
    <w:rsid w:val="00C95D19"/>
    <w:rsid w:val="00D079AE"/>
    <w:rsid w:val="00E95F62"/>
    <w:rsid w:val="00FF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DE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D19"/>
    <w:pPr>
      <w:tabs>
        <w:tab w:val="center" w:pos="4320"/>
        <w:tab w:val="right" w:pos="8640"/>
      </w:tabs>
    </w:pPr>
  </w:style>
  <w:style w:type="paragraph" w:styleId="Footer">
    <w:name w:val="footer"/>
    <w:basedOn w:val="Normal"/>
    <w:rsid w:val="00C95D19"/>
    <w:pPr>
      <w:tabs>
        <w:tab w:val="center" w:pos="4320"/>
        <w:tab w:val="right" w:pos="8640"/>
      </w:tabs>
    </w:pPr>
  </w:style>
  <w:style w:type="paragraph" w:styleId="BalloonText">
    <w:name w:val="Balloon Text"/>
    <w:basedOn w:val="Normal"/>
    <w:link w:val="BalloonTextChar"/>
    <w:rsid w:val="00FF39C0"/>
    <w:rPr>
      <w:rFonts w:ascii="Tahoma" w:hAnsi="Tahoma" w:cs="Tahoma"/>
      <w:sz w:val="16"/>
      <w:szCs w:val="16"/>
    </w:rPr>
  </w:style>
  <w:style w:type="character" w:customStyle="1" w:styleId="BalloonTextChar">
    <w:name w:val="Balloon Text Char"/>
    <w:basedOn w:val="DefaultParagraphFont"/>
    <w:link w:val="BalloonText"/>
    <w:rsid w:val="00FF39C0"/>
    <w:rPr>
      <w:rFonts w:ascii="Tahoma" w:hAnsi="Tahoma" w:cs="Tahoma"/>
      <w:sz w:val="16"/>
      <w:szCs w:val="16"/>
    </w:rPr>
  </w:style>
  <w:style w:type="character" w:styleId="CommentReference">
    <w:name w:val="annotation reference"/>
    <w:basedOn w:val="DefaultParagraphFont"/>
    <w:semiHidden/>
    <w:unhideWhenUsed/>
    <w:rsid w:val="002B4F62"/>
    <w:rPr>
      <w:sz w:val="16"/>
      <w:szCs w:val="16"/>
    </w:rPr>
  </w:style>
  <w:style w:type="paragraph" w:styleId="CommentText">
    <w:name w:val="annotation text"/>
    <w:basedOn w:val="Normal"/>
    <w:link w:val="CommentTextChar"/>
    <w:semiHidden/>
    <w:unhideWhenUsed/>
    <w:rsid w:val="002B4F62"/>
    <w:rPr>
      <w:sz w:val="20"/>
      <w:szCs w:val="20"/>
    </w:rPr>
  </w:style>
  <w:style w:type="character" w:customStyle="1" w:styleId="CommentTextChar">
    <w:name w:val="Comment Text Char"/>
    <w:basedOn w:val="DefaultParagraphFont"/>
    <w:link w:val="CommentText"/>
    <w:semiHidden/>
    <w:rsid w:val="002B4F62"/>
  </w:style>
  <w:style w:type="paragraph" w:styleId="CommentSubject">
    <w:name w:val="annotation subject"/>
    <w:basedOn w:val="CommentText"/>
    <w:next w:val="CommentText"/>
    <w:link w:val="CommentSubjectChar"/>
    <w:semiHidden/>
    <w:unhideWhenUsed/>
    <w:rsid w:val="002B4F62"/>
    <w:rPr>
      <w:b/>
      <w:bCs/>
    </w:rPr>
  </w:style>
  <w:style w:type="character" w:customStyle="1" w:styleId="CommentSubjectChar">
    <w:name w:val="Comment Subject Char"/>
    <w:basedOn w:val="CommentTextChar"/>
    <w:link w:val="CommentSubject"/>
    <w:semiHidden/>
    <w:rsid w:val="002B4F62"/>
    <w:rPr>
      <w:b/>
      <w:bCs/>
    </w:rPr>
  </w:style>
  <w:style w:type="paragraph" w:styleId="Revision">
    <w:name w:val="Revision"/>
    <w:hidden/>
    <w:uiPriority w:val="99"/>
    <w:semiHidden/>
    <w:rsid w:val="006964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D19"/>
    <w:pPr>
      <w:tabs>
        <w:tab w:val="center" w:pos="4320"/>
        <w:tab w:val="right" w:pos="8640"/>
      </w:tabs>
    </w:pPr>
  </w:style>
  <w:style w:type="paragraph" w:styleId="Footer">
    <w:name w:val="footer"/>
    <w:basedOn w:val="Normal"/>
    <w:rsid w:val="00C95D19"/>
    <w:pPr>
      <w:tabs>
        <w:tab w:val="center" w:pos="4320"/>
        <w:tab w:val="right" w:pos="8640"/>
      </w:tabs>
    </w:pPr>
  </w:style>
  <w:style w:type="paragraph" w:styleId="BalloonText">
    <w:name w:val="Balloon Text"/>
    <w:basedOn w:val="Normal"/>
    <w:link w:val="BalloonTextChar"/>
    <w:rsid w:val="00FF39C0"/>
    <w:rPr>
      <w:rFonts w:ascii="Tahoma" w:hAnsi="Tahoma" w:cs="Tahoma"/>
      <w:sz w:val="16"/>
      <w:szCs w:val="16"/>
    </w:rPr>
  </w:style>
  <w:style w:type="character" w:customStyle="1" w:styleId="BalloonTextChar">
    <w:name w:val="Balloon Text Char"/>
    <w:basedOn w:val="DefaultParagraphFont"/>
    <w:link w:val="BalloonText"/>
    <w:rsid w:val="00FF39C0"/>
    <w:rPr>
      <w:rFonts w:ascii="Tahoma" w:hAnsi="Tahoma" w:cs="Tahoma"/>
      <w:sz w:val="16"/>
      <w:szCs w:val="16"/>
    </w:rPr>
  </w:style>
  <w:style w:type="character" w:styleId="CommentReference">
    <w:name w:val="annotation reference"/>
    <w:basedOn w:val="DefaultParagraphFont"/>
    <w:semiHidden/>
    <w:unhideWhenUsed/>
    <w:rsid w:val="002B4F62"/>
    <w:rPr>
      <w:sz w:val="16"/>
      <w:szCs w:val="16"/>
    </w:rPr>
  </w:style>
  <w:style w:type="paragraph" w:styleId="CommentText">
    <w:name w:val="annotation text"/>
    <w:basedOn w:val="Normal"/>
    <w:link w:val="CommentTextChar"/>
    <w:semiHidden/>
    <w:unhideWhenUsed/>
    <w:rsid w:val="002B4F62"/>
    <w:rPr>
      <w:sz w:val="20"/>
      <w:szCs w:val="20"/>
    </w:rPr>
  </w:style>
  <w:style w:type="character" w:customStyle="1" w:styleId="CommentTextChar">
    <w:name w:val="Comment Text Char"/>
    <w:basedOn w:val="DefaultParagraphFont"/>
    <w:link w:val="CommentText"/>
    <w:semiHidden/>
    <w:rsid w:val="002B4F62"/>
  </w:style>
  <w:style w:type="paragraph" w:styleId="CommentSubject">
    <w:name w:val="annotation subject"/>
    <w:basedOn w:val="CommentText"/>
    <w:next w:val="CommentText"/>
    <w:link w:val="CommentSubjectChar"/>
    <w:semiHidden/>
    <w:unhideWhenUsed/>
    <w:rsid w:val="002B4F62"/>
    <w:rPr>
      <w:b/>
      <w:bCs/>
    </w:rPr>
  </w:style>
  <w:style w:type="character" w:customStyle="1" w:styleId="CommentSubjectChar">
    <w:name w:val="Comment Subject Char"/>
    <w:basedOn w:val="CommentTextChar"/>
    <w:link w:val="CommentSubject"/>
    <w:semiHidden/>
    <w:rsid w:val="002B4F62"/>
    <w:rPr>
      <w:b/>
      <w:bCs/>
    </w:rPr>
  </w:style>
  <w:style w:type="paragraph" w:styleId="Revision">
    <w:name w:val="Revision"/>
    <w:hidden/>
    <w:uiPriority w:val="99"/>
    <w:semiHidden/>
    <w:rsid w:val="006964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2019-04-19T20:14:00Z</dcterms:created>
  <dcterms:modified xsi:type="dcterms:W3CDTF">2019-10-09T04:44:00Z</dcterms:modified>
</cp:coreProperties>
</file>