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4594E" w14:textId="77777777" w:rsidR="00160A95" w:rsidRPr="00177B6D" w:rsidRDefault="00160A95" w:rsidP="00160A95">
      <w:r w:rsidRPr="00177B6D">
        <w:object w:dxaOrig="2146" w:dyaOrig="1561" w14:anchorId="3FE7AE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pt;height:81pt" o:ole="" fillcolor="window">
            <v:imagedata r:id="rId8" o:title=""/>
          </v:shape>
          <o:OLEObject Type="Embed" ProgID="Word.Picture.8" ShapeID="_x0000_i1025" DrawAspect="Content" ObjectID="_1805712424" r:id="rId9"/>
        </w:object>
      </w:r>
    </w:p>
    <w:p w14:paraId="55C2FABF" w14:textId="77777777" w:rsidR="00160A95" w:rsidRPr="00177B6D" w:rsidRDefault="00160A95" w:rsidP="00160A95">
      <w:pPr>
        <w:pStyle w:val="ShortT"/>
        <w:spacing w:before="240"/>
      </w:pPr>
      <w:r w:rsidRPr="00177B6D">
        <w:t>Workplace Gender Equality Act 2012</w:t>
      </w:r>
    </w:p>
    <w:p w14:paraId="341A636E" w14:textId="77777777" w:rsidR="00160A95" w:rsidRPr="00177B6D" w:rsidRDefault="00160A95" w:rsidP="00160A95">
      <w:pPr>
        <w:pStyle w:val="CompiledActNo"/>
        <w:spacing w:before="240"/>
      </w:pPr>
      <w:r w:rsidRPr="00177B6D">
        <w:t>No. 91, 1986</w:t>
      </w:r>
    </w:p>
    <w:p w14:paraId="736537F8" w14:textId="7D77CB18" w:rsidR="00160A95" w:rsidRPr="00177B6D" w:rsidRDefault="00160A95" w:rsidP="00160A95">
      <w:pPr>
        <w:spacing w:before="1000"/>
        <w:rPr>
          <w:rFonts w:cs="Arial"/>
          <w:b/>
          <w:sz w:val="32"/>
          <w:szCs w:val="32"/>
        </w:rPr>
      </w:pPr>
      <w:r w:rsidRPr="00177B6D">
        <w:rPr>
          <w:rFonts w:cs="Arial"/>
          <w:b/>
          <w:sz w:val="32"/>
          <w:szCs w:val="32"/>
        </w:rPr>
        <w:t xml:space="preserve">Compilation No. </w:t>
      </w:r>
      <w:r w:rsidRPr="00177B6D">
        <w:rPr>
          <w:rFonts w:cs="Arial"/>
          <w:b/>
          <w:sz w:val="32"/>
          <w:szCs w:val="32"/>
        </w:rPr>
        <w:fldChar w:fldCharType="begin"/>
      </w:r>
      <w:r w:rsidRPr="00177B6D">
        <w:rPr>
          <w:rFonts w:cs="Arial"/>
          <w:b/>
          <w:sz w:val="32"/>
          <w:szCs w:val="32"/>
        </w:rPr>
        <w:instrText xml:space="preserve"> DOCPROPERTY  CompilationNumber </w:instrText>
      </w:r>
      <w:r w:rsidRPr="00177B6D">
        <w:rPr>
          <w:rFonts w:cs="Arial"/>
          <w:b/>
          <w:sz w:val="32"/>
          <w:szCs w:val="32"/>
        </w:rPr>
        <w:fldChar w:fldCharType="separate"/>
      </w:r>
      <w:r w:rsidR="006942DB" w:rsidRPr="00177B6D">
        <w:rPr>
          <w:rFonts w:cs="Arial"/>
          <w:b/>
          <w:sz w:val="32"/>
          <w:szCs w:val="32"/>
        </w:rPr>
        <w:t>23</w:t>
      </w:r>
      <w:r w:rsidRPr="00177B6D">
        <w:rPr>
          <w:rFonts w:cs="Arial"/>
          <w:b/>
          <w:sz w:val="32"/>
          <w:szCs w:val="32"/>
        </w:rPr>
        <w:fldChar w:fldCharType="end"/>
      </w:r>
    </w:p>
    <w:p w14:paraId="0D210A1A" w14:textId="61A3440F" w:rsidR="00160A95" w:rsidRPr="00177B6D" w:rsidRDefault="00160A95" w:rsidP="007005E6">
      <w:pPr>
        <w:tabs>
          <w:tab w:val="left" w:pos="2551"/>
        </w:tabs>
        <w:spacing w:before="480"/>
        <w:rPr>
          <w:rFonts w:cs="Arial"/>
          <w:sz w:val="24"/>
        </w:rPr>
      </w:pPr>
      <w:r w:rsidRPr="00177B6D">
        <w:rPr>
          <w:rFonts w:cs="Arial"/>
          <w:b/>
          <w:sz w:val="24"/>
        </w:rPr>
        <w:t>Compilation date:</w:t>
      </w:r>
      <w:r w:rsidRPr="00177B6D">
        <w:rPr>
          <w:rFonts w:cs="Arial"/>
          <w:b/>
          <w:sz w:val="24"/>
        </w:rPr>
        <w:tab/>
      </w:r>
      <w:r w:rsidRPr="00177B6D">
        <w:rPr>
          <w:rFonts w:cs="Arial"/>
          <w:sz w:val="24"/>
        </w:rPr>
        <w:fldChar w:fldCharType="begin"/>
      </w:r>
      <w:r w:rsidR="007005E6" w:rsidRPr="00177B6D">
        <w:rPr>
          <w:rFonts w:cs="Arial"/>
          <w:sz w:val="24"/>
        </w:rPr>
        <w:instrText>DOCPROPERTY StartDate \@ "d MMMM yyyy" \* MERGEFORMAT</w:instrText>
      </w:r>
      <w:r w:rsidRPr="00177B6D">
        <w:rPr>
          <w:rFonts w:cs="Arial"/>
          <w:sz w:val="24"/>
        </w:rPr>
        <w:fldChar w:fldCharType="separate"/>
      </w:r>
      <w:r w:rsidR="004A520A">
        <w:rPr>
          <w:rFonts w:cs="Arial"/>
          <w:bCs/>
          <w:sz w:val="24"/>
        </w:rPr>
        <w:t>4 April</w:t>
      </w:r>
      <w:r w:rsidR="006942DB" w:rsidRPr="00177B6D">
        <w:rPr>
          <w:rFonts w:cs="Arial"/>
          <w:sz w:val="24"/>
        </w:rPr>
        <w:t xml:space="preserve"> 2025</w:t>
      </w:r>
      <w:r w:rsidRPr="00177B6D">
        <w:rPr>
          <w:rFonts w:cs="Arial"/>
          <w:sz w:val="24"/>
        </w:rPr>
        <w:fldChar w:fldCharType="end"/>
      </w:r>
    </w:p>
    <w:p w14:paraId="478D353A" w14:textId="378FCE46" w:rsidR="00160A95" w:rsidRPr="00177B6D" w:rsidRDefault="007005E6" w:rsidP="007005E6">
      <w:pPr>
        <w:tabs>
          <w:tab w:val="left" w:pos="2551"/>
        </w:tabs>
        <w:spacing w:before="240" w:after="240"/>
        <w:ind w:left="2551" w:hanging="2551"/>
        <w:rPr>
          <w:rFonts w:cs="Arial"/>
          <w:sz w:val="24"/>
        </w:rPr>
      </w:pPr>
      <w:r w:rsidRPr="00177B6D">
        <w:rPr>
          <w:rFonts w:cs="Arial"/>
          <w:b/>
          <w:sz w:val="24"/>
        </w:rPr>
        <w:t>Includes amendments:</w:t>
      </w:r>
      <w:r w:rsidR="00160A95" w:rsidRPr="00177B6D">
        <w:rPr>
          <w:rFonts w:cs="Arial"/>
          <w:b/>
          <w:sz w:val="24"/>
        </w:rPr>
        <w:tab/>
      </w:r>
      <w:r w:rsidR="00160A95" w:rsidRPr="00177B6D">
        <w:rPr>
          <w:rFonts w:cs="Arial"/>
          <w:sz w:val="24"/>
        </w:rPr>
        <w:fldChar w:fldCharType="begin"/>
      </w:r>
      <w:r w:rsidR="00160A95" w:rsidRPr="00177B6D">
        <w:rPr>
          <w:rFonts w:cs="Arial"/>
          <w:sz w:val="24"/>
        </w:rPr>
        <w:instrText xml:space="preserve"> DOCPROPERTY IncludesUpTo </w:instrText>
      </w:r>
      <w:r w:rsidR="00160A95" w:rsidRPr="00177B6D">
        <w:rPr>
          <w:rFonts w:cs="Arial"/>
          <w:sz w:val="24"/>
        </w:rPr>
        <w:fldChar w:fldCharType="separate"/>
      </w:r>
      <w:r w:rsidR="006942DB" w:rsidRPr="00177B6D">
        <w:rPr>
          <w:rFonts w:cs="Arial"/>
          <w:sz w:val="24"/>
        </w:rPr>
        <w:t>Act No. 25, 2025</w:t>
      </w:r>
      <w:r w:rsidR="00160A95" w:rsidRPr="00177B6D">
        <w:rPr>
          <w:rFonts w:cs="Arial"/>
          <w:sz w:val="24"/>
        </w:rPr>
        <w:fldChar w:fldCharType="end"/>
      </w:r>
    </w:p>
    <w:p w14:paraId="1D649C7C" w14:textId="77777777" w:rsidR="00160A95" w:rsidRPr="00177B6D" w:rsidRDefault="00160A95" w:rsidP="00160A95">
      <w:pPr>
        <w:pageBreakBefore/>
        <w:rPr>
          <w:rFonts w:cs="Arial"/>
          <w:b/>
          <w:sz w:val="32"/>
          <w:szCs w:val="32"/>
        </w:rPr>
      </w:pPr>
      <w:r w:rsidRPr="00177B6D">
        <w:rPr>
          <w:rFonts w:cs="Arial"/>
          <w:b/>
          <w:sz w:val="32"/>
          <w:szCs w:val="32"/>
        </w:rPr>
        <w:lastRenderedPageBreak/>
        <w:t>About this compilation</w:t>
      </w:r>
    </w:p>
    <w:p w14:paraId="37D3F2CD" w14:textId="77777777" w:rsidR="00160A95" w:rsidRPr="00177B6D" w:rsidRDefault="00160A95" w:rsidP="00160A95">
      <w:pPr>
        <w:spacing w:before="240"/>
        <w:rPr>
          <w:rFonts w:cs="Arial"/>
        </w:rPr>
      </w:pPr>
      <w:r w:rsidRPr="00177B6D">
        <w:rPr>
          <w:rFonts w:cs="Arial"/>
          <w:b/>
          <w:szCs w:val="22"/>
        </w:rPr>
        <w:t>This compilation</w:t>
      </w:r>
    </w:p>
    <w:p w14:paraId="59166D53" w14:textId="52B0B54D" w:rsidR="00160A95" w:rsidRPr="00177B6D" w:rsidRDefault="00160A95" w:rsidP="00160A95">
      <w:pPr>
        <w:spacing w:before="120" w:after="120"/>
        <w:rPr>
          <w:rFonts w:cs="Arial"/>
          <w:szCs w:val="22"/>
        </w:rPr>
      </w:pPr>
      <w:r w:rsidRPr="00177B6D">
        <w:rPr>
          <w:rFonts w:cs="Arial"/>
          <w:szCs w:val="22"/>
        </w:rPr>
        <w:t xml:space="preserve">This is a compilation of the </w:t>
      </w:r>
      <w:r w:rsidRPr="00177B6D">
        <w:rPr>
          <w:rFonts w:cs="Arial"/>
          <w:i/>
          <w:szCs w:val="22"/>
        </w:rPr>
        <w:fldChar w:fldCharType="begin"/>
      </w:r>
      <w:r w:rsidRPr="00177B6D">
        <w:rPr>
          <w:rFonts w:cs="Arial"/>
          <w:i/>
          <w:szCs w:val="22"/>
        </w:rPr>
        <w:instrText xml:space="preserve"> STYLEREF  ShortT </w:instrText>
      </w:r>
      <w:r w:rsidRPr="00177B6D">
        <w:rPr>
          <w:rFonts w:cs="Arial"/>
          <w:i/>
          <w:szCs w:val="22"/>
        </w:rPr>
        <w:fldChar w:fldCharType="separate"/>
      </w:r>
      <w:r w:rsidR="00785161">
        <w:rPr>
          <w:rFonts w:cs="Arial"/>
          <w:i/>
          <w:noProof/>
          <w:szCs w:val="22"/>
        </w:rPr>
        <w:t>Workplace Gender Equality Act 2012</w:t>
      </w:r>
      <w:r w:rsidRPr="00177B6D">
        <w:rPr>
          <w:rFonts w:cs="Arial"/>
          <w:i/>
          <w:szCs w:val="22"/>
        </w:rPr>
        <w:fldChar w:fldCharType="end"/>
      </w:r>
      <w:r w:rsidRPr="00177B6D">
        <w:rPr>
          <w:rFonts w:cs="Arial"/>
          <w:szCs w:val="22"/>
        </w:rPr>
        <w:t xml:space="preserve"> that shows the text of the law as amended and in force on </w:t>
      </w:r>
      <w:r w:rsidRPr="00177B6D">
        <w:rPr>
          <w:rFonts w:cs="Arial"/>
          <w:szCs w:val="22"/>
        </w:rPr>
        <w:fldChar w:fldCharType="begin"/>
      </w:r>
      <w:r w:rsidR="007005E6" w:rsidRPr="00177B6D">
        <w:rPr>
          <w:rFonts w:cs="Arial"/>
          <w:szCs w:val="22"/>
        </w:rPr>
        <w:instrText>DOCPROPERTY StartDate \@ "d MMMM yyyy" \* MERGEFORMAT</w:instrText>
      </w:r>
      <w:r w:rsidRPr="00177B6D">
        <w:rPr>
          <w:rFonts w:cs="Arial"/>
          <w:szCs w:val="3276"/>
        </w:rPr>
        <w:fldChar w:fldCharType="separate"/>
      </w:r>
      <w:r w:rsidR="004A520A">
        <w:rPr>
          <w:rFonts w:cs="Arial"/>
          <w:szCs w:val="22"/>
        </w:rPr>
        <w:t>4 April</w:t>
      </w:r>
      <w:r w:rsidR="006942DB" w:rsidRPr="00177B6D">
        <w:rPr>
          <w:rFonts w:cs="Arial"/>
          <w:szCs w:val="22"/>
        </w:rPr>
        <w:t xml:space="preserve"> 2025</w:t>
      </w:r>
      <w:r w:rsidRPr="00177B6D">
        <w:rPr>
          <w:rFonts w:cs="Arial"/>
          <w:szCs w:val="22"/>
        </w:rPr>
        <w:fldChar w:fldCharType="end"/>
      </w:r>
      <w:r w:rsidRPr="00177B6D">
        <w:rPr>
          <w:rFonts w:cs="Arial"/>
          <w:szCs w:val="22"/>
        </w:rPr>
        <w:t xml:space="preserve"> (the </w:t>
      </w:r>
      <w:r w:rsidRPr="00177B6D">
        <w:rPr>
          <w:rFonts w:cs="Arial"/>
          <w:b/>
          <w:i/>
          <w:szCs w:val="22"/>
        </w:rPr>
        <w:t>compilation date</w:t>
      </w:r>
      <w:r w:rsidRPr="00177B6D">
        <w:rPr>
          <w:rFonts w:cs="Arial"/>
          <w:szCs w:val="22"/>
        </w:rPr>
        <w:t>).</w:t>
      </w:r>
    </w:p>
    <w:p w14:paraId="4C6CF499" w14:textId="77777777" w:rsidR="00160A95" w:rsidRPr="00177B6D" w:rsidRDefault="00160A95" w:rsidP="00160A95">
      <w:pPr>
        <w:spacing w:after="120"/>
        <w:rPr>
          <w:rFonts w:cs="Arial"/>
          <w:szCs w:val="22"/>
        </w:rPr>
      </w:pPr>
      <w:r w:rsidRPr="00177B6D">
        <w:rPr>
          <w:rFonts w:cs="Arial"/>
          <w:szCs w:val="22"/>
        </w:rPr>
        <w:t xml:space="preserve">The notes at the end of this compilation (the </w:t>
      </w:r>
      <w:r w:rsidRPr="00177B6D">
        <w:rPr>
          <w:rFonts w:cs="Arial"/>
          <w:b/>
          <w:i/>
          <w:szCs w:val="22"/>
        </w:rPr>
        <w:t>endnotes</w:t>
      </w:r>
      <w:r w:rsidRPr="00177B6D">
        <w:rPr>
          <w:rFonts w:cs="Arial"/>
          <w:szCs w:val="22"/>
        </w:rPr>
        <w:t>) include information about amending laws and the amendment history of provisions of the compiled law.</w:t>
      </w:r>
    </w:p>
    <w:p w14:paraId="0AF07D8F" w14:textId="77777777" w:rsidR="00160A95" w:rsidRPr="00177B6D" w:rsidRDefault="00160A95" w:rsidP="00160A95">
      <w:pPr>
        <w:tabs>
          <w:tab w:val="left" w:pos="5640"/>
        </w:tabs>
        <w:spacing w:before="120" w:after="120"/>
        <w:rPr>
          <w:rFonts w:cs="Arial"/>
          <w:b/>
          <w:szCs w:val="22"/>
        </w:rPr>
      </w:pPr>
      <w:r w:rsidRPr="00177B6D">
        <w:rPr>
          <w:rFonts w:cs="Arial"/>
          <w:b/>
          <w:szCs w:val="22"/>
        </w:rPr>
        <w:t>Uncommenced amendments</w:t>
      </w:r>
    </w:p>
    <w:p w14:paraId="470D809C" w14:textId="70189E99" w:rsidR="00160A95" w:rsidRPr="00177B6D" w:rsidRDefault="00160A95" w:rsidP="00160A95">
      <w:pPr>
        <w:spacing w:after="120"/>
        <w:rPr>
          <w:rFonts w:cs="Arial"/>
          <w:szCs w:val="22"/>
        </w:rPr>
      </w:pPr>
      <w:r w:rsidRPr="00177B6D">
        <w:rPr>
          <w:rFonts w:cs="Arial"/>
          <w:szCs w:val="22"/>
        </w:rPr>
        <w:t xml:space="preserve">The effect of uncommenced amendments is not shown in the text of the compiled law. Any uncommenced amendments affecting the law are accessible on the </w:t>
      </w:r>
      <w:r w:rsidR="007005E6" w:rsidRPr="00177B6D">
        <w:rPr>
          <w:rFonts w:cs="Arial"/>
          <w:szCs w:val="22"/>
        </w:rPr>
        <w:t>Register</w:t>
      </w:r>
      <w:r w:rsidRPr="00177B6D">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14:paraId="6C0BBA35" w14:textId="77777777" w:rsidR="00160A95" w:rsidRPr="00177B6D" w:rsidRDefault="00160A95" w:rsidP="00160A95">
      <w:pPr>
        <w:spacing w:before="120" w:after="120"/>
        <w:rPr>
          <w:rFonts w:cs="Arial"/>
          <w:b/>
          <w:szCs w:val="22"/>
        </w:rPr>
      </w:pPr>
      <w:r w:rsidRPr="00177B6D">
        <w:rPr>
          <w:rFonts w:cs="Arial"/>
          <w:b/>
          <w:szCs w:val="22"/>
        </w:rPr>
        <w:t>Application, saving and transitional provisions for provisions and amendments</w:t>
      </w:r>
    </w:p>
    <w:p w14:paraId="18F385C8" w14:textId="77777777" w:rsidR="00160A95" w:rsidRPr="00177B6D" w:rsidRDefault="00160A95" w:rsidP="00160A95">
      <w:pPr>
        <w:spacing w:after="120"/>
        <w:rPr>
          <w:rFonts w:cs="Arial"/>
          <w:szCs w:val="22"/>
        </w:rPr>
      </w:pPr>
      <w:r w:rsidRPr="00177B6D">
        <w:rPr>
          <w:rFonts w:cs="Arial"/>
          <w:szCs w:val="22"/>
        </w:rPr>
        <w:t>If the operation of a provision or amendment of the compiled law is affected by an application, saving or transitional provision that is not included in this compilation, details are included in the endnotes.</w:t>
      </w:r>
    </w:p>
    <w:p w14:paraId="51600D51" w14:textId="77777777" w:rsidR="00160A95" w:rsidRPr="00177B6D" w:rsidRDefault="00160A95" w:rsidP="00160A95">
      <w:pPr>
        <w:spacing w:after="120"/>
        <w:rPr>
          <w:rFonts w:cs="Arial"/>
          <w:b/>
          <w:szCs w:val="22"/>
        </w:rPr>
      </w:pPr>
      <w:r w:rsidRPr="00177B6D">
        <w:rPr>
          <w:rFonts w:cs="Arial"/>
          <w:b/>
          <w:szCs w:val="22"/>
        </w:rPr>
        <w:t>Editorial changes</w:t>
      </w:r>
    </w:p>
    <w:p w14:paraId="6CEBB716" w14:textId="77777777" w:rsidR="00160A95" w:rsidRPr="00177B6D" w:rsidRDefault="00160A95" w:rsidP="00160A95">
      <w:pPr>
        <w:spacing w:after="120"/>
        <w:rPr>
          <w:rFonts w:cs="Arial"/>
          <w:szCs w:val="22"/>
        </w:rPr>
      </w:pPr>
      <w:r w:rsidRPr="00177B6D">
        <w:rPr>
          <w:rFonts w:cs="Arial"/>
          <w:szCs w:val="22"/>
        </w:rPr>
        <w:t>For more information about any editorial changes made in this compilation, see the endnotes.</w:t>
      </w:r>
    </w:p>
    <w:p w14:paraId="29DBBEF4" w14:textId="77777777" w:rsidR="00160A95" w:rsidRPr="00177B6D" w:rsidRDefault="00160A95" w:rsidP="00160A95">
      <w:pPr>
        <w:spacing w:before="120" w:after="120"/>
        <w:rPr>
          <w:rFonts w:cs="Arial"/>
          <w:b/>
          <w:szCs w:val="22"/>
        </w:rPr>
      </w:pPr>
      <w:r w:rsidRPr="00177B6D">
        <w:rPr>
          <w:rFonts w:cs="Arial"/>
          <w:b/>
          <w:szCs w:val="22"/>
        </w:rPr>
        <w:t>Modifications</w:t>
      </w:r>
    </w:p>
    <w:p w14:paraId="6E396922" w14:textId="70A019C0" w:rsidR="00160A95" w:rsidRPr="00177B6D" w:rsidRDefault="00160A95" w:rsidP="00160A95">
      <w:pPr>
        <w:spacing w:after="120"/>
        <w:rPr>
          <w:rFonts w:cs="Arial"/>
          <w:szCs w:val="22"/>
        </w:rPr>
      </w:pPr>
      <w:r w:rsidRPr="00177B6D">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2B833D08" w14:textId="65871886" w:rsidR="00160A95" w:rsidRPr="00177B6D" w:rsidRDefault="00160A95" w:rsidP="00160A95">
      <w:pPr>
        <w:spacing w:before="80" w:after="120"/>
        <w:rPr>
          <w:rFonts w:cs="Arial"/>
          <w:b/>
          <w:szCs w:val="22"/>
        </w:rPr>
      </w:pPr>
      <w:r w:rsidRPr="00177B6D">
        <w:rPr>
          <w:rFonts w:cs="Arial"/>
          <w:b/>
          <w:szCs w:val="22"/>
        </w:rPr>
        <w:t>Self</w:t>
      </w:r>
      <w:r w:rsidR="004A520A">
        <w:rPr>
          <w:rFonts w:cs="Arial"/>
          <w:b/>
          <w:szCs w:val="22"/>
        </w:rPr>
        <w:noBreakHyphen/>
      </w:r>
      <w:r w:rsidRPr="00177B6D">
        <w:rPr>
          <w:rFonts w:cs="Arial"/>
          <w:b/>
          <w:szCs w:val="22"/>
        </w:rPr>
        <w:t>repealing provisions</w:t>
      </w:r>
    </w:p>
    <w:p w14:paraId="64C92329" w14:textId="77777777" w:rsidR="00160A95" w:rsidRPr="00177B6D" w:rsidRDefault="00160A95" w:rsidP="00160A95">
      <w:pPr>
        <w:spacing w:after="120"/>
        <w:rPr>
          <w:rFonts w:cs="Arial"/>
          <w:szCs w:val="22"/>
        </w:rPr>
      </w:pPr>
      <w:r w:rsidRPr="00177B6D">
        <w:rPr>
          <w:rFonts w:cs="Arial"/>
          <w:szCs w:val="22"/>
        </w:rPr>
        <w:t>If a provision of the compiled law has been repealed in accordance with a provision of the law, details are included in the endnotes.</w:t>
      </w:r>
    </w:p>
    <w:p w14:paraId="1356D222" w14:textId="77777777" w:rsidR="00160A95" w:rsidRPr="00177B6D" w:rsidRDefault="00160A95" w:rsidP="00160A95">
      <w:pPr>
        <w:pStyle w:val="Header"/>
        <w:tabs>
          <w:tab w:val="clear" w:pos="4150"/>
          <w:tab w:val="clear" w:pos="8307"/>
        </w:tabs>
      </w:pPr>
      <w:r w:rsidRPr="004A520A">
        <w:rPr>
          <w:rStyle w:val="CharChapNo"/>
        </w:rPr>
        <w:t xml:space="preserve"> </w:t>
      </w:r>
      <w:r w:rsidRPr="004A520A">
        <w:rPr>
          <w:rStyle w:val="CharChapText"/>
          <w:rFonts w:eastAsiaTheme="minorHAnsi"/>
        </w:rPr>
        <w:t xml:space="preserve"> </w:t>
      </w:r>
    </w:p>
    <w:p w14:paraId="04C82DF5" w14:textId="77777777" w:rsidR="00160A95" w:rsidRPr="00177B6D" w:rsidRDefault="00160A95" w:rsidP="00160A95">
      <w:pPr>
        <w:pStyle w:val="Header"/>
        <w:tabs>
          <w:tab w:val="clear" w:pos="4150"/>
          <w:tab w:val="clear" w:pos="8307"/>
        </w:tabs>
      </w:pPr>
      <w:r w:rsidRPr="004A520A">
        <w:rPr>
          <w:rStyle w:val="CharPartNo"/>
        </w:rPr>
        <w:t xml:space="preserve"> </w:t>
      </w:r>
      <w:r w:rsidRPr="004A520A">
        <w:rPr>
          <w:rStyle w:val="CharPartText"/>
        </w:rPr>
        <w:t xml:space="preserve"> </w:t>
      </w:r>
    </w:p>
    <w:p w14:paraId="0E97CE0C" w14:textId="77777777" w:rsidR="00160A95" w:rsidRPr="00177B6D" w:rsidRDefault="00160A95" w:rsidP="00160A95">
      <w:pPr>
        <w:pStyle w:val="Header"/>
        <w:tabs>
          <w:tab w:val="clear" w:pos="4150"/>
          <w:tab w:val="clear" w:pos="8307"/>
        </w:tabs>
      </w:pPr>
      <w:r w:rsidRPr="004A520A">
        <w:rPr>
          <w:rStyle w:val="CharDivNo"/>
        </w:rPr>
        <w:t xml:space="preserve"> </w:t>
      </w:r>
      <w:r w:rsidRPr="004A520A">
        <w:rPr>
          <w:rStyle w:val="CharDivText"/>
        </w:rPr>
        <w:t xml:space="preserve"> </w:t>
      </w:r>
    </w:p>
    <w:p w14:paraId="70C8651E" w14:textId="77777777" w:rsidR="00160A95" w:rsidRPr="00177B6D" w:rsidRDefault="00160A95" w:rsidP="00160A95">
      <w:pPr>
        <w:sectPr w:rsidR="00160A95" w:rsidRPr="00177B6D" w:rsidSect="00E77844">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52DC2A08" w14:textId="77777777" w:rsidR="005B0542" w:rsidRPr="00177B6D" w:rsidRDefault="005B0542" w:rsidP="004E0D3F">
      <w:r w:rsidRPr="00177B6D">
        <w:rPr>
          <w:rFonts w:cs="Times New Roman"/>
          <w:sz w:val="36"/>
        </w:rPr>
        <w:lastRenderedPageBreak/>
        <w:t>Contents</w:t>
      </w:r>
    </w:p>
    <w:p w14:paraId="777DDC7B" w14:textId="1F9F58E8" w:rsidR="00785161" w:rsidRDefault="000F411E">
      <w:pPr>
        <w:pStyle w:val="TOC2"/>
        <w:rPr>
          <w:rFonts w:asciiTheme="minorHAnsi" w:eastAsiaTheme="minorEastAsia" w:hAnsiTheme="minorHAnsi" w:cstheme="minorBidi"/>
          <w:b w:val="0"/>
          <w:noProof/>
          <w:kern w:val="2"/>
          <w:szCs w:val="24"/>
          <w14:ligatures w14:val="standardContextual"/>
        </w:rPr>
      </w:pPr>
      <w:r w:rsidRPr="00785161">
        <w:rPr>
          <w:iCs/>
          <w:szCs w:val="28"/>
        </w:rPr>
        <w:fldChar w:fldCharType="begin"/>
      </w:r>
      <w:r w:rsidRPr="00177B6D">
        <w:instrText xml:space="preserve"> TOC \o "1-9" \t "ActHead 1,2,ActHead 2,2,ActHead 3,3,ActHead 4,4,ActHead 5,5, Schedule,2, Schedule Text,3, NotesSection,6" </w:instrText>
      </w:r>
      <w:r w:rsidRPr="00785161">
        <w:rPr>
          <w:iCs/>
          <w:szCs w:val="28"/>
        </w:rPr>
        <w:fldChar w:fldCharType="separate"/>
      </w:r>
      <w:r w:rsidR="00785161">
        <w:rPr>
          <w:noProof/>
        </w:rPr>
        <w:t>Part I—Preliminary</w:t>
      </w:r>
      <w:r w:rsidR="00785161" w:rsidRPr="00785161">
        <w:rPr>
          <w:b w:val="0"/>
          <w:noProof/>
          <w:sz w:val="18"/>
        </w:rPr>
        <w:tab/>
      </w:r>
      <w:r w:rsidR="00785161" w:rsidRPr="00785161">
        <w:rPr>
          <w:b w:val="0"/>
          <w:noProof/>
          <w:sz w:val="18"/>
        </w:rPr>
        <w:fldChar w:fldCharType="begin"/>
      </w:r>
      <w:r w:rsidR="00785161" w:rsidRPr="00785161">
        <w:rPr>
          <w:b w:val="0"/>
          <w:noProof/>
          <w:sz w:val="18"/>
        </w:rPr>
        <w:instrText xml:space="preserve"> PAGEREF _Toc195097008 \h </w:instrText>
      </w:r>
      <w:r w:rsidR="00785161" w:rsidRPr="00785161">
        <w:rPr>
          <w:b w:val="0"/>
          <w:noProof/>
          <w:sz w:val="18"/>
        </w:rPr>
      </w:r>
      <w:r w:rsidR="00785161" w:rsidRPr="00785161">
        <w:rPr>
          <w:b w:val="0"/>
          <w:noProof/>
          <w:sz w:val="18"/>
        </w:rPr>
        <w:fldChar w:fldCharType="separate"/>
      </w:r>
      <w:r w:rsidR="00556980">
        <w:rPr>
          <w:b w:val="0"/>
          <w:noProof/>
          <w:sz w:val="18"/>
        </w:rPr>
        <w:t>1</w:t>
      </w:r>
      <w:r w:rsidR="00785161" w:rsidRPr="00785161">
        <w:rPr>
          <w:b w:val="0"/>
          <w:noProof/>
          <w:sz w:val="18"/>
        </w:rPr>
        <w:fldChar w:fldCharType="end"/>
      </w:r>
    </w:p>
    <w:p w14:paraId="32806168" w14:textId="2873A826" w:rsidR="00785161" w:rsidRDefault="00785161">
      <w:pPr>
        <w:pStyle w:val="TOC5"/>
        <w:rPr>
          <w:rFonts w:asciiTheme="minorHAnsi" w:eastAsiaTheme="minorEastAsia" w:hAnsiTheme="minorHAnsi" w:cstheme="minorBidi"/>
          <w:noProof/>
          <w:kern w:val="2"/>
          <w:sz w:val="24"/>
          <w:szCs w:val="24"/>
          <w14:ligatures w14:val="standardContextual"/>
        </w:rPr>
      </w:pPr>
      <w:r>
        <w:rPr>
          <w:noProof/>
        </w:rPr>
        <w:t>1</w:t>
      </w:r>
      <w:r>
        <w:rPr>
          <w:noProof/>
        </w:rPr>
        <w:tab/>
        <w:t>Short title</w:t>
      </w:r>
      <w:r w:rsidRPr="00785161">
        <w:rPr>
          <w:noProof/>
        </w:rPr>
        <w:tab/>
      </w:r>
      <w:r w:rsidRPr="00785161">
        <w:rPr>
          <w:noProof/>
        </w:rPr>
        <w:fldChar w:fldCharType="begin"/>
      </w:r>
      <w:r w:rsidRPr="00785161">
        <w:rPr>
          <w:noProof/>
        </w:rPr>
        <w:instrText xml:space="preserve"> PAGEREF _Toc195097009 \h </w:instrText>
      </w:r>
      <w:r w:rsidRPr="00785161">
        <w:rPr>
          <w:noProof/>
        </w:rPr>
      </w:r>
      <w:r w:rsidRPr="00785161">
        <w:rPr>
          <w:noProof/>
        </w:rPr>
        <w:fldChar w:fldCharType="separate"/>
      </w:r>
      <w:r w:rsidR="00556980">
        <w:rPr>
          <w:noProof/>
        </w:rPr>
        <w:t>1</w:t>
      </w:r>
      <w:r w:rsidRPr="00785161">
        <w:rPr>
          <w:noProof/>
        </w:rPr>
        <w:fldChar w:fldCharType="end"/>
      </w:r>
    </w:p>
    <w:p w14:paraId="02259D0A" w14:textId="2CA351E9" w:rsidR="00785161" w:rsidRDefault="00785161">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785161">
        <w:rPr>
          <w:noProof/>
        </w:rPr>
        <w:tab/>
      </w:r>
      <w:r w:rsidRPr="00785161">
        <w:rPr>
          <w:noProof/>
        </w:rPr>
        <w:fldChar w:fldCharType="begin"/>
      </w:r>
      <w:r w:rsidRPr="00785161">
        <w:rPr>
          <w:noProof/>
        </w:rPr>
        <w:instrText xml:space="preserve"> PAGEREF _Toc195097010 \h </w:instrText>
      </w:r>
      <w:r w:rsidRPr="00785161">
        <w:rPr>
          <w:noProof/>
        </w:rPr>
      </w:r>
      <w:r w:rsidRPr="00785161">
        <w:rPr>
          <w:noProof/>
        </w:rPr>
        <w:fldChar w:fldCharType="separate"/>
      </w:r>
      <w:r w:rsidR="00556980">
        <w:rPr>
          <w:noProof/>
        </w:rPr>
        <w:t>1</w:t>
      </w:r>
      <w:r w:rsidRPr="00785161">
        <w:rPr>
          <w:noProof/>
        </w:rPr>
        <w:fldChar w:fldCharType="end"/>
      </w:r>
    </w:p>
    <w:p w14:paraId="78063C55" w14:textId="208234C1" w:rsidR="00785161" w:rsidRDefault="00785161">
      <w:pPr>
        <w:pStyle w:val="TOC5"/>
        <w:rPr>
          <w:rFonts w:asciiTheme="minorHAnsi" w:eastAsiaTheme="minorEastAsia" w:hAnsiTheme="minorHAnsi" w:cstheme="minorBidi"/>
          <w:noProof/>
          <w:kern w:val="2"/>
          <w:sz w:val="24"/>
          <w:szCs w:val="24"/>
          <w14:ligatures w14:val="standardContextual"/>
        </w:rPr>
      </w:pPr>
      <w:r>
        <w:rPr>
          <w:noProof/>
        </w:rPr>
        <w:t>2A</w:t>
      </w:r>
      <w:r>
        <w:rPr>
          <w:noProof/>
        </w:rPr>
        <w:tab/>
        <w:t>Objects of Act</w:t>
      </w:r>
      <w:r w:rsidRPr="00785161">
        <w:rPr>
          <w:noProof/>
        </w:rPr>
        <w:tab/>
      </w:r>
      <w:r w:rsidRPr="00785161">
        <w:rPr>
          <w:noProof/>
        </w:rPr>
        <w:fldChar w:fldCharType="begin"/>
      </w:r>
      <w:r w:rsidRPr="00785161">
        <w:rPr>
          <w:noProof/>
        </w:rPr>
        <w:instrText xml:space="preserve"> PAGEREF _Toc195097011 \h </w:instrText>
      </w:r>
      <w:r w:rsidRPr="00785161">
        <w:rPr>
          <w:noProof/>
        </w:rPr>
      </w:r>
      <w:r w:rsidRPr="00785161">
        <w:rPr>
          <w:noProof/>
        </w:rPr>
        <w:fldChar w:fldCharType="separate"/>
      </w:r>
      <w:r w:rsidR="00556980">
        <w:rPr>
          <w:noProof/>
        </w:rPr>
        <w:t>1</w:t>
      </w:r>
      <w:r w:rsidRPr="00785161">
        <w:rPr>
          <w:noProof/>
        </w:rPr>
        <w:fldChar w:fldCharType="end"/>
      </w:r>
    </w:p>
    <w:p w14:paraId="22456F76" w14:textId="1E5A9167" w:rsidR="00785161" w:rsidRDefault="00785161">
      <w:pPr>
        <w:pStyle w:val="TOC5"/>
        <w:rPr>
          <w:rFonts w:asciiTheme="minorHAnsi" w:eastAsiaTheme="minorEastAsia" w:hAnsiTheme="minorHAnsi" w:cstheme="minorBidi"/>
          <w:noProof/>
          <w:kern w:val="2"/>
          <w:sz w:val="24"/>
          <w:szCs w:val="24"/>
          <w14:ligatures w14:val="standardContextual"/>
        </w:rPr>
      </w:pPr>
      <w:r>
        <w:rPr>
          <w:noProof/>
        </w:rPr>
        <w:t>2B</w:t>
      </w:r>
      <w:r>
        <w:rPr>
          <w:noProof/>
        </w:rPr>
        <w:tab/>
        <w:t>Simplified outline</w:t>
      </w:r>
      <w:r w:rsidRPr="00785161">
        <w:rPr>
          <w:noProof/>
        </w:rPr>
        <w:tab/>
      </w:r>
      <w:r w:rsidRPr="00785161">
        <w:rPr>
          <w:noProof/>
        </w:rPr>
        <w:fldChar w:fldCharType="begin"/>
      </w:r>
      <w:r w:rsidRPr="00785161">
        <w:rPr>
          <w:noProof/>
        </w:rPr>
        <w:instrText xml:space="preserve"> PAGEREF _Toc195097012 \h </w:instrText>
      </w:r>
      <w:r w:rsidRPr="00785161">
        <w:rPr>
          <w:noProof/>
        </w:rPr>
      </w:r>
      <w:r w:rsidRPr="00785161">
        <w:rPr>
          <w:noProof/>
        </w:rPr>
        <w:fldChar w:fldCharType="separate"/>
      </w:r>
      <w:r w:rsidR="00556980">
        <w:rPr>
          <w:noProof/>
        </w:rPr>
        <w:t>2</w:t>
      </w:r>
      <w:r w:rsidRPr="00785161">
        <w:rPr>
          <w:noProof/>
        </w:rPr>
        <w:fldChar w:fldCharType="end"/>
      </w:r>
    </w:p>
    <w:p w14:paraId="5CD1BF88" w14:textId="04B8BD8E" w:rsidR="00785161" w:rsidRDefault="00785161">
      <w:pPr>
        <w:pStyle w:val="TOC5"/>
        <w:rPr>
          <w:rFonts w:asciiTheme="minorHAnsi" w:eastAsiaTheme="minorEastAsia" w:hAnsiTheme="minorHAnsi" w:cstheme="minorBidi"/>
          <w:noProof/>
          <w:kern w:val="2"/>
          <w:sz w:val="24"/>
          <w:szCs w:val="24"/>
          <w14:ligatures w14:val="standardContextual"/>
        </w:rPr>
      </w:pPr>
      <w:r>
        <w:rPr>
          <w:noProof/>
        </w:rPr>
        <w:t>3</w:t>
      </w:r>
      <w:r>
        <w:rPr>
          <w:noProof/>
        </w:rPr>
        <w:tab/>
        <w:t>Interpretation</w:t>
      </w:r>
      <w:r w:rsidRPr="00785161">
        <w:rPr>
          <w:noProof/>
        </w:rPr>
        <w:tab/>
      </w:r>
      <w:r w:rsidRPr="00785161">
        <w:rPr>
          <w:noProof/>
        </w:rPr>
        <w:fldChar w:fldCharType="begin"/>
      </w:r>
      <w:r w:rsidRPr="00785161">
        <w:rPr>
          <w:noProof/>
        </w:rPr>
        <w:instrText xml:space="preserve"> PAGEREF _Toc195097013 \h </w:instrText>
      </w:r>
      <w:r w:rsidRPr="00785161">
        <w:rPr>
          <w:noProof/>
        </w:rPr>
      </w:r>
      <w:r w:rsidRPr="00785161">
        <w:rPr>
          <w:noProof/>
        </w:rPr>
        <w:fldChar w:fldCharType="separate"/>
      </w:r>
      <w:r w:rsidR="00556980">
        <w:rPr>
          <w:noProof/>
        </w:rPr>
        <w:t>3</w:t>
      </w:r>
      <w:r w:rsidRPr="00785161">
        <w:rPr>
          <w:noProof/>
        </w:rPr>
        <w:fldChar w:fldCharType="end"/>
      </w:r>
    </w:p>
    <w:p w14:paraId="75ADB10D" w14:textId="1C0E1932" w:rsidR="00785161" w:rsidRDefault="00785161">
      <w:pPr>
        <w:pStyle w:val="TOC5"/>
        <w:rPr>
          <w:rFonts w:asciiTheme="minorHAnsi" w:eastAsiaTheme="minorEastAsia" w:hAnsiTheme="minorHAnsi" w:cstheme="minorBidi"/>
          <w:noProof/>
          <w:kern w:val="2"/>
          <w:sz w:val="24"/>
          <w:szCs w:val="24"/>
          <w14:ligatures w14:val="standardContextual"/>
        </w:rPr>
      </w:pPr>
      <w:r w:rsidRPr="009E47FD">
        <w:rPr>
          <w:rFonts w:eastAsiaTheme="minorHAnsi"/>
          <w:noProof/>
        </w:rPr>
        <w:t>4</w:t>
      </w:r>
      <w:r>
        <w:rPr>
          <w:noProof/>
        </w:rPr>
        <w:tab/>
        <w:t xml:space="preserve">Meaning of </w:t>
      </w:r>
      <w:r w:rsidRPr="009E47FD">
        <w:rPr>
          <w:i/>
          <w:noProof/>
        </w:rPr>
        <w:t>relevant employer</w:t>
      </w:r>
      <w:r w:rsidRPr="00785161">
        <w:rPr>
          <w:noProof/>
        </w:rPr>
        <w:tab/>
      </w:r>
      <w:r w:rsidRPr="00785161">
        <w:rPr>
          <w:noProof/>
        </w:rPr>
        <w:fldChar w:fldCharType="begin"/>
      </w:r>
      <w:r w:rsidRPr="00785161">
        <w:rPr>
          <w:noProof/>
        </w:rPr>
        <w:instrText xml:space="preserve"> PAGEREF _Toc195097014 \h </w:instrText>
      </w:r>
      <w:r w:rsidRPr="00785161">
        <w:rPr>
          <w:noProof/>
        </w:rPr>
      </w:r>
      <w:r w:rsidRPr="00785161">
        <w:rPr>
          <w:noProof/>
        </w:rPr>
        <w:fldChar w:fldCharType="separate"/>
      </w:r>
      <w:r w:rsidR="00556980">
        <w:rPr>
          <w:noProof/>
        </w:rPr>
        <w:t>8</w:t>
      </w:r>
      <w:r w:rsidRPr="00785161">
        <w:rPr>
          <w:noProof/>
        </w:rPr>
        <w:fldChar w:fldCharType="end"/>
      </w:r>
    </w:p>
    <w:p w14:paraId="236E281A" w14:textId="096FBA6C" w:rsidR="00785161" w:rsidRDefault="00785161">
      <w:pPr>
        <w:pStyle w:val="TOC5"/>
        <w:rPr>
          <w:rFonts w:asciiTheme="minorHAnsi" w:eastAsiaTheme="minorEastAsia" w:hAnsiTheme="minorHAnsi" w:cstheme="minorBidi"/>
          <w:noProof/>
          <w:kern w:val="2"/>
          <w:sz w:val="24"/>
          <w:szCs w:val="24"/>
          <w14:ligatures w14:val="standardContextual"/>
        </w:rPr>
      </w:pPr>
      <w:r w:rsidRPr="009E47FD">
        <w:rPr>
          <w:rFonts w:eastAsiaTheme="minorHAnsi"/>
          <w:noProof/>
        </w:rPr>
        <w:t>4A</w:t>
      </w:r>
      <w:r>
        <w:rPr>
          <w:noProof/>
        </w:rPr>
        <w:tab/>
        <w:t xml:space="preserve">Meaning of </w:t>
      </w:r>
      <w:r w:rsidRPr="009E47FD">
        <w:rPr>
          <w:i/>
          <w:noProof/>
        </w:rPr>
        <w:t>designated relevant employer</w:t>
      </w:r>
      <w:r w:rsidRPr="00785161">
        <w:rPr>
          <w:noProof/>
        </w:rPr>
        <w:tab/>
      </w:r>
      <w:r w:rsidRPr="00785161">
        <w:rPr>
          <w:noProof/>
        </w:rPr>
        <w:fldChar w:fldCharType="begin"/>
      </w:r>
      <w:r w:rsidRPr="00785161">
        <w:rPr>
          <w:noProof/>
        </w:rPr>
        <w:instrText xml:space="preserve"> PAGEREF _Toc195097015 \h </w:instrText>
      </w:r>
      <w:r w:rsidRPr="00785161">
        <w:rPr>
          <w:noProof/>
        </w:rPr>
      </w:r>
      <w:r w:rsidRPr="00785161">
        <w:rPr>
          <w:noProof/>
        </w:rPr>
        <w:fldChar w:fldCharType="separate"/>
      </w:r>
      <w:r w:rsidR="00556980">
        <w:rPr>
          <w:noProof/>
        </w:rPr>
        <w:t>9</w:t>
      </w:r>
      <w:r w:rsidRPr="00785161">
        <w:rPr>
          <w:noProof/>
        </w:rPr>
        <w:fldChar w:fldCharType="end"/>
      </w:r>
    </w:p>
    <w:p w14:paraId="540521F8" w14:textId="6B53E3BB" w:rsidR="00785161" w:rsidRDefault="00785161">
      <w:pPr>
        <w:pStyle w:val="TOC5"/>
        <w:rPr>
          <w:rFonts w:asciiTheme="minorHAnsi" w:eastAsiaTheme="minorEastAsia" w:hAnsiTheme="minorHAnsi" w:cstheme="minorBidi"/>
          <w:noProof/>
          <w:kern w:val="2"/>
          <w:sz w:val="24"/>
          <w:szCs w:val="24"/>
          <w14:ligatures w14:val="standardContextual"/>
        </w:rPr>
      </w:pPr>
      <w:r>
        <w:rPr>
          <w:noProof/>
        </w:rPr>
        <w:t>5</w:t>
      </w:r>
      <w:r>
        <w:rPr>
          <w:noProof/>
        </w:rPr>
        <w:tab/>
        <w:t>Application of Act</w:t>
      </w:r>
      <w:r w:rsidRPr="00785161">
        <w:rPr>
          <w:noProof/>
        </w:rPr>
        <w:tab/>
      </w:r>
      <w:r w:rsidRPr="00785161">
        <w:rPr>
          <w:noProof/>
        </w:rPr>
        <w:fldChar w:fldCharType="begin"/>
      </w:r>
      <w:r w:rsidRPr="00785161">
        <w:rPr>
          <w:noProof/>
        </w:rPr>
        <w:instrText xml:space="preserve"> PAGEREF _Toc195097016 \h </w:instrText>
      </w:r>
      <w:r w:rsidRPr="00785161">
        <w:rPr>
          <w:noProof/>
        </w:rPr>
      </w:r>
      <w:r w:rsidRPr="00785161">
        <w:rPr>
          <w:noProof/>
        </w:rPr>
        <w:fldChar w:fldCharType="separate"/>
      </w:r>
      <w:r w:rsidR="00556980">
        <w:rPr>
          <w:noProof/>
        </w:rPr>
        <w:t>10</w:t>
      </w:r>
      <w:r w:rsidRPr="00785161">
        <w:rPr>
          <w:noProof/>
        </w:rPr>
        <w:fldChar w:fldCharType="end"/>
      </w:r>
    </w:p>
    <w:p w14:paraId="63F50D98" w14:textId="205CF8F2" w:rsidR="00785161" w:rsidRDefault="00785161">
      <w:pPr>
        <w:pStyle w:val="TOC5"/>
        <w:rPr>
          <w:rFonts w:asciiTheme="minorHAnsi" w:eastAsiaTheme="minorEastAsia" w:hAnsiTheme="minorHAnsi" w:cstheme="minorBidi"/>
          <w:noProof/>
          <w:kern w:val="2"/>
          <w:sz w:val="24"/>
          <w:szCs w:val="24"/>
          <w14:ligatures w14:val="standardContextual"/>
        </w:rPr>
      </w:pPr>
      <w:r>
        <w:rPr>
          <w:noProof/>
        </w:rPr>
        <w:t>5A</w:t>
      </w:r>
      <w:r>
        <w:rPr>
          <w:noProof/>
        </w:rPr>
        <w:tab/>
        <w:t xml:space="preserve">Application of </w:t>
      </w:r>
      <w:r w:rsidRPr="009E47FD">
        <w:rPr>
          <w:i/>
          <w:noProof/>
        </w:rPr>
        <w:t>Criminal Code</w:t>
      </w:r>
      <w:r w:rsidRPr="00785161">
        <w:rPr>
          <w:noProof/>
        </w:rPr>
        <w:tab/>
      </w:r>
      <w:r w:rsidRPr="00785161">
        <w:rPr>
          <w:noProof/>
        </w:rPr>
        <w:fldChar w:fldCharType="begin"/>
      </w:r>
      <w:r w:rsidRPr="00785161">
        <w:rPr>
          <w:noProof/>
        </w:rPr>
        <w:instrText xml:space="preserve"> PAGEREF _Toc195097017 \h </w:instrText>
      </w:r>
      <w:r w:rsidRPr="00785161">
        <w:rPr>
          <w:noProof/>
        </w:rPr>
      </w:r>
      <w:r w:rsidRPr="00785161">
        <w:rPr>
          <w:noProof/>
        </w:rPr>
        <w:fldChar w:fldCharType="separate"/>
      </w:r>
      <w:r w:rsidR="00556980">
        <w:rPr>
          <w:noProof/>
        </w:rPr>
        <w:t>12</w:t>
      </w:r>
      <w:r w:rsidRPr="00785161">
        <w:rPr>
          <w:noProof/>
        </w:rPr>
        <w:fldChar w:fldCharType="end"/>
      </w:r>
    </w:p>
    <w:p w14:paraId="4B176CA4" w14:textId="58E7AFFC" w:rsidR="00785161" w:rsidRDefault="00785161">
      <w:pPr>
        <w:pStyle w:val="TOC5"/>
        <w:rPr>
          <w:rFonts w:asciiTheme="minorHAnsi" w:eastAsiaTheme="minorEastAsia" w:hAnsiTheme="minorHAnsi" w:cstheme="minorBidi"/>
          <w:noProof/>
          <w:kern w:val="2"/>
          <w:sz w:val="24"/>
          <w:szCs w:val="24"/>
          <w14:ligatures w14:val="standardContextual"/>
        </w:rPr>
      </w:pPr>
      <w:r w:rsidRPr="009E47FD">
        <w:rPr>
          <w:rFonts w:eastAsiaTheme="minorHAnsi"/>
          <w:noProof/>
        </w:rPr>
        <w:t>5B</w:t>
      </w:r>
      <w:r>
        <w:rPr>
          <w:noProof/>
        </w:rPr>
        <w:tab/>
        <w:t>Binding the Crown</w:t>
      </w:r>
      <w:r w:rsidRPr="00785161">
        <w:rPr>
          <w:noProof/>
        </w:rPr>
        <w:tab/>
      </w:r>
      <w:r w:rsidRPr="00785161">
        <w:rPr>
          <w:noProof/>
        </w:rPr>
        <w:fldChar w:fldCharType="begin"/>
      </w:r>
      <w:r w:rsidRPr="00785161">
        <w:rPr>
          <w:noProof/>
        </w:rPr>
        <w:instrText xml:space="preserve"> PAGEREF _Toc195097018 \h </w:instrText>
      </w:r>
      <w:r w:rsidRPr="00785161">
        <w:rPr>
          <w:noProof/>
        </w:rPr>
      </w:r>
      <w:r w:rsidRPr="00785161">
        <w:rPr>
          <w:noProof/>
        </w:rPr>
        <w:fldChar w:fldCharType="separate"/>
      </w:r>
      <w:r w:rsidR="00556980">
        <w:rPr>
          <w:noProof/>
        </w:rPr>
        <w:t>12</w:t>
      </w:r>
      <w:r w:rsidRPr="00785161">
        <w:rPr>
          <w:noProof/>
        </w:rPr>
        <w:fldChar w:fldCharType="end"/>
      </w:r>
    </w:p>
    <w:p w14:paraId="5CAFA30C" w14:textId="6C7D6566" w:rsidR="00785161" w:rsidRDefault="00785161">
      <w:pPr>
        <w:pStyle w:val="TOC2"/>
        <w:rPr>
          <w:rFonts w:asciiTheme="minorHAnsi" w:eastAsiaTheme="minorEastAsia" w:hAnsiTheme="minorHAnsi" w:cstheme="minorBidi"/>
          <w:b w:val="0"/>
          <w:noProof/>
          <w:kern w:val="2"/>
          <w:szCs w:val="24"/>
          <w14:ligatures w14:val="standardContextual"/>
        </w:rPr>
      </w:pPr>
      <w:r>
        <w:rPr>
          <w:noProof/>
        </w:rPr>
        <w:t>Part III—Workplace Gender Equality Agency</w:t>
      </w:r>
      <w:r w:rsidRPr="00785161">
        <w:rPr>
          <w:b w:val="0"/>
          <w:noProof/>
          <w:sz w:val="18"/>
        </w:rPr>
        <w:tab/>
      </w:r>
      <w:r w:rsidRPr="00785161">
        <w:rPr>
          <w:b w:val="0"/>
          <w:noProof/>
          <w:sz w:val="18"/>
        </w:rPr>
        <w:fldChar w:fldCharType="begin"/>
      </w:r>
      <w:r w:rsidRPr="00785161">
        <w:rPr>
          <w:b w:val="0"/>
          <w:noProof/>
          <w:sz w:val="18"/>
        </w:rPr>
        <w:instrText xml:space="preserve"> PAGEREF _Toc195097019 \h </w:instrText>
      </w:r>
      <w:r w:rsidRPr="00785161">
        <w:rPr>
          <w:b w:val="0"/>
          <w:noProof/>
          <w:sz w:val="18"/>
        </w:rPr>
      </w:r>
      <w:r w:rsidRPr="00785161">
        <w:rPr>
          <w:b w:val="0"/>
          <w:noProof/>
          <w:sz w:val="18"/>
        </w:rPr>
        <w:fldChar w:fldCharType="separate"/>
      </w:r>
      <w:r w:rsidR="00556980">
        <w:rPr>
          <w:b w:val="0"/>
          <w:noProof/>
          <w:sz w:val="18"/>
        </w:rPr>
        <w:t>13</w:t>
      </w:r>
      <w:r w:rsidRPr="00785161">
        <w:rPr>
          <w:b w:val="0"/>
          <w:noProof/>
          <w:sz w:val="18"/>
        </w:rPr>
        <w:fldChar w:fldCharType="end"/>
      </w:r>
    </w:p>
    <w:p w14:paraId="590EEA89" w14:textId="434FB246" w:rsidR="00785161" w:rsidRDefault="00785161">
      <w:pPr>
        <w:pStyle w:val="TOC5"/>
        <w:rPr>
          <w:rFonts w:asciiTheme="minorHAnsi" w:eastAsiaTheme="minorEastAsia" w:hAnsiTheme="minorHAnsi" w:cstheme="minorBidi"/>
          <w:noProof/>
          <w:kern w:val="2"/>
          <w:sz w:val="24"/>
          <w:szCs w:val="24"/>
          <w14:ligatures w14:val="standardContextual"/>
        </w:rPr>
      </w:pPr>
      <w:r>
        <w:rPr>
          <w:noProof/>
        </w:rPr>
        <w:t>8A</w:t>
      </w:r>
      <w:r>
        <w:rPr>
          <w:noProof/>
        </w:rPr>
        <w:tab/>
        <w:t>Workplace Gender Equality Agency</w:t>
      </w:r>
      <w:r w:rsidRPr="00785161">
        <w:rPr>
          <w:noProof/>
        </w:rPr>
        <w:tab/>
      </w:r>
      <w:r w:rsidRPr="00785161">
        <w:rPr>
          <w:noProof/>
        </w:rPr>
        <w:fldChar w:fldCharType="begin"/>
      </w:r>
      <w:r w:rsidRPr="00785161">
        <w:rPr>
          <w:noProof/>
        </w:rPr>
        <w:instrText xml:space="preserve"> PAGEREF _Toc195097020 \h </w:instrText>
      </w:r>
      <w:r w:rsidRPr="00785161">
        <w:rPr>
          <w:noProof/>
        </w:rPr>
      </w:r>
      <w:r w:rsidRPr="00785161">
        <w:rPr>
          <w:noProof/>
        </w:rPr>
        <w:fldChar w:fldCharType="separate"/>
      </w:r>
      <w:r w:rsidR="00556980">
        <w:rPr>
          <w:noProof/>
        </w:rPr>
        <w:t>13</w:t>
      </w:r>
      <w:r w:rsidRPr="00785161">
        <w:rPr>
          <w:noProof/>
        </w:rPr>
        <w:fldChar w:fldCharType="end"/>
      </w:r>
    </w:p>
    <w:p w14:paraId="2C48682E" w14:textId="67C6223F" w:rsidR="00785161" w:rsidRDefault="00785161">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Functions and powers of Agency</w:t>
      </w:r>
      <w:r w:rsidRPr="00785161">
        <w:rPr>
          <w:noProof/>
        </w:rPr>
        <w:tab/>
      </w:r>
      <w:r w:rsidRPr="00785161">
        <w:rPr>
          <w:noProof/>
        </w:rPr>
        <w:fldChar w:fldCharType="begin"/>
      </w:r>
      <w:r w:rsidRPr="00785161">
        <w:rPr>
          <w:noProof/>
        </w:rPr>
        <w:instrText xml:space="preserve"> PAGEREF _Toc195097021 \h </w:instrText>
      </w:r>
      <w:r w:rsidRPr="00785161">
        <w:rPr>
          <w:noProof/>
        </w:rPr>
      </w:r>
      <w:r w:rsidRPr="00785161">
        <w:rPr>
          <w:noProof/>
        </w:rPr>
        <w:fldChar w:fldCharType="separate"/>
      </w:r>
      <w:r w:rsidR="00556980">
        <w:rPr>
          <w:noProof/>
        </w:rPr>
        <w:t>13</w:t>
      </w:r>
      <w:r w:rsidRPr="00785161">
        <w:rPr>
          <w:noProof/>
        </w:rPr>
        <w:fldChar w:fldCharType="end"/>
      </w:r>
    </w:p>
    <w:p w14:paraId="70D18174" w14:textId="61699F6C" w:rsidR="00785161" w:rsidRDefault="00785161">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Directions by Minister</w:t>
      </w:r>
      <w:r w:rsidRPr="00785161">
        <w:rPr>
          <w:noProof/>
        </w:rPr>
        <w:tab/>
      </w:r>
      <w:r w:rsidRPr="00785161">
        <w:rPr>
          <w:noProof/>
        </w:rPr>
        <w:fldChar w:fldCharType="begin"/>
      </w:r>
      <w:r w:rsidRPr="00785161">
        <w:rPr>
          <w:noProof/>
        </w:rPr>
        <w:instrText xml:space="preserve"> PAGEREF _Toc195097022 \h </w:instrText>
      </w:r>
      <w:r w:rsidRPr="00785161">
        <w:rPr>
          <w:noProof/>
        </w:rPr>
      </w:r>
      <w:r w:rsidRPr="00785161">
        <w:rPr>
          <w:noProof/>
        </w:rPr>
        <w:fldChar w:fldCharType="separate"/>
      </w:r>
      <w:r w:rsidR="00556980">
        <w:rPr>
          <w:noProof/>
        </w:rPr>
        <w:t>14</w:t>
      </w:r>
      <w:r w:rsidRPr="00785161">
        <w:rPr>
          <w:noProof/>
        </w:rPr>
        <w:fldChar w:fldCharType="end"/>
      </w:r>
    </w:p>
    <w:p w14:paraId="306029B1" w14:textId="5C25DC5B" w:rsidR="00785161" w:rsidRDefault="00785161">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Agency to submit reports to Minister</w:t>
      </w:r>
      <w:r w:rsidRPr="00785161">
        <w:rPr>
          <w:noProof/>
        </w:rPr>
        <w:tab/>
      </w:r>
      <w:r w:rsidRPr="00785161">
        <w:rPr>
          <w:noProof/>
        </w:rPr>
        <w:fldChar w:fldCharType="begin"/>
      </w:r>
      <w:r w:rsidRPr="00785161">
        <w:rPr>
          <w:noProof/>
        </w:rPr>
        <w:instrText xml:space="preserve"> PAGEREF _Toc195097023 \h </w:instrText>
      </w:r>
      <w:r w:rsidRPr="00785161">
        <w:rPr>
          <w:noProof/>
        </w:rPr>
      </w:r>
      <w:r w:rsidRPr="00785161">
        <w:rPr>
          <w:noProof/>
        </w:rPr>
        <w:fldChar w:fldCharType="separate"/>
      </w:r>
      <w:r w:rsidR="00556980">
        <w:rPr>
          <w:noProof/>
        </w:rPr>
        <w:t>14</w:t>
      </w:r>
      <w:r w:rsidRPr="00785161">
        <w:rPr>
          <w:noProof/>
        </w:rPr>
        <w:fldChar w:fldCharType="end"/>
      </w:r>
    </w:p>
    <w:p w14:paraId="742C2A2A" w14:textId="563ECFFD" w:rsidR="00785161" w:rsidRDefault="00785161">
      <w:pPr>
        <w:pStyle w:val="TOC2"/>
        <w:rPr>
          <w:rFonts w:asciiTheme="minorHAnsi" w:eastAsiaTheme="minorEastAsia" w:hAnsiTheme="minorHAnsi" w:cstheme="minorBidi"/>
          <w:b w:val="0"/>
          <w:noProof/>
          <w:kern w:val="2"/>
          <w:szCs w:val="24"/>
          <w14:ligatures w14:val="standardContextual"/>
        </w:rPr>
      </w:pPr>
      <w:r>
        <w:rPr>
          <w:noProof/>
        </w:rPr>
        <w:t>Part IV—Reports by relevant employers</w:t>
      </w:r>
      <w:r w:rsidRPr="00785161">
        <w:rPr>
          <w:b w:val="0"/>
          <w:noProof/>
          <w:sz w:val="18"/>
        </w:rPr>
        <w:tab/>
      </w:r>
      <w:r w:rsidRPr="00785161">
        <w:rPr>
          <w:b w:val="0"/>
          <w:noProof/>
          <w:sz w:val="18"/>
        </w:rPr>
        <w:fldChar w:fldCharType="begin"/>
      </w:r>
      <w:r w:rsidRPr="00785161">
        <w:rPr>
          <w:b w:val="0"/>
          <w:noProof/>
          <w:sz w:val="18"/>
        </w:rPr>
        <w:instrText xml:space="preserve"> PAGEREF _Toc195097024 \h </w:instrText>
      </w:r>
      <w:r w:rsidRPr="00785161">
        <w:rPr>
          <w:b w:val="0"/>
          <w:noProof/>
          <w:sz w:val="18"/>
        </w:rPr>
      </w:r>
      <w:r w:rsidRPr="00785161">
        <w:rPr>
          <w:b w:val="0"/>
          <w:noProof/>
          <w:sz w:val="18"/>
        </w:rPr>
        <w:fldChar w:fldCharType="separate"/>
      </w:r>
      <w:r w:rsidR="00556980">
        <w:rPr>
          <w:b w:val="0"/>
          <w:noProof/>
          <w:sz w:val="18"/>
        </w:rPr>
        <w:t>16</w:t>
      </w:r>
      <w:r w:rsidRPr="00785161">
        <w:rPr>
          <w:b w:val="0"/>
          <w:noProof/>
          <w:sz w:val="18"/>
        </w:rPr>
        <w:fldChar w:fldCharType="end"/>
      </w:r>
    </w:p>
    <w:p w14:paraId="5D5A764E" w14:textId="0EE07C35" w:rsidR="00785161" w:rsidRDefault="00785161">
      <w:pPr>
        <w:pStyle w:val="TOC3"/>
        <w:rPr>
          <w:rFonts w:asciiTheme="minorHAnsi" w:eastAsiaTheme="minorEastAsia" w:hAnsiTheme="minorHAnsi" w:cstheme="minorBidi"/>
          <w:b w:val="0"/>
          <w:noProof/>
          <w:kern w:val="2"/>
          <w:sz w:val="24"/>
          <w:szCs w:val="24"/>
          <w14:ligatures w14:val="standardContextual"/>
        </w:rPr>
      </w:pPr>
      <w:r>
        <w:rPr>
          <w:noProof/>
        </w:rPr>
        <w:t>Division 1—Reporting requirements</w:t>
      </w:r>
      <w:r w:rsidRPr="00785161">
        <w:rPr>
          <w:b w:val="0"/>
          <w:noProof/>
          <w:sz w:val="18"/>
        </w:rPr>
        <w:tab/>
      </w:r>
      <w:r w:rsidRPr="00785161">
        <w:rPr>
          <w:b w:val="0"/>
          <w:noProof/>
          <w:sz w:val="18"/>
        </w:rPr>
        <w:fldChar w:fldCharType="begin"/>
      </w:r>
      <w:r w:rsidRPr="00785161">
        <w:rPr>
          <w:b w:val="0"/>
          <w:noProof/>
          <w:sz w:val="18"/>
        </w:rPr>
        <w:instrText xml:space="preserve"> PAGEREF _Toc195097025 \h </w:instrText>
      </w:r>
      <w:r w:rsidRPr="00785161">
        <w:rPr>
          <w:b w:val="0"/>
          <w:noProof/>
          <w:sz w:val="18"/>
        </w:rPr>
      </w:r>
      <w:r w:rsidRPr="00785161">
        <w:rPr>
          <w:b w:val="0"/>
          <w:noProof/>
          <w:sz w:val="18"/>
        </w:rPr>
        <w:fldChar w:fldCharType="separate"/>
      </w:r>
      <w:r w:rsidR="00556980">
        <w:rPr>
          <w:b w:val="0"/>
          <w:noProof/>
          <w:sz w:val="18"/>
        </w:rPr>
        <w:t>16</w:t>
      </w:r>
      <w:r w:rsidRPr="00785161">
        <w:rPr>
          <w:b w:val="0"/>
          <w:noProof/>
          <w:sz w:val="18"/>
        </w:rPr>
        <w:fldChar w:fldCharType="end"/>
      </w:r>
    </w:p>
    <w:p w14:paraId="727981A6" w14:textId="700A24E3" w:rsidR="00785161" w:rsidRDefault="00785161">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Relevant employers to prepare reports relating to gender equality indicators</w:t>
      </w:r>
      <w:r w:rsidRPr="00785161">
        <w:rPr>
          <w:noProof/>
        </w:rPr>
        <w:tab/>
      </w:r>
      <w:r w:rsidRPr="00785161">
        <w:rPr>
          <w:noProof/>
        </w:rPr>
        <w:fldChar w:fldCharType="begin"/>
      </w:r>
      <w:r w:rsidRPr="00785161">
        <w:rPr>
          <w:noProof/>
        </w:rPr>
        <w:instrText xml:space="preserve"> PAGEREF _Toc195097026 \h </w:instrText>
      </w:r>
      <w:r w:rsidRPr="00785161">
        <w:rPr>
          <w:noProof/>
        </w:rPr>
      </w:r>
      <w:r w:rsidRPr="00785161">
        <w:rPr>
          <w:noProof/>
        </w:rPr>
        <w:fldChar w:fldCharType="separate"/>
      </w:r>
      <w:r w:rsidR="00556980">
        <w:rPr>
          <w:noProof/>
        </w:rPr>
        <w:t>16</w:t>
      </w:r>
      <w:r w:rsidRPr="00785161">
        <w:rPr>
          <w:noProof/>
        </w:rPr>
        <w:fldChar w:fldCharType="end"/>
      </w:r>
    </w:p>
    <w:p w14:paraId="3A6FAC0D" w14:textId="44D35BA9" w:rsidR="00785161" w:rsidRDefault="00785161">
      <w:pPr>
        <w:pStyle w:val="TOC5"/>
        <w:rPr>
          <w:rFonts w:asciiTheme="minorHAnsi" w:eastAsiaTheme="minorEastAsia" w:hAnsiTheme="minorHAnsi" w:cstheme="minorBidi"/>
          <w:noProof/>
          <w:kern w:val="2"/>
          <w:sz w:val="24"/>
          <w:szCs w:val="24"/>
          <w14:ligatures w14:val="standardContextual"/>
        </w:rPr>
      </w:pPr>
      <w:r>
        <w:rPr>
          <w:noProof/>
        </w:rPr>
        <w:t>13A</w:t>
      </w:r>
      <w:r>
        <w:rPr>
          <w:noProof/>
        </w:rPr>
        <w:tab/>
        <w:t>Reporting periods for reports</w:t>
      </w:r>
      <w:r w:rsidRPr="00785161">
        <w:rPr>
          <w:noProof/>
        </w:rPr>
        <w:tab/>
      </w:r>
      <w:r w:rsidRPr="00785161">
        <w:rPr>
          <w:noProof/>
        </w:rPr>
        <w:fldChar w:fldCharType="begin"/>
      </w:r>
      <w:r w:rsidRPr="00785161">
        <w:rPr>
          <w:noProof/>
        </w:rPr>
        <w:instrText xml:space="preserve"> PAGEREF _Toc195097027 \h </w:instrText>
      </w:r>
      <w:r w:rsidRPr="00785161">
        <w:rPr>
          <w:noProof/>
        </w:rPr>
      </w:r>
      <w:r w:rsidRPr="00785161">
        <w:rPr>
          <w:noProof/>
        </w:rPr>
        <w:fldChar w:fldCharType="separate"/>
      </w:r>
      <w:r w:rsidR="00556980">
        <w:rPr>
          <w:noProof/>
        </w:rPr>
        <w:t>18</w:t>
      </w:r>
      <w:r w:rsidRPr="00785161">
        <w:rPr>
          <w:noProof/>
        </w:rPr>
        <w:fldChar w:fldCharType="end"/>
      </w:r>
    </w:p>
    <w:p w14:paraId="6928342E" w14:textId="1C2836F2" w:rsidR="00785161" w:rsidRDefault="00785161">
      <w:pPr>
        <w:pStyle w:val="TOC5"/>
        <w:rPr>
          <w:rFonts w:asciiTheme="minorHAnsi" w:eastAsiaTheme="minorEastAsia" w:hAnsiTheme="minorHAnsi" w:cstheme="minorBidi"/>
          <w:noProof/>
          <w:kern w:val="2"/>
          <w:sz w:val="24"/>
          <w:szCs w:val="24"/>
          <w14:ligatures w14:val="standardContextual"/>
        </w:rPr>
      </w:pPr>
      <w:r w:rsidRPr="009E47FD">
        <w:rPr>
          <w:rFonts w:eastAsiaTheme="minorHAnsi"/>
          <w:noProof/>
        </w:rPr>
        <w:t>13B</w:t>
      </w:r>
      <w:r>
        <w:rPr>
          <w:noProof/>
        </w:rPr>
        <w:tab/>
        <w:t>When public reports are due</w:t>
      </w:r>
      <w:r w:rsidRPr="00785161">
        <w:rPr>
          <w:noProof/>
        </w:rPr>
        <w:tab/>
      </w:r>
      <w:r w:rsidRPr="00785161">
        <w:rPr>
          <w:noProof/>
        </w:rPr>
        <w:fldChar w:fldCharType="begin"/>
      </w:r>
      <w:r w:rsidRPr="00785161">
        <w:rPr>
          <w:noProof/>
        </w:rPr>
        <w:instrText xml:space="preserve"> PAGEREF _Toc195097028 \h </w:instrText>
      </w:r>
      <w:r w:rsidRPr="00785161">
        <w:rPr>
          <w:noProof/>
        </w:rPr>
      </w:r>
      <w:r w:rsidRPr="00785161">
        <w:rPr>
          <w:noProof/>
        </w:rPr>
        <w:fldChar w:fldCharType="separate"/>
      </w:r>
      <w:r w:rsidR="00556980">
        <w:rPr>
          <w:noProof/>
        </w:rPr>
        <w:t>18</w:t>
      </w:r>
      <w:r w:rsidRPr="00785161">
        <w:rPr>
          <w:noProof/>
        </w:rPr>
        <w:fldChar w:fldCharType="end"/>
      </w:r>
    </w:p>
    <w:p w14:paraId="4666B129" w14:textId="57531FBD" w:rsidR="00785161" w:rsidRDefault="00785161">
      <w:pPr>
        <w:pStyle w:val="TOC5"/>
        <w:rPr>
          <w:rFonts w:asciiTheme="minorHAnsi" w:eastAsiaTheme="minorEastAsia" w:hAnsiTheme="minorHAnsi" w:cstheme="minorBidi"/>
          <w:noProof/>
          <w:kern w:val="2"/>
          <w:sz w:val="24"/>
          <w:szCs w:val="24"/>
          <w14:ligatures w14:val="standardContextual"/>
        </w:rPr>
      </w:pPr>
      <w:r>
        <w:rPr>
          <w:noProof/>
        </w:rPr>
        <w:t>13C</w:t>
      </w:r>
      <w:r>
        <w:rPr>
          <w:noProof/>
        </w:rPr>
        <w:tab/>
        <w:t>Personal information</w:t>
      </w:r>
      <w:r w:rsidRPr="00785161">
        <w:rPr>
          <w:noProof/>
        </w:rPr>
        <w:tab/>
      </w:r>
      <w:r w:rsidRPr="00785161">
        <w:rPr>
          <w:noProof/>
        </w:rPr>
        <w:fldChar w:fldCharType="begin"/>
      </w:r>
      <w:r w:rsidRPr="00785161">
        <w:rPr>
          <w:noProof/>
        </w:rPr>
        <w:instrText xml:space="preserve"> PAGEREF _Toc195097029 \h </w:instrText>
      </w:r>
      <w:r w:rsidRPr="00785161">
        <w:rPr>
          <w:noProof/>
        </w:rPr>
      </w:r>
      <w:r w:rsidRPr="00785161">
        <w:rPr>
          <w:noProof/>
        </w:rPr>
        <w:fldChar w:fldCharType="separate"/>
      </w:r>
      <w:r w:rsidR="00556980">
        <w:rPr>
          <w:noProof/>
        </w:rPr>
        <w:t>19</w:t>
      </w:r>
      <w:r w:rsidRPr="00785161">
        <w:rPr>
          <w:noProof/>
        </w:rPr>
        <w:fldChar w:fldCharType="end"/>
      </w:r>
    </w:p>
    <w:p w14:paraId="6CA753AC" w14:textId="268F3E7B" w:rsidR="00785161" w:rsidRDefault="00785161">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Information relating to remuneration</w:t>
      </w:r>
      <w:r w:rsidRPr="00785161">
        <w:rPr>
          <w:noProof/>
        </w:rPr>
        <w:tab/>
      </w:r>
      <w:r w:rsidRPr="00785161">
        <w:rPr>
          <w:noProof/>
        </w:rPr>
        <w:fldChar w:fldCharType="begin"/>
      </w:r>
      <w:r w:rsidRPr="00785161">
        <w:rPr>
          <w:noProof/>
        </w:rPr>
        <w:instrText xml:space="preserve"> PAGEREF _Toc195097030 \h </w:instrText>
      </w:r>
      <w:r w:rsidRPr="00785161">
        <w:rPr>
          <w:noProof/>
        </w:rPr>
      </w:r>
      <w:r w:rsidRPr="00785161">
        <w:rPr>
          <w:noProof/>
        </w:rPr>
        <w:fldChar w:fldCharType="separate"/>
      </w:r>
      <w:r w:rsidR="00556980">
        <w:rPr>
          <w:noProof/>
        </w:rPr>
        <w:t>19</w:t>
      </w:r>
      <w:r w:rsidRPr="00785161">
        <w:rPr>
          <w:noProof/>
        </w:rPr>
        <w:fldChar w:fldCharType="end"/>
      </w:r>
    </w:p>
    <w:p w14:paraId="6A41EF42" w14:textId="6246898A" w:rsidR="00785161" w:rsidRDefault="00785161">
      <w:pPr>
        <w:pStyle w:val="TOC5"/>
        <w:rPr>
          <w:rFonts w:asciiTheme="minorHAnsi" w:eastAsiaTheme="minorEastAsia" w:hAnsiTheme="minorHAnsi" w:cstheme="minorBidi"/>
          <w:noProof/>
          <w:kern w:val="2"/>
          <w:sz w:val="24"/>
          <w:szCs w:val="24"/>
          <w14:ligatures w14:val="standardContextual"/>
        </w:rPr>
      </w:pPr>
      <w:r>
        <w:rPr>
          <w:noProof/>
        </w:rPr>
        <w:t>14A</w:t>
      </w:r>
      <w:r>
        <w:rPr>
          <w:noProof/>
        </w:rPr>
        <w:tab/>
        <w:t>Information of a kind specified by the Minister</w:t>
      </w:r>
      <w:r w:rsidRPr="00785161">
        <w:rPr>
          <w:noProof/>
        </w:rPr>
        <w:tab/>
      </w:r>
      <w:r w:rsidRPr="00785161">
        <w:rPr>
          <w:noProof/>
        </w:rPr>
        <w:fldChar w:fldCharType="begin"/>
      </w:r>
      <w:r w:rsidRPr="00785161">
        <w:rPr>
          <w:noProof/>
        </w:rPr>
        <w:instrText xml:space="preserve"> PAGEREF _Toc195097031 \h </w:instrText>
      </w:r>
      <w:r w:rsidRPr="00785161">
        <w:rPr>
          <w:noProof/>
        </w:rPr>
      </w:r>
      <w:r w:rsidRPr="00785161">
        <w:rPr>
          <w:noProof/>
        </w:rPr>
        <w:fldChar w:fldCharType="separate"/>
      </w:r>
      <w:r w:rsidR="00556980">
        <w:rPr>
          <w:noProof/>
        </w:rPr>
        <w:t>20</w:t>
      </w:r>
      <w:r w:rsidRPr="00785161">
        <w:rPr>
          <w:noProof/>
        </w:rPr>
        <w:fldChar w:fldCharType="end"/>
      </w:r>
    </w:p>
    <w:p w14:paraId="7E84A7E4" w14:textId="695FFF88" w:rsidR="00785161" w:rsidRDefault="00785161">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Agency’s use of public report</w:t>
      </w:r>
      <w:r w:rsidRPr="00785161">
        <w:rPr>
          <w:noProof/>
        </w:rPr>
        <w:tab/>
      </w:r>
      <w:r w:rsidRPr="00785161">
        <w:rPr>
          <w:noProof/>
        </w:rPr>
        <w:fldChar w:fldCharType="begin"/>
      </w:r>
      <w:r w:rsidRPr="00785161">
        <w:rPr>
          <w:noProof/>
        </w:rPr>
        <w:instrText xml:space="preserve"> PAGEREF _Toc195097032 \h </w:instrText>
      </w:r>
      <w:r w:rsidRPr="00785161">
        <w:rPr>
          <w:noProof/>
        </w:rPr>
      </w:r>
      <w:r w:rsidRPr="00785161">
        <w:rPr>
          <w:noProof/>
        </w:rPr>
        <w:fldChar w:fldCharType="separate"/>
      </w:r>
      <w:r w:rsidR="00556980">
        <w:rPr>
          <w:noProof/>
        </w:rPr>
        <w:t>21</w:t>
      </w:r>
      <w:r w:rsidRPr="00785161">
        <w:rPr>
          <w:noProof/>
        </w:rPr>
        <w:fldChar w:fldCharType="end"/>
      </w:r>
    </w:p>
    <w:p w14:paraId="4229CBC4" w14:textId="4746E69A" w:rsidR="00785161" w:rsidRDefault="00785161">
      <w:pPr>
        <w:pStyle w:val="TOC5"/>
        <w:rPr>
          <w:rFonts w:asciiTheme="minorHAnsi" w:eastAsiaTheme="minorEastAsia" w:hAnsiTheme="minorHAnsi" w:cstheme="minorBidi"/>
          <w:noProof/>
          <w:kern w:val="2"/>
          <w:sz w:val="24"/>
          <w:szCs w:val="24"/>
          <w14:ligatures w14:val="standardContextual"/>
        </w:rPr>
      </w:pPr>
      <w:r w:rsidRPr="009E47FD">
        <w:rPr>
          <w:rFonts w:eastAsiaTheme="minorHAnsi"/>
          <w:noProof/>
        </w:rPr>
        <w:t>15A</w:t>
      </w:r>
      <w:r>
        <w:rPr>
          <w:noProof/>
        </w:rPr>
        <w:tab/>
        <w:t>Agency must publish information for relevant employers—achieving gender equality in relation to remuneration</w:t>
      </w:r>
      <w:r w:rsidRPr="00785161">
        <w:rPr>
          <w:noProof/>
        </w:rPr>
        <w:tab/>
      </w:r>
      <w:r w:rsidRPr="00785161">
        <w:rPr>
          <w:noProof/>
        </w:rPr>
        <w:fldChar w:fldCharType="begin"/>
      </w:r>
      <w:r w:rsidRPr="00785161">
        <w:rPr>
          <w:noProof/>
        </w:rPr>
        <w:instrText xml:space="preserve"> PAGEREF _Toc195097033 \h </w:instrText>
      </w:r>
      <w:r w:rsidRPr="00785161">
        <w:rPr>
          <w:noProof/>
        </w:rPr>
      </w:r>
      <w:r w:rsidRPr="00785161">
        <w:rPr>
          <w:noProof/>
        </w:rPr>
        <w:fldChar w:fldCharType="separate"/>
      </w:r>
      <w:r w:rsidR="00556980">
        <w:rPr>
          <w:noProof/>
        </w:rPr>
        <w:t>21</w:t>
      </w:r>
      <w:r w:rsidRPr="00785161">
        <w:rPr>
          <w:noProof/>
        </w:rPr>
        <w:fldChar w:fldCharType="end"/>
      </w:r>
    </w:p>
    <w:p w14:paraId="587AF472" w14:textId="3609923E" w:rsidR="00785161" w:rsidRDefault="00785161">
      <w:pPr>
        <w:pStyle w:val="TOC5"/>
        <w:rPr>
          <w:rFonts w:asciiTheme="minorHAnsi" w:eastAsiaTheme="minorEastAsia" w:hAnsiTheme="minorHAnsi" w:cstheme="minorBidi"/>
          <w:noProof/>
          <w:kern w:val="2"/>
          <w:sz w:val="24"/>
          <w:szCs w:val="24"/>
          <w14:ligatures w14:val="standardContextual"/>
        </w:rPr>
      </w:pPr>
      <w:r>
        <w:rPr>
          <w:noProof/>
        </w:rPr>
        <w:t>16</w:t>
      </w:r>
      <w:r>
        <w:rPr>
          <w:noProof/>
        </w:rPr>
        <w:tab/>
        <w:t>Relevant employer to make public reports accessible to employees and shareholders etc.</w:t>
      </w:r>
      <w:r w:rsidRPr="00785161">
        <w:rPr>
          <w:noProof/>
        </w:rPr>
        <w:tab/>
      </w:r>
      <w:r w:rsidRPr="00785161">
        <w:rPr>
          <w:noProof/>
        </w:rPr>
        <w:fldChar w:fldCharType="begin"/>
      </w:r>
      <w:r w:rsidRPr="00785161">
        <w:rPr>
          <w:noProof/>
        </w:rPr>
        <w:instrText xml:space="preserve"> PAGEREF _Toc195097034 \h </w:instrText>
      </w:r>
      <w:r w:rsidRPr="00785161">
        <w:rPr>
          <w:noProof/>
        </w:rPr>
      </w:r>
      <w:r w:rsidRPr="00785161">
        <w:rPr>
          <w:noProof/>
        </w:rPr>
        <w:fldChar w:fldCharType="separate"/>
      </w:r>
      <w:r w:rsidR="00556980">
        <w:rPr>
          <w:noProof/>
        </w:rPr>
        <w:t>22</w:t>
      </w:r>
      <w:r w:rsidRPr="00785161">
        <w:rPr>
          <w:noProof/>
        </w:rPr>
        <w:fldChar w:fldCharType="end"/>
      </w:r>
    </w:p>
    <w:p w14:paraId="000095E1" w14:textId="26BD439E" w:rsidR="00785161" w:rsidRDefault="00785161">
      <w:pPr>
        <w:pStyle w:val="TOC5"/>
        <w:rPr>
          <w:rFonts w:asciiTheme="minorHAnsi" w:eastAsiaTheme="minorEastAsia" w:hAnsiTheme="minorHAnsi" w:cstheme="minorBidi"/>
          <w:noProof/>
          <w:kern w:val="2"/>
          <w:sz w:val="24"/>
          <w:szCs w:val="24"/>
          <w14:ligatures w14:val="standardContextual"/>
        </w:rPr>
      </w:pPr>
      <w:r>
        <w:rPr>
          <w:noProof/>
        </w:rPr>
        <w:t>16A</w:t>
      </w:r>
      <w:r>
        <w:rPr>
          <w:noProof/>
        </w:rPr>
        <w:tab/>
        <w:t>Relevant employer to inform employee organisations of lodgement of public report</w:t>
      </w:r>
      <w:r w:rsidRPr="00785161">
        <w:rPr>
          <w:noProof/>
        </w:rPr>
        <w:tab/>
      </w:r>
      <w:r w:rsidRPr="00785161">
        <w:rPr>
          <w:noProof/>
        </w:rPr>
        <w:fldChar w:fldCharType="begin"/>
      </w:r>
      <w:r w:rsidRPr="00785161">
        <w:rPr>
          <w:noProof/>
        </w:rPr>
        <w:instrText xml:space="preserve"> PAGEREF _Toc195097035 \h </w:instrText>
      </w:r>
      <w:r w:rsidRPr="00785161">
        <w:rPr>
          <w:noProof/>
        </w:rPr>
      </w:r>
      <w:r w:rsidRPr="00785161">
        <w:rPr>
          <w:noProof/>
        </w:rPr>
        <w:fldChar w:fldCharType="separate"/>
      </w:r>
      <w:r w:rsidR="00556980">
        <w:rPr>
          <w:noProof/>
        </w:rPr>
        <w:t>23</w:t>
      </w:r>
      <w:r w:rsidRPr="00785161">
        <w:rPr>
          <w:noProof/>
        </w:rPr>
        <w:fldChar w:fldCharType="end"/>
      </w:r>
    </w:p>
    <w:p w14:paraId="318291C3" w14:textId="0034585C" w:rsidR="00785161" w:rsidRDefault="00785161">
      <w:pPr>
        <w:pStyle w:val="TOC5"/>
        <w:rPr>
          <w:rFonts w:asciiTheme="minorHAnsi" w:eastAsiaTheme="minorEastAsia" w:hAnsiTheme="minorHAnsi" w:cstheme="minorBidi"/>
          <w:noProof/>
          <w:kern w:val="2"/>
          <w:sz w:val="24"/>
          <w:szCs w:val="24"/>
          <w14:ligatures w14:val="standardContextual"/>
        </w:rPr>
      </w:pPr>
      <w:r>
        <w:rPr>
          <w:noProof/>
        </w:rPr>
        <w:t>16B</w:t>
      </w:r>
      <w:r>
        <w:rPr>
          <w:noProof/>
        </w:rPr>
        <w:tab/>
        <w:t>Relevant employer to inform employees and employee organisations of the opportunity to comment</w:t>
      </w:r>
      <w:r w:rsidRPr="00785161">
        <w:rPr>
          <w:noProof/>
        </w:rPr>
        <w:tab/>
      </w:r>
      <w:r w:rsidRPr="00785161">
        <w:rPr>
          <w:noProof/>
        </w:rPr>
        <w:fldChar w:fldCharType="begin"/>
      </w:r>
      <w:r w:rsidRPr="00785161">
        <w:rPr>
          <w:noProof/>
        </w:rPr>
        <w:instrText xml:space="preserve"> PAGEREF _Toc195097036 \h </w:instrText>
      </w:r>
      <w:r w:rsidRPr="00785161">
        <w:rPr>
          <w:noProof/>
        </w:rPr>
      </w:r>
      <w:r w:rsidRPr="00785161">
        <w:rPr>
          <w:noProof/>
        </w:rPr>
        <w:fldChar w:fldCharType="separate"/>
      </w:r>
      <w:r w:rsidR="00556980">
        <w:rPr>
          <w:noProof/>
        </w:rPr>
        <w:t>23</w:t>
      </w:r>
      <w:r w:rsidRPr="00785161">
        <w:rPr>
          <w:noProof/>
        </w:rPr>
        <w:fldChar w:fldCharType="end"/>
      </w:r>
    </w:p>
    <w:p w14:paraId="791EA215" w14:textId="59C89BE6" w:rsidR="00785161" w:rsidRDefault="00785161">
      <w:pPr>
        <w:pStyle w:val="TOC5"/>
        <w:rPr>
          <w:rFonts w:asciiTheme="minorHAnsi" w:eastAsiaTheme="minorEastAsia" w:hAnsiTheme="minorHAnsi" w:cstheme="minorBidi"/>
          <w:noProof/>
          <w:kern w:val="2"/>
          <w:sz w:val="24"/>
          <w:szCs w:val="24"/>
          <w14:ligatures w14:val="standardContextual"/>
        </w:rPr>
      </w:pPr>
      <w:r w:rsidRPr="009E47FD">
        <w:rPr>
          <w:rFonts w:eastAsiaTheme="minorHAnsi"/>
          <w:noProof/>
        </w:rPr>
        <w:t>16C</w:t>
      </w:r>
      <w:r>
        <w:rPr>
          <w:noProof/>
        </w:rPr>
        <w:tab/>
        <w:t>Certain reports to be given to relevant employer’s governing body</w:t>
      </w:r>
      <w:r w:rsidRPr="00785161">
        <w:rPr>
          <w:noProof/>
        </w:rPr>
        <w:tab/>
      </w:r>
      <w:r w:rsidRPr="00785161">
        <w:rPr>
          <w:noProof/>
        </w:rPr>
        <w:fldChar w:fldCharType="begin"/>
      </w:r>
      <w:r w:rsidRPr="00785161">
        <w:rPr>
          <w:noProof/>
        </w:rPr>
        <w:instrText xml:space="preserve"> PAGEREF _Toc195097037 \h </w:instrText>
      </w:r>
      <w:r w:rsidRPr="00785161">
        <w:rPr>
          <w:noProof/>
        </w:rPr>
      </w:r>
      <w:r w:rsidRPr="00785161">
        <w:rPr>
          <w:noProof/>
        </w:rPr>
        <w:fldChar w:fldCharType="separate"/>
      </w:r>
      <w:r w:rsidR="00556980">
        <w:rPr>
          <w:noProof/>
        </w:rPr>
        <w:t>23</w:t>
      </w:r>
      <w:r w:rsidRPr="00785161">
        <w:rPr>
          <w:noProof/>
        </w:rPr>
        <w:fldChar w:fldCharType="end"/>
      </w:r>
    </w:p>
    <w:p w14:paraId="273CE8C1" w14:textId="3F15166F" w:rsidR="00785161" w:rsidRDefault="00785161">
      <w:pPr>
        <w:pStyle w:val="TOC5"/>
        <w:rPr>
          <w:rFonts w:asciiTheme="minorHAnsi" w:eastAsiaTheme="minorEastAsia" w:hAnsiTheme="minorHAnsi" w:cstheme="minorBidi"/>
          <w:noProof/>
          <w:kern w:val="2"/>
          <w:sz w:val="24"/>
          <w:szCs w:val="24"/>
          <w14:ligatures w14:val="standardContextual"/>
        </w:rPr>
      </w:pPr>
      <w:r>
        <w:rPr>
          <w:noProof/>
        </w:rPr>
        <w:lastRenderedPageBreak/>
        <w:t>17</w:t>
      </w:r>
      <w:r>
        <w:rPr>
          <w:noProof/>
        </w:rPr>
        <w:tab/>
        <w:t>Agency may grant extensions</w:t>
      </w:r>
      <w:r w:rsidRPr="00785161">
        <w:rPr>
          <w:noProof/>
        </w:rPr>
        <w:tab/>
      </w:r>
      <w:r w:rsidRPr="00785161">
        <w:rPr>
          <w:noProof/>
        </w:rPr>
        <w:fldChar w:fldCharType="begin"/>
      </w:r>
      <w:r w:rsidRPr="00785161">
        <w:rPr>
          <w:noProof/>
        </w:rPr>
        <w:instrText xml:space="preserve"> PAGEREF _Toc195097038 \h </w:instrText>
      </w:r>
      <w:r w:rsidRPr="00785161">
        <w:rPr>
          <w:noProof/>
        </w:rPr>
      </w:r>
      <w:r w:rsidRPr="00785161">
        <w:rPr>
          <w:noProof/>
        </w:rPr>
        <w:fldChar w:fldCharType="separate"/>
      </w:r>
      <w:r w:rsidR="00556980">
        <w:rPr>
          <w:noProof/>
        </w:rPr>
        <w:t>24</w:t>
      </w:r>
      <w:r w:rsidRPr="00785161">
        <w:rPr>
          <w:noProof/>
        </w:rPr>
        <w:fldChar w:fldCharType="end"/>
      </w:r>
    </w:p>
    <w:p w14:paraId="66BA07F5" w14:textId="564E4FF7" w:rsidR="00785161" w:rsidRDefault="00785161">
      <w:pPr>
        <w:pStyle w:val="TOC3"/>
        <w:rPr>
          <w:rFonts w:asciiTheme="minorHAnsi" w:eastAsiaTheme="minorEastAsia" w:hAnsiTheme="minorHAnsi" w:cstheme="minorBidi"/>
          <w:b w:val="0"/>
          <w:noProof/>
          <w:kern w:val="2"/>
          <w:sz w:val="24"/>
          <w:szCs w:val="24"/>
          <w14:ligatures w14:val="standardContextual"/>
        </w:rPr>
      </w:pPr>
      <w:r>
        <w:rPr>
          <w:noProof/>
        </w:rPr>
        <w:t>Division 2—Gender equality targets</w:t>
      </w:r>
      <w:r w:rsidRPr="00785161">
        <w:rPr>
          <w:b w:val="0"/>
          <w:noProof/>
          <w:sz w:val="18"/>
        </w:rPr>
        <w:tab/>
      </w:r>
      <w:r w:rsidRPr="00785161">
        <w:rPr>
          <w:b w:val="0"/>
          <w:noProof/>
          <w:sz w:val="18"/>
        </w:rPr>
        <w:fldChar w:fldCharType="begin"/>
      </w:r>
      <w:r w:rsidRPr="00785161">
        <w:rPr>
          <w:b w:val="0"/>
          <w:noProof/>
          <w:sz w:val="18"/>
        </w:rPr>
        <w:instrText xml:space="preserve"> PAGEREF _Toc195097039 \h </w:instrText>
      </w:r>
      <w:r w:rsidRPr="00785161">
        <w:rPr>
          <w:b w:val="0"/>
          <w:noProof/>
          <w:sz w:val="18"/>
        </w:rPr>
      </w:r>
      <w:r w:rsidRPr="00785161">
        <w:rPr>
          <w:b w:val="0"/>
          <w:noProof/>
          <w:sz w:val="18"/>
        </w:rPr>
        <w:fldChar w:fldCharType="separate"/>
      </w:r>
      <w:r w:rsidR="00556980">
        <w:rPr>
          <w:b w:val="0"/>
          <w:noProof/>
          <w:sz w:val="18"/>
        </w:rPr>
        <w:t>25</w:t>
      </w:r>
      <w:r w:rsidRPr="00785161">
        <w:rPr>
          <w:b w:val="0"/>
          <w:noProof/>
          <w:sz w:val="18"/>
        </w:rPr>
        <w:fldChar w:fldCharType="end"/>
      </w:r>
    </w:p>
    <w:p w14:paraId="09D025AA" w14:textId="68C8B81B" w:rsidR="00785161" w:rsidRDefault="00785161">
      <w:pPr>
        <w:pStyle w:val="TOC5"/>
        <w:rPr>
          <w:rFonts w:asciiTheme="minorHAnsi" w:eastAsiaTheme="minorEastAsia" w:hAnsiTheme="minorHAnsi" w:cstheme="minorBidi"/>
          <w:noProof/>
          <w:kern w:val="2"/>
          <w:sz w:val="24"/>
          <w:szCs w:val="24"/>
          <w14:ligatures w14:val="standardContextual"/>
        </w:rPr>
      </w:pPr>
      <w:r w:rsidRPr="009E47FD">
        <w:rPr>
          <w:rFonts w:eastAsiaTheme="minorHAnsi"/>
          <w:noProof/>
        </w:rPr>
        <w:t>17A</w:t>
      </w:r>
      <w:r>
        <w:rPr>
          <w:noProof/>
        </w:rPr>
        <w:tab/>
        <w:t>Target cycles</w:t>
      </w:r>
      <w:r w:rsidRPr="00785161">
        <w:rPr>
          <w:noProof/>
        </w:rPr>
        <w:tab/>
      </w:r>
      <w:r w:rsidRPr="00785161">
        <w:rPr>
          <w:noProof/>
        </w:rPr>
        <w:fldChar w:fldCharType="begin"/>
      </w:r>
      <w:r w:rsidRPr="00785161">
        <w:rPr>
          <w:noProof/>
        </w:rPr>
        <w:instrText xml:space="preserve"> PAGEREF _Toc195097040 \h </w:instrText>
      </w:r>
      <w:r w:rsidRPr="00785161">
        <w:rPr>
          <w:noProof/>
        </w:rPr>
      </w:r>
      <w:r w:rsidRPr="00785161">
        <w:rPr>
          <w:noProof/>
        </w:rPr>
        <w:fldChar w:fldCharType="separate"/>
      </w:r>
      <w:r w:rsidR="00556980">
        <w:rPr>
          <w:noProof/>
        </w:rPr>
        <w:t>25</w:t>
      </w:r>
      <w:r w:rsidRPr="00785161">
        <w:rPr>
          <w:noProof/>
        </w:rPr>
        <w:fldChar w:fldCharType="end"/>
      </w:r>
    </w:p>
    <w:p w14:paraId="11418E34" w14:textId="30BFCF14" w:rsidR="00785161" w:rsidRDefault="00785161">
      <w:pPr>
        <w:pStyle w:val="TOC5"/>
        <w:rPr>
          <w:rFonts w:asciiTheme="minorHAnsi" w:eastAsiaTheme="minorEastAsia" w:hAnsiTheme="minorHAnsi" w:cstheme="minorBidi"/>
          <w:noProof/>
          <w:kern w:val="2"/>
          <w:sz w:val="24"/>
          <w:szCs w:val="24"/>
          <w14:ligatures w14:val="standardContextual"/>
        </w:rPr>
      </w:pPr>
      <w:r w:rsidRPr="009E47FD">
        <w:rPr>
          <w:rFonts w:eastAsiaTheme="minorHAnsi"/>
          <w:noProof/>
        </w:rPr>
        <w:t>17B</w:t>
      </w:r>
      <w:r>
        <w:rPr>
          <w:noProof/>
        </w:rPr>
        <w:tab/>
        <w:t>Minister to set gender equality targets and selection rules</w:t>
      </w:r>
      <w:r w:rsidRPr="00785161">
        <w:rPr>
          <w:noProof/>
        </w:rPr>
        <w:tab/>
      </w:r>
      <w:r w:rsidRPr="00785161">
        <w:rPr>
          <w:noProof/>
        </w:rPr>
        <w:fldChar w:fldCharType="begin"/>
      </w:r>
      <w:r w:rsidRPr="00785161">
        <w:rPr>
          <w:noProof/>
        </w:rPr>
        <w:instrText xml:space="preserve"> PAGEREF _Toc195097041 \h </w:instrText>
      </w:r>
      <w:r w:rsidRPr="00785161">
        <w:rPr>
          <w:noProof/>
        </w:rPr>
      </w:r>
      <w:r w:rsidRPr="00785161">
        <w:rPr>
          <w:noProof/>
        </w:rPr>
        <w:fldChar w:fldCharType="separate"/>
      </w:r>
      <w:r w:rsidR="00556980">
        <w:rPr>
          <w:noProof/>
        </w:rPr>
        <w:t>25</w:t>
      </w:r>
      <w:r w:rsidRPr="00785161">
        <w:rPr>
          <w:noProof/>
        </w:rPr>
        <w:fldChar w:fldCharType="end"/>
      </w:r>
    </w:p>
    <w:p w14:paraId="1AF91126" w14:textId="1E16323E" w:rsidR="00785161" w:rsidRDefault="00785161">
      <w:pPr>
        <w:pStyle w:val="TOC5"/>
        <w:rPr>
          <w:rFonts w:asciiTheme="minorHAnsi" w:eastAsiaTheme="minorEastAsia" w:hAnsiTheme="minorHAnsi" w:cstheme="minorBidi"/>
          <w:noProof/>
          <w:kern w:val="2"/>
          <w:sz w:val="24"/>
          <w:szCs w:val="24"/>
          <w14:ligatures w14:val="standardContextual"/>
        </w:rPr>
      </w:pPr>
      <w:r w:rsidRPr="009E47FD">
        <w:rPr>
          <w:rFonts w:eastAsiaTheme="minorHAnsi"/>
          <w:noProof/>
        </w:rPr>
        <w:t>17C</w:t>
      </w:r>
      <w:r>
        <w:rPr>
          <w:noProof/>
        </w:rPr>
        <w:tab/>
        <w:t>Failure to comply with gender equality targets</w:t>
      </w:r>
      <w:r w:rsidRPr="00785161">
        <w:rPr>
          <w:noProof/>
        </w:rPr>
        <w:tab/>
      </w:r>
      <w:r w:rsidRPr="00785161">
        <w:rPr>
          <w:noProof/>
        </w:rPr>
        <w:fldChar w:fldCharType="begin"/>
      </w:r>
      <w:r w:rsidRPr="00785161">
        <w:rPr>
          <w:noProof/>
        </w:rPr>
        <w:instrText xml:space="preserve"> PAGEREF _Toc195097042 \h </w:instrText>
      </w:r>
      <w:r w:rsidRPr="00785161">
        <w:rPr>
          <w:noProof/>
        </w:rPr>
      </w:r>
      <w:r w:rsidRPr="00785161">
        <w:rPr>
          <w:noProof/>
        </w:rPr>
        <w:fldChar w:fldCharType="separate"/>
      </w:r>
      <w:r w:rsidR="00556980">
        <w:rPr>
          <w:noProof/>
        </w:rPr>
        <w:t>26</w:t>
      </w:r>
      <w:r w:rsidRPr="00785161">
        <w:rPr>
          <w:noProof/>
        </w:rPr>
        <w:fldChar w:fldCharType="end"/>
      </w:r>
    </w:p>
    <w:p w14:paraId="60139161" w14:textId="05ED1B7C" w:rsidR="00785161" w:rsidRDefault="00785161">
      <w:pPr>
        <w:pStyle w:val="TOC2"/>
        <w:rPr>
          <w:rFonts w:asciiTheme="minorHAnsi" w:eastAsiaTheme="minorEastAsia" w:hAnsiTheme="minorHAnsi" w:cstheme="minorBidi"/>
          <w:b w:val="0"/>
          <w:noProof/>
          <w:kern w:val="2"/>
          <w:szCs w:val="24"/>
          <w14:ligatures w14:val="standardContextual"/>
        </w:rPr>
      </w:pPr>
      <w:r>
        <w:rPr>
          <w:noProof/>
        </w:rPr>
        <w:t>Part IVA—Reviewing compliance with this Act and consequences of non</w:t>
      </w:r>
      <w:r>
        <w:rPr>
          <w:noProof/>
        </w:rPr>
        <w:noBreakHyphen/>
        <w:t>compliance</w:t>
      </w:r>
      <w:r w:rsidRPr="00785161">
        <w:rPr>
          <w:b w:val="0"/>
          <w:noProof/>
          <w:sz w:val="18"/>
        </w:rPr>
        <w:tab/>
      </w:r>
      <w:r w:rsidRPr="00785161">
        <w:rPr>
          <w:b w:val="0"/>
          <w:noProof/>
          <w:sz w:val="18"/>
        </w:rPr>
        <w:fldChar w:fldCharType="begin"/>
      </w:r>
      <w:r w:rsidRPr="00785161">
        <w:rPr>
          <w:b w:val="0"/>
          <w:noProof/>
          <w:sz w:val="18"/>
        </w:rPr>
        <w:instrText xml:space="preserve"> PAGEREF _Toc195097043 \h </w:instrText>
      </w:r>
      <w:r w:rsidRPr="00785161">
        <w:rPr>
          <w:b w:val="0"/>
          <w:noProof/>
          <w:sz w:val="18"/>
        </w:rPr>
      </w:r>
      <w:r w:rsidRPr="00785161">
        <w:rPr>
          <w:b w:val="0"/>
          <w:noProof/>
          <w:sz w:val="18"/>
        </w:rPr>
        <w:fldChar w:fldCharType="separate"/>
      </w:r>
      <w:r w:rsidR="00556980">
        <w:rPr>
          <w:b w:val="0"/>
          <w:noProof/>
          <w:sz w:val="18"/>
        </w:rPr>
        <w:t>27</w:t>
      </w:r>
      <w:r w:rsidRPr="00785161">
        <w:rPr>
          <w:b w:val="0"/>
          <w:noProof/>
          <w:sz w:val="18"/>
        </w:rPr>
        <w:fldChar w:fldCharType="end"/>
      </w:r>
    </w:p>
    <w:p w14:paraId="69BD2761" w14:textId="761BA0C2" w:rsidR="00785161" w:rsidRDefault="00785161">
      <w:pPr>
        <w:pStyle w:val="TOC5"/>
        <w:rPr>
          <w:rFonts w:asciiTheme="minorHAnsi" w:eastAsiaTheme="minorEastAsia" w:hAnsiTheme="minorHAnsi" w:cstheme="minorBidi"/>
          <w:noProof/>
          <w:kern w:val="2"/>
          <w:sz w:val="24"/>
          <w:szCs w:val="24"/>
          <w14:ligatures w14:val="standardContextual"/>
        </w:rPr>
      </w:pPr>
      <w:r>
        <w:rPr>
          <w:noProof/>
        </w:rPr>
        <w:t>18</w:t>
      </w:r>
      <w:r>
        <w:rPr>
          <w:noProof/>
        </w:rPr>
        <w:tab/>
        <w:t>Simplified outline</w:t>
      </w:r>
      <w:r w:rsidRPr="00785161">
        <w:rPr>
          <w:noProof/>
        </w:rPr>
        <w:tab/>
      </w:r>
      <w:r w:rsidRPr="00785161">
        <w:rPr>
          <w:noProof/>
        </w:rPr>
        <w:fldChar w:fldCharType="begin"/>
      </w:r>
      <w:r w:rsidRPr="00785161">
        <w:rPr>
          <w:noProof/>
        </w:rPr>
        <w:instrText xml:space="preserve"> PAGEREF _Toc195097044 \h </w:instrText>
      </w:r>
      <w:r w:rsidRPr="00785161">
        <w:rPr>
          <w:noProof/>
        </w:rPr>
      </w:r>
      <w:r w:rsidRPr="00785161">
        <w:rPr>
          <w:noProof/>
        </w:rPr>
        <w:fldChar w:fldCharType="separate"/>
      </w:r>
      <w:r w:rsidR="00556980">
        <w:rPr>
          <w:noProof/>
        </w:rPr>
        <w:t>27</w:t>
      </w:r>
      <w:r w:rsidRPr="00785161">
        <w:rPr>
          <w:noProof/>
        </w:rPr>
        <w:fldChar w:fldCharType="end"/>
      </w:r>
    </w:p>
    <w:p w14:paraId="189C98B8" w14:textId="38791422" w:rsidR="00785161" w:rsidRDefault="00785161">
      <w:pPr>
        <w:pStyle w:val="TOC5"/>
        <w:rPr>
          <w:rFonts w:asciiTheme="minorHAnsi" w:eastAsiaTheme="minorEastAsia" w:hAnsiTheme="minorHAnsi" w:cstheme="minorBidi"/>
          <w:noProof/>
          <w:kern w:val="2"/>
          <w:sz w:val="24"/>
          <w:szCs w:val="24"/>
          <w14:ligatures w14:val="standardContextual"/>
        </w:rPr>
      </w:pPr>
      <w:r>
        <w:rPr>
          <w:noProof/>
        </w:rPr>
        <w:t>19</w:t>
      </w:r>
      <w:r>
        <w:rPr>
          <w:noProof/>
        </w:rPr>
        <w:tab/>
        <w:t>Minister to set gender equality standards in relation to gender equality indicators</w:t>
      </w:r>
      <w:r w:rsidRPr="00785161">
        <w:rPr>
          <w:noProof/>
        </w:rPr>
        <w:tab/>
      </w:r>
      <w:r w:rsidRPr="00785161">
        <w:rPr>
          <w:noProof/>
        </w:rPr>
        <w:fldChar w:fldCharType="begin"/>
      </w:r>
      <w:r w:rsidRPr="00785161">
        <w:rPr>
          <w:noProof/>
        </w:rPr>
        <w:instrText xml:space="preserve"> PAGEREF _Toc195097045 \h </w:instrText>
      </w:r>
      <w:r w:rsidRPr="00785161">
        <w:rPr>
          <w:noProof/>
        </w:rPr>
      </w:r>
      <w:r w:rsidRPr="00785161">
        <w:rPr>
          <w:noProof/>
        </w:rPr>
        <w:fldChar w:fldCharType="separate"/>
      </w:r>
      <w:r w:rsidR="00556980">
        <w:rPr>
          <w:noProof/>
        </w:rPr>
        <w:t>28</w:t>
      </w:r>
      <w:r w:rsidRPr="00785161">
        <w:rPr>
          <w:noProof/>
        </w:rPr>
        <w:fldChar w:fldCharType="end"/>
      </w:r>
    </w:p>
    <w:p w14:paraId="4A9B9493" w14:textId="3E490AC7" w:rsidR="00785161" w:rsidRDefault="00785161">
      <w:pPr>
        <w:pStyle w:val="TOC5"/>
        <w:rPr>
          <w:rFonts w:asciiTheme="minorHAnsi" w:eastAsiaTheme="minorEastAsia" w:hAnsiTheme="minorHAnsi" w:cstheme="minorBidi"/>
          <w:noProof/>
          <w:kern w:val="2"/>
          <w:sz w:val="24"/>
          <w:szCs w:val="24"/>
          <w14:ligatures w14:val="standardContextual"/>
        </w:rPr>
      </w:pPr>
      <w:r>
        <w:rPr>
          <w:noProof/>
        </w:rPr>
        <w:t>19A</w:t>
      </w:r>
      <w:r>
        <w:rPr>
          <w:noProof/>
        </w:rPr>
        <w:tab/>
        <w:t>Agency may review compliance with Act</w:t>
      </w:r>
      <w:r w:rsidRPr="00785161">
        <w:rPr>
          <w:noProof/>
        </w:rPr>
        <w:tab/>
      </w:r>
      <w:r w:rsidRPr="00785161">
        <w:rPr>
          <w:noProof/>
        </w:rPr>
        <w:fldChar w:fldCharType="begin"/>
      </w:r>
      <w:r w:rsidRPr="00785161">
        <w:rPr>
          <w:noProof/>
        </w:rPr>
        <w:instrText xml:space="preserve"> PAGEREF _Toc195097046 \h </w:instrText>
      </w:r>
      <w:r w:rsidRPr="00785161">
        <w:rPr>
          <w:noProof/>
        </w:rPr>
      </w:r>
      <w:r w:rsidRPr="00785161">
        <w:rPr>
          <w:noProof/>
        </w:rPr>
        <w:fldChar w:fldCharType="separate"/>
      </w:r>
      <w:r w:rsidR="00556980">
        <w:rPr>
          <w:noProof/>
        </w:rPr>
        <w:t>28</w:t>
      </w:r>
      <w:r w:rsidRPr="00785161">
        <w:rPr>
          <w:noProof/>
        </w:rPr>
        <w:fldChar w:fldCharType="end"/>
      </w:r>
    </w:p>
    <w:p w14:paraId="4D9F9B0D" w14:textId="1AA40B34" w:rsidR="00785161" w:rsidRDefault="00785161">
      <w:pPr>
        <w:pStyle w:val="TOC5"/>
        <w:rPr>
          <w:rFonts w:asciiTheme="minorHAnsi" w:eastAsiaTheme="minorEastAsia" w:hAnsiTheme="minorHAnsi" w:cstheme="minorBidi"/>
          <w:noProof/>
          <w:kern w:val="2"/>
          <w:sz w:val="24"/>
          <w:szCs w:val="24"/>
          <w14:ligatures w14:val="standardContextual"/>
        </w:rPr>
      </w:pPr>
      <w:r>
        <w:rPr>
          <w:noProof/>
        </w:rPr>
        <w:t>19B</w:t>
      </w:r>
      <w:r>
        <w:rPr>
          <w:noProof/>
        </w:rPr>
        <w:tab/>
        <w:t>Relevant employer fails to comply with Act if employer gives false or misleading information</w:t>
      </w:r>
      <w:r w:rsidRPr="00785161">
        <w:rPr>
          <w:noProof/>
        </w:rPr>
        <w:tab/>
      </w:r>
      <w:r w:rsidRPr="00785161">
        <w:rPr>
          <w:noProof/>
        </w:rPr>
        <w:fldChar w:fldCharType="begin"/>
      </w:r>
      <w:r w:rsidRPr="00785161">
        <w:rPr>
          <w:noProof/>
        </w:rPr>
        <w:instrText xml:space="preserve"> PAGEREF _Toc195097047 \h </w:instrText>
      </w:r>
      <w:r w:rsidRPr="00785161">
        <w:rPr>
          <w:noProof/>
        </w:rPr>
      </w:r>
      <w:r w:rsidRPr="00785161">
        <w:rPr>
          <w:noProof/>
        </w:rPr>
        <w:fldChar w:fldCharType="separate"/>
      </w:r>
      <w:r w:rsidR="00556980">
        <w:rPr>
          <w:noProof/>
        </w:rPr>
        <w:t>29</w:t>
      </w:r>
      <w:r w:rsidRPr="00785161">
        <w:rPr>
          <w:noProof/>
        </w:rPr>
        <w:fldChar w:fldCharType="end"/>
      </w:r>
    </w:p>
    <w:p w14:paraId="7F0C1EC8" w14:textId="3C28C2E9" w:rsidR="00785161" w:rsidRDefault="00785161">
      <w:pPr>
        <w:pStyle w:val="TOC5"/>
        <w:rPr>
          <w:rFonts w:asciiTheme="minorHAnsi" w:eastAsiaTheme="minorEastAsia" w:hAnsiTheme="minorHAnsi" w:cstheme="minorBidi"/>
          <w:noProof/>
          <w:kern w:val="2"/>
          <w:sz w:val="24"/>
          <w:szCs w:val="24"/>
          <w14:ligatures w14:val="standardContextual"/>
        </w:rPr>
      </w:pPr>
      <w:r>
        <w:rPr>
          <w:noProof/>
        </w:rPr>
        <w:t>19C</w:t>
      </w:r>
      <w:r>
        <w:rPr>
          <w:noProof/>
        </w:rPr>
        <w:tab/>
        <w:t>Relevant employer fails to comply with Act if employer fails to improve against gender equality standard</w:t>
      </w:r>
      <w:r w:rsidRPr="00785161">
        <w:rPr>
          <w:noProof/>
        </w:rPr>
        <w:tab/>
      </w:r>
      <w:r w:rsidRPr="00785161">
        <w:rPr>
          <w:noProof/>
        </w:rPr>
        <w:fldChar w:fldCharType="begin"/>
      </w:r>
      <w:r w:rsidRPr="00785161">
        <w:rPr>
          <w:noProof/>
        </w:rPr>
        <w:instrText xml:space="preserve"> PAGEREF _Toc195097048 \h </w:instrText>
      </w:r>
      <w:r w:rsidRPr="00785161">
        <w:rPr>
          <w:noProof/>
        </w:rPr>
      </w:r>
      <w:r w:rsidRPr="00785161">
        <w:rPr>
          <w:noProof/>
        </w:rPr>
        <w:fldChar w:fldCharType="separate"/>
      </w:r>
      <w:r w:rsidR="00556980">
        <w:rPr>
          <w:noProof/>
        </w:rPr>
        <w:t>29</w:t>
      </w:r>
      <w:r w:rsidRPr="00785161">
        <w:rPr>
          <w:noProof/>
        </w:rPr>
        <w:fldChar w:fldCharType="end"/>
      </w:r>
    </w:p>
    <w:p w14:paraId="0F05CF6D" w14:textId="22F4566C" w:rsidR="00785161" w:rsidRDefault="00785161">
      <w:pPr>
        <w:pStyle w:val="TOC5"/>
        <w:rPr>
          <w:rFonts w:asciiTheme="minorHAnsi" w:eastAsiaTheme="minorEastAsia" w:hAnsiTheme="minorHAnsi" w:cstheme="minorBidi"/>
          <w:noProof/>
          <w:kern w:val="2"/>
          <w:sz w:val="24"/>
          <w:szCs w:val="24"/>
          <w14:ligatures w14:val="standardContextual"/>
        </w:rPr>
      </w:pPr>
      <w:r w:rsidRPr="009E47FD">
        <w:rPr>
          <w:rFonts w:eastAsiaTheme="minorHAnsi"/>
          <w:noProof/>
        </w:rPr>
        <w:t>19CA</w:t>
      </w:r>
      <w:r>
        <w:rPr>
          <w:noProof/>
        </w:rPr>
        <w:tab/>
        <w:t>Relevant employer fails to comply with Act if certain reports are not given to governing body</w:t>
      </w:r>
      <w:r w:rsidRPr="00785161">
        <w:rPr>
          <w:noProof/>
        </w:rPr>
        <w:tab/>
      </w:r>
      <w:r w:rsidRPr="00785161">
        <w:rPr>
          <w:noProof/>
        </w:rPr>
        <w:fldChar w:fldCharType="begin"/>
      </w:r>
      <w:r w:rsidRPr="00785161">
        <w:rPr>
          <w:noProof/>
        </w:rPr>
        <w:instrText xml:space="preserve"> PAGEREF _Toc195097049 \h </w:instrText>
      </w:r>
      <w:r w:rsidRPr="00785161">
        <w:rPr>
          <w:noProof/>
        </w:rPr>
      </w:r>
      <w:r w:rsidRPr="00785161">
        <w:rPr>
          <w:noProof/>
        </w:rPr>
        <w:fldChar w:fldCharType="separate"/>
      </w:r>
      <w:r w:rsidR="00556980">
        <w:rPr>
          <w:noProof/>
        </w:rPr>
        <w:t>30</w:t>
      </w:r>
      <w:r w:rsidRPr="00785161">
        <w:rPr>
          <w:noProof/>
        </w:rPr>
        <w:fldChar w:fldCharType="end"/>
      </w:r>
    </w:p>
    <w:p w14:paraId="6CF34A4F" w14:textId="3DC9EBD1" w:rsidR="00785161" w:rsidRDefault="00785161">
      <w:pPr>
        <w:pStyle w:val="TOC5"/>
        <w:rPr>
          <w:rFonts w:asciiTheme="minorHAnsi" w:eastAsiaTheme="minorEastAsia" w:hAnsiTheme="minorHAnsi" w:cstheme="minorBidi"/>
          <w:noProof/>
          <w:kern w:val="2"/>
          <w:sz w:val="24"/>
          <w:szCs w:val="24"/>
          <w14:ligatures w14:val="standardContextual"/>
        </w:rPr>
      </w:pPr>
      <w:r>
        <w:rPr>
          <w:noProof/>
        </w:rPr>
        <w:t>19D</w:t>
      </w:r>
      <w:r>
        <w:rPr>
          <w:noProof/>
        </w:rPr>
        <w:tab/>
        <w:t>Consequences of non</w:t>
      </w:r>
      <w:r>
        <w:rPr>
          <w:noProof/>
        </w:rPr>
        <w:noBreakHyphen/>
        <w:t>compliance with Act</w:t>
      </w:r>
      <w:r w:rsidRPr="00785161">
        <w:rPr>
          <w:noProof/>
        </w:rPr>
        <w:tab/>
      </w:r>
      <w:r w:rsidRPr="00785161">
        <w:rPr>
          <w:noProof/>
        </w:rPr>
        <w:fldChar w:fldCharType="begin"/>
      </w:r>
      <w:r w:rsidRPr="00785161">
        <w:rPr>
          <w:noProof/>
        </w:rPr>
        <w:instrText xml:space="preserve"> PAGEREF _Toc195097050 \h </w:instrText>
      </w:r>
      <w:r w:rsidRPr="00785161">
        <w:rPr>
          <w:noProof/>
        </w:rPr>
      </w:r>
      <w:r w:rsidRPr="00785161">
        <w:rPr>
          <w:noProof/>
        </w:rPr>
        <w:fldChar w:fldCharType="separate"/>
      </w:r>
      <w:r w:rsidR="00556980">
        <w:rPr>
          <w:noProof/>
        </w:rPr>
        <w:t>30</w:t>
      </w:r>
      <w:r w:rsidRPr="00785161">
        <w:rPr>
          <w:noProof/>
        </w:rPr>
        <w:fldChar w:fldCharType="end"/>
      </w:r>
    </w:p>
    <w:p w14:paraId="4C769E00" w14:textId="753E4040" w:rsidR="00785161" w:rsidRDefault="00785161">
      <w:pPr>
        <w:pStyle w:val="TOC5"/>
        <w:rPr>
          <w:rFonts w:asciiTheme="minorHAnsi" w:eastAsiaTheme="minorEastAsia" w:hAnsiTheme="minorHAnsi" w:cstheme="minorBidi"/>
          <w:noProof/>
          <w:kern w:val="2"/>
          <w:sz w:val="24"/>
          <w:szCs w:val="24"/>
          <w14:ligatures w14:val="standardContextual"/>
        </w:rPr>
      </w:pPr>
      <w:r>
        <w:rPr>
          <w:noProof/>
        </w:rPr>
        <w:t>19E</w:t>
      </w:r>
      <w:r>
        <w:rPr>
          <w:noProof/>
        </w:rPr>
        <w:tab/>
        <w:t>Agency to offer relevant employers advice and assistance if employers fail to meet gender equality standards</w:t>
      </w:r>
      <w:r w:rsidRPr="00785161">
        <w:rPr>
          <w:noProof/>
        </w:rPr>
        <w:tab/>
      </w:r>
      <w:r w:rsidRPr="00785161">
        <w:rPr>
          <w:noProof/>
        </w:rPr>
        <w:fldChar w:fldCharType="begin"/>
      </w:r>
      <w:r w:rsidRPr="00785161">
        <w:rPr>
          <w:noProof/>
        </w:rPr>
        <w:instrText xml:space="preserve"> PAGEREF _Toc195097051 \h </w:instrText>
      </w:r>
      <w:r w:rsidRPr="00785161">
        <w:rPr>
          <w:noProof/>
        </w:rPr>
      </w:r>
      <w:r w:rsidRPr="00785161">
        <w:rPr>
          <w:noProof/>
        </w:rPr>
        <w:fldChar w:fldCharType="separate"/>
      </w:r>
      <w:r w:rsidR="00556980">
        <w:rPr>
          <w:noProof/>
        </w:rPr>
        <w:t>32</w:t>
      </w:r>
      <w:r w:rsidRPr="00785161">
        <w:rPr>
          <w:noProof/>
        </w:rPr>
        <w:fldChar w:fldCharType="end"/>
      </w:r>
    </w:p>
    <w:p w14:paraId="7D985604" w14:textId="0D1A2EB4" w:rsidR="00785161" w:rsidRDefault="00785161">
      <w:pPr>
        <w:pStyle w:val="TOC2"/>
        <w:rPr>
          <w:rFonts w:asciiTheme="minorHAnsi" w:eastAsiaTheme="minorEastAsia" w:hAnsiTheme="minorHAnsi" w:cstheme="minorBidi"/>
          <w:b w:val="0"/>
          <w:noProof/>
          <w:kern w:val="2"/>
          <w:szCs w:val="24"/>
          <w14:ligatures w14:val="standardContextual"/>
        </w:rPr>
      </w:pPr>
      <w:r>
        <w:rPr>
          <w:noProof/>
        </w:rPr>
        <w:t>Part V—CEO</w:t>
      </w:r>
      <w:r w:rsidRPr="00785161">
        <w:rPr>
          <w:b w:val="0"/>
          <w:noProof/>
          <w:sz w:val="18"/>
        </w:rPr>
        <w:tab/>
      </w:r>
      <w:r w:rsidRPr="00785161">
        <w:rPr>
          <w:b w:val="0"/>
          <w:noProof/>
          <w:sz w:val="18"/>
        </w:rPr>
        <w:fldChar w:fldCharType="begin"/>
      </w:r>
      <w:r w:rsidRPr="00785161">
        <w:rPr>
          <w:b w:val="0"/>
          <w:noProof/>
          <w:sz w:val="18"/>
        </w:rPr>
        <w:instrText xml:space="preserve"> PAGEREF _Toc195097052 \h </w:instrText>
      </w:r>
      <w:r w:rsidRPr="00785161">
        <w:rPr>
          <w:b w:val="0"/>
          <w:noProof/>
          <w:sz w:val="18"/>
        </w:rPr>
      </w:r>
      <w:r w:rsidRPr="00785161">
        <w:rPr>
          <w:b w:val="0"/>
          <w:noProof/>
          <w:sz w:val="18"/>
        </w:rPr>
        <w:fldChar w:fldCharType="separate"/>
      </w:r>
      <w:r w:rsidR="00556980">
        <w:rPr>
          <w:b w:val="0"/>
          <w:noProof/>
          <w:sz w:val="18"/>
        </w:rPr>
        <w:t>33</w:t>
      </w:r>
      <w:r w:rsidRPr="00785161">
        <w:rPr>
          <w:b w:val="0"/>
          <w:noProof/>
          <w:sz w:val="18"/>
        </w:rPr>
        <w:fldChar w:fldCharType="end"/>
      </w:r>
    </w:p>
    <w:p w14:paraId="5828C67F" w14:textId="4F1348BF" w:rsidR="00785161" w:rsidRDefault="00785161">
      <w:pPr>
        <w:pStyle w:val="TOC5"/>
        <w:rPr>
          <w:rFonts w:asciiTheme="minorHAnsi" w:eastAsiaTheme="minorEastAsia" w:hAnsiTheme="minorHAnsi" w:cstheme="minorBidi"/>
          <w:noProof/>
          <w:kern w:val="2"/>
          <w:sz w:val="24"/>
          <w:szCs w:val="24"/>
          <w14:ligatures w14:val="standardContextual"/>
        </w:rPr>
      </w:pPr>
      <w:r w:rsidRPr="009E47FD">
        <w:rPr>
          <w:rFonts w:eastAsiaTheme="minorHAnsi"/>
          <w:noProof/>
        </w:rPr>
        <w:t>20AA</w:t>
      </w:r>
      <w:r>
        <w:rPr>
          <w:noProof/>
        </w:rPr>
        <w:tab/>
        <w:t>CEO</w:t>
      </w:r>
      <w:r w:rsidRPr="00785161">
        <w:rPr>
          <w:noProof/>
        </w:rPr>
        <w:tab/>
      </w:r>
      <w:r w:rsidRPr="00785161">
        <w:rPr>
          <w:noProof/>
        </w:rPr>
        <w:fldChar w:fldCharType="begin"/>
      </w:r>
      <w:r w:rsidRPr="00785161">
        <w:rPr>
          <w:noProof/>
        </w:rPr>
        <w:instrText xml:space="preserve"> PAGEREF _Toc195097053 \h </w:instrText>
      </w:r>
      <w:r w:rsidRPr="00785161">
        <w:rPr>
          <w:noProof/>
        </w:rPr>
      </w:r>
      <w:r w:rsidRPr="00785161">
        <w:rPr>
          <w:noProof/>
        </w:rPr>
        <w:fldChar w:fldCharType="separate"/>
      </w:r>
      <w:r w:rsidR="00556980">
        <w:rPr>
          <w:noProof/>
        </w:rPr>
        <w:t>33</w:t>
      </w:r>
      <w:r w:rsidRPr="00785161">
        <w:rPr>
          <w:noProof/>
        </w:rPr>
        <w:fldChar w:fldCharType="end"/>
      </w:r>
    </w:p>
    <w:p w14:paraId="2F53D778" w14:textId="2C1477FC" w:rsidR="00785161" w:rsidRDefault="00785161">
      <w:pPr>
        <w:pStyle w:val="TOC5"/>
        <w:rPr>
          <w:rFonts w:asciiTheme="minorHAnsi" w:eastAsiaTheme="minorEastAsia" w:hAnsiTheme="minorHAnsi" w:cstheme="minorBidi"/>
          <w:noProof/>
          <w:kern w:val="2"/>
          <w:sz w:val="24"/>
          <w:szCs w:val="24"/>
          <w14:ligatures w14:val="standardContextual"/>
        </w:rPr>
      </w:pPr>
      <w:r>
        <w:rPr>
          <w:noProof/>
        </w:rPr>
        <w:t>20</w:t>
      </w:r>
      <w:r>
        <w:rPr>
          <w:noProof/>
        </w:rPr>
        <w:tab/>
        <w:t>Appointment of CEO</w:t>
      </w:r>
      <w:r w:rsidRPr="00785161">
        <w:rPr>
          <w:noProof/>
        </w:rPr>
        <w:tab/>
      </w:r>
      <w:r w:rsidRPr="00785161">
        <w:rPr>
          <w:noProof/>
        </w:rPr>
        <w:fldChar w:fldCharType="begin"/>
      </w:r>
      <w:r w:rsidRPr="00785161">
        <w:rPr>
          <w:noProof/>
        </w:rPr>
        <w:instrText xml:space="preserve"> PAGEREF _Toc195097054 \h </w:instrText>
      </w:r>
      <w:r w:rsidRPr="00785161">
        <w:rPr>
          <w:noProof/>
        </w:rPr>
      </w:r>
      <w:r w:rsidRPr="00785161">
        <w:rPr>
          <w:noProof/>
        </w:rPr>
        <w:fldChar w:fldCharType="separate"/>
      </w:r>
      <w:r w:rsidR="00556980">
        <w:rPr>
          <w:noProof/>
        </w:rPr>
        <w:t>33</w:t>
      </w:r>
      <w:r w:rsidRPr="00785161">
        <w:rPr>
          <w:noProof/>
        </w:rPr>
        <w:fldChar w:fldCharType="end"/>
      </w:r>
    </w:p>
    <w:p w14:paraId="3E7DEE8F" w14:textId="7E187DE5" w:rsidR="00785161" w:rsidRDefault="00785161">
      <w:pPr>
        <w:pStyle w:val="TOC5"/>
        <w:rPr>
          <w:rFonts w:asciiTheme="minorHAnsi" w:eastAsiaTheme="minorEastAsia" w:hAnsiTheme="minorHAnsi" w:cstheme="minorBidi"/>
          <w:noProof/>
          <w:kern w:val="2"/>
          <w:sz w:val="24"/>
          <w:szCs w:val="24"/>
          <w14:ligatures w14:val="standardContextual"/>
        </w:rPr>
      </w:pPr>
      <w:r>
        <w:rPr>
          <w:noProof/>
        </w:rPr>
        <w:t>21</w:t>
      </w:r>
      <w:r>
        <w:rPr>
          <w:noProof/>
        </w:rPr>
        <w:tab/>
        <w:t>Tenure of CEO</w:t>
      </w:r>
      <w:r w:rsidRPr="00785161">
        <w:rPr>
          <w:noProof/>
        </w:rPr>
        <w:tab/>
      </w:r>
      <w:r w:rsidRPr="00785161">
        <w:rPr>
          <w:noProof/>
        </w:rPr>
        <w:fldChar w:fldCharType="begin"/>
      </w:r>
      <w:r w:rsidRPr="00785161">
        <w:rPr>
          <w:noProof/>
        </w:rPr>
        <w:instrText xml:space="preserve"> PAGEREF _Toc195097055 \h </w:instrText>
      </w:r>
      <w:r w:rsidRPr="00785161">
        <w:rPr>
          <w:noProof/>
        </w:rPr>
      </w:r>
      <w:r w:rsidRPr="00785161">
        <w:rPr>
          <w:noProof/>
        </w:rPr>
        <w:fldChar w:fldCharType="separate"/>
      </w:r>
      <w:r w:rsidR="00556980">
        <w:rPr>
          <w:noProof/>
        </w:rPr>
        <w:t>33</w:t>
      </w:r>
      <w:r w:rsidRPr="00785161">
        <w:rPr>
          <w:noProof/>
        </w:rPr>
        <w:fldChar w:fldCharType="end"/>
      </w:r>
    </w:p>
    <w:p w14:paraId="0035C73C" w14:textId="5A8D7E29" w:rsidR="00785161" w:rsidRDefault="00785161">
      <w:pPr>
        <w:pStyle w:val="TOC5"/>
        <w:rPr>
          <w:rFonts w:asciiTheme="minorHAnsi" w:eastAsiaTheme="minorEastAsia" w:hAnsiTheme="minorHAnsi" w:cstheme="minorBidi"/>
          <w:noProof/>
          <w:kern w:val="2"/>
          <w:sz w:val="24"/>
          <w:szCs w:val="24"/>
          <w14:ligatures w14:val="standardContextual"/>
        </w:rPr>
      </w:pPr>
      <w:r>
        <w:rPr>
          <w:noProof/>
        </w:rPr>
        <w:t>22</w:t>
      </w:r>
      <w:r>
        <w:rPr>
          <w:noProof/>
        </w:rPr>
        <w:tab/>
        <w:t>Remuneration and allowances</w:t>
      </w:r>
      <w:r w:rsidRPr="00785161">
        <w:rPr>
          <w:noProof/>
        </w:rPr>
        <w:tab/>
      </w:r>
      <w:r w:rsidRPr="00785161">
        <w:rPr>
          <w:noProof/>
        </w:rPr>
        <w:fldChar w:fldCharType="begin"/>
      </w:r>
      <w:r w:rsidRPr="00785161">
        <w:rPr>
          <w:noProof/>
        </w:rPr>
        <w:instrText xml:space="preserve"> PAGEREF _Toc195097056 \h </w:instrText>
      </w:r>
      <w:r w:rsidRPr="00785161">
        <w:rPr>
          <w:noProof/>
        </w:rPr>
      </w:r>
      <w:r w:rsidRPr="00785161">
        <w:rPr>
          <w:noProof/>
        </w:rPr>
        <w:fldChar w:fldCharType="separate"/>
      </w:r>
      <w:r w:rsidR="00556980">
        <w:rPr>
          <w:noProof/>
        </w:rPr>
        <w:t>33</w:t>
      </w:r>
      <w:r w:rsidRPr="00785161">
        <w:rPr>
          <w:noProof/>
        </w:rPr>
        <w:fldChar w:fldCharType="end"/>
      </w:r>
    </w:p>
    <w:p w14:paraId="2A28EFC3" w14:textId="55933E71" w:rsidR="00785161" w:rsidRDefault="00785161">
      <w:pPr>
        <w:pStyle w:val="TOC5"/>
        <w:rPr>
          <w:rFonts w:asciiTheme="minorHAnsi" w:eastAsiaTheme="minorEastAsia" w:hAnsiTheme="minorHAnsi" w:cstheme="minorBidi"/>
          <w:noProof/>
          <w:kern w:val="2"/>
          <w:sz w:val="24"/>
          <w:szCs w:val="24"/>
          <w14:ligatures w14:val="standardContextual"/>
        </w:rPr>
      </w:pPr>
      <w:r>
        <w:rPr>
          <w:noProof/>
        </w:rPr>
        <w:t>23</w:t>
      </w:r>
      <w:r>
        <w:rPr>
          <w:noProof/>
        </w:rPr>
        <w:tab/>
        <w:t>Leave of absence</w:t>
      </w:r>
      <w:r w:rsidRPr="00785161">
        <w:rPr>
          <w:noProof/>
        </w:rPr>
        <w:tab/>
      </w:r>
      <w:r w:rsidRPr="00785161">
        <w:rPr>
          <w:noProof/>
        </w:rPr>
        <w:fldChar w:fldCharType="begin"/>
      </w:r>
      <w:r w:rsidRPr="00785161">
        <w:rPr>
          <w:noProof/>
        </w:rPr>
        <w:instrText xml:space="preserve"> PAGEREF _Toc195097057 \h </w:instrText>
      </w:r>
      <w:r w:rsidRPr="00785161">
        <w:rPr>
          <w:noProof/>
        </w:rPr>
      </w:r>
      <w:r w:rsidRPr="00785161">
        <w:rPr>
          <w:noProof/>
        </w:rPr>
        <w:fldChar w:fldCharType="separate"/>
      </w:r>
      <w:r w:rsidR="00556980">
        <w:rPr>
          <w:noProof/>
        </w:rPr>
        <w:t>34</w:t>
      </w:r>
      <w:r w:rsidRPr="00785161">
        <w:rPr>
          <w:noProof/>
        </w:rPr>
        <w:fldChar w:fldCharType="end"/>
      </w:r>
    </w:p>
    <w:p w14:paraId="7F82D0B2" w14:textId="06BC4D5C" w:rsidR="00785161" w:rsidRDefault="00785161">
      <w:pPr>
        <w:pStyle w:val="TOC5"/>
        <w:rPr>
          <w:rFonts w:asciiTheme="minorHAnsi" w:eastAsiaTheme="minorEastAsia" w:hAnsiTheme="minorHAnsi" w:cstheme="minorBidi"/>
          <w:noProof/>
          <w:kern w:val="2"/>
          <w:sz w:val="24"/>
          <w:szCs w:val="24"/>
          <w14:ligatures w14:val="standardContextual"/>
        </w:rPr>
      </w:pPr>
      <w:r>
        <w:rPr>
          <w:noProof/>
        </w:rPr>
        <w:t>24</w:t>
      </w:r>
      <w:r>
        <w:rPr>
          <w:noProof/>
        </w:rPr>
        <w:tab/>
        <w:t>Outside employment</w:t>
      </w:r>
      <w:r w:rsidRPr="00785161">
        <w:rPr>
          <w:noProof/>
        </w:rPr>
        <w:tab/>
      </w:r>
      <w:r w:rsidRPr="00785161">
        <w:rPr>
          <w:noProof/>
        </w:rPr>
        <w:fldChar w:fldCharType="begin"/>
      </w:r>
      <w:r w:rsidRPr="00785161">
        <w:rPr>
          <w:noProof/>
        </w:rPr>
        <w:instrText xml:space="preserve"> PAGEREF _Toc195097058 \h </w:instrText>
      </w:r>
      <w:r w:rsidRPr="00785161">
        <w:rPr>
          <w:noProof/>
        </w:rPr>
      </w:r>
      <w:r w:rsidRPr="00785161">
        <w:rPr>
          <w:noProof/>
        </w:rPr>
        <w:fldChar w:fldCharType="separate"/>
      </w:r>
      <w:r w:rsidR="00556980">
        <w:rPr>
          <w:noProof/>
        </w:rPr>
        <w:t>34</w:t>
      </w:r>
      <w:r w:rsidRPr="00785161">
        <w:rPr>
          <w:noProof/>
        </w:rPr>
        <w:fldChar w:fldCharType="end"/>
      </w:r>
    </w:p>
    <w:p w14:paraId="588D487B" w14:textId="2163E733" w:rsidR="00785161" w:rsidRDefault="00785161">
      <w:pPr>
        <w:pStyle w:val="TOC5"/>
        <w:rPr>
          <w:rFonts w:asciiTheme="minorHAnsi" w:eastAsiaTheme="minorEastAsia" w:hAnsiTheme="minorHAnsi" w:cstheme="minorBidi"/>
          <w:noProof/>
          <w:kern w:val="2"/>
          <w:sz w:val="24"/>
          <w:szCs w:val="24"/>
          <w14:ligatures w14:val="standardContextual"/>
        </w:rPr>
      </w:pPr>
      <w:r>
        <w:rPr>
          <w:noProof/>
        </w:rPr>
        <w:t>25</w:t>
      </w:r>
      <w:r>
        <w:rPr>
          <w:noProof/>
        </w:rPr>
        <w:tab/>
        <w:t>Resignation</w:t>
      </w:r>
      <w:r w:rsidRPr="00785161">
        <w:rPr>
          <w:noProof/>
        </w:rPr>
        <w:tab/>
      </w:r>
      <w:r w:rsidRPr="00785161">
        <w:rPr>
          <w:noProof/>
        </w:rPr>
        <w:fldChar w:fldCharType="begin"/>
      </w:r>
      <w:r w:rsidRPr="00785161">
        <w:rPr>
          <w:noProof/>
        </w:rPr>
        <w:instrText xml:space="preserve"> PAGEREF _Toc195097059 \h </w:instrText>
      </w:r>
      <w:r w:rsidRPr="00785161">
        <w:rPr>
          <w:noProof/>
        </w:rPr>
      </w:r>
      <w:r w:rsidRPr="00785161">
        <w:rPr>
          <w:noProof/>
        </w:rPr>
        <w:fldChar w:fldCharType="separate"/>
      </w:r>
      <w:r w:rsidR="00556980">
        <w:rPr>
          <w:noProof/>
        </w:rPr>
        <w:t>34</w:t>
      </w:r>
      <w:r w:rsidRPr="00785161">
        <w:rPr>
          <w:noProof/>
        </w:rPr>
        <w:fldChar w:fldCharType="end"/>
      </w:r>
    </w:p>
    <w:p w14:paraId="3F226E6D" w14:textId="48C7172D" w:rsidR="00785161" w:rsidRDefault="00785161">
      <w:pPr>
        <w:pStyle w:val="TOC5"/>
        <w:rPr>
          <w:rFonts w:asciiTheme="minorHAnsi" w:eastAsiaTheme="minorEastAsia" w:hAnsiTheme="minorHAnsi" w:cstheme="minorBidi"/>
          <w:noProof/>
          <w:kern w:val="2"/>
          <w:sz w:val="24"/>
          <w:szCs w:val="24"/>
          <w14:ligatures w14:val="standardContextual"/>
        </w:rPr>
      </w:pPr>
      <w:r>
        <w:rPr>
          <w:noProof/>
        </w:rPr>
        <w:t>26</w:t>
      </w:r>
      <w:r>
        <w:rPr>
          <w:noProof/>
        </w:rPr>
        <w:tab/>
        <w:t>Termination of appointment</w:t>
      </w:r>
      <w:r w:rsidRPr="00785161">
        <w:rPr>
          <w:noProof/>
        </w:rPr>
        <w:tab/>
      </w:r>
      <w:r w:rsidRPr="00785161">
        <w:rPr>
          <w:noProof/>
        </w:rPr>
        <w:fldChar w:fldCharType="begin"/>
      </w:r>
      <w:r w:rsidRPr="00785161">
        <w:rPr>
          <w:noProof/>
        </w:rPr>
        <w:instrText xml:space="preserve"> PAGEREF _Toc195097060 \h </w:instrText>
      </w:r>
      <w:r w:rsidRPr="00785161">
        <w:rPr>
          <w:noProof/>
        </w:rPr>
      </w:r>
      <w:r w:rsidRPr="00785161">
        <w:rPr>
          <w:noProof/>
        </w:rPr>
        <w:fldChar w:fldCharType="separate"/>
      </w:r>
      <w:r w:rsidR="00556980">
        <w:rPr>
          <w:noProof/>
        </w:rPr>
        <w:t>34</w:t>
      </w:r>
      <w:r w:rsidRPr="00785161">
        <w:rPr>
          <w:noProof/>
        </w:rPr>
        <w:fldChar w:fldCharType="end"/>
      </w:r>
    </w:p>
    <w:p w14:paraId="26F319F9" w14:textId="209FF626" w:rsidR="00785161" w:rsidRDefault="00785161">
      <w:pPr>
        <w:pStyle w:val="TOC5"/>
        <w:rPr>
          <w:rFonts w:asciiTheme="minorHAnsi" w:eastAsiaTheme="minorEastAsia" w:hAnsiTheme="minorHAnsi" w:cstheme="minorBidi"/>
          <w:noProof/>
          <w:kern w:val="2"/>
          <w:sz w:val="24"/>
          <w:szCs w:val="24"/>
          <w14:ligatures w14:val="standardContextual"/>
        </w:rPr>
      </w:pPr>
      <w:r>
        <w:rPr>
          <w:noProof/>
        </w:rPr>
        <w:t>27</w:t>
      </w:r>
      <w:r>
        <w:rPr>
          <w:noProof/>
        </w:rPr>
        <w:tab/>
        <w:t>Disclosure of interest</w:t>
      </w:r>
      <w:r w:rsidRPr="00785161">
        <w:rPr>
          <w:noProof/>
        </w:rPr>
        <w:tab/>
      </w:r>
      <w:r w:rsidRPr="00785161">
        <w:rPr>
          <w:noProof/>
        </w:rPr>
        <w:fldChar w:fldCharType="begin"/>
      </w:r>
      <w:r w:rsidRPr="00785161">
        <w:rPr>
          <w:noProof/>
        </w:rPr>
        <w:instrText xml:space="preserve"> PAGEREF _Toc195097061 \h </w:instrText>
      </w:r>
      <w:r w:rsidRPr="00785161">
        <w:rPr>
          <w:noProof/>
        </w:rPr>
      </w:r>
      <w:r w:rsidRPr="00785161">
        <w:rPr>
          <w:noProof/>
        </w:rPr>
        <w:fldChar w:fldCharType="separate"/>
      </w:r>
      <w:r w:rsidR="00556980">
        <w:rPr>
          <w:noProof/>
        </w:rPr>
        <w:t>35</w:t>
      </w:r>
      <w:r w:rsidRPr="00785161">
        <w:rPr>
          <w:noProof/>
        </w:rPr>
        <w:fldChar w:fldCharType="end"/>
      </w:r>
    </w:p>
    <w:p w14:paraId="57383F25" w14:textId="6DE8DC95" w:rsidR="00785161" w:rsidRDefault="00785161">
      <w:pPr>
        <w:pStyle w:val="TOC5"/>
        <w:rPr>
          <w:rFonts w:asciiTheme="minorHAnsi" w:eastAsiaTheme="minorEastAsia" w:hAnsiTheme="minorHAnsi" w:cstheme="minorBidi"/>
          <w:noProof/>
          <w:kern w:val="2"/>
          <w:sz w:val="24"/>
          <w:szCs w:val="24"/>
          <w14:ligatures w14:val="standardContextual"/>
        </w:rPr>
      </w:pPr>
      <w:r>
        <w:rPr>
          <w:noProof/>
        </w:rPr>
        <w:t>28</w:t>
      </w:r>
      <w:r>
        <w:rPr>
          <w:noProof/>
        </w:rPr>
        <w:tab/>
        <w:t>Acting appointment</w:t>
      </w:r>
      <w:r w:rsidRPr="00785161">
        <w:rPr>
          <w:noProof/>
        </w:rPr>
        <w:tab/>
      </w:r>
      <w:r w:rsidRPr="00785161">
        <w:rPr>
          <w:noProof/>
        </w:rPr>
        <w:fldChar w:fldCharType="begin"/>
      </w:r>
      <w:r w:rsidRPr="00785161">
        <w:rPr>
          <w:noProof/>
        </w:rPr>
        <w:instrText xml:space="preserve"> PAGEREF _Toc195097062 \h </w:instrText>
      </w:r>
      <w:r w:rsidRPr="00785161">
        <w:rPr>
          <w:noProof/>
        </w:rPr>
      </w:r>
      <w:r w:rsidRPr="00785161">
        <w:rPr>
          <w:noProof/>
        </w:rPr>
        <w:fldChar w:fldCharType="separate"/>
      </w:r>
      <w:r w:rsidR="00556980">
        <w:rPr>
          <w:noProof/>
        </w:rPr>
        <w:t>35</w:t>
      </w:r>
      <w:r w:rsidRPr="00785161">
        <w:rPr>
          <w:noProof/>
        </w:rPr>
        <w:fldChar w:fldCharType="end"/>
      </w:r>
    </w:p>
    <w:p w14:paraId="23DB588B" w14:textId="0CD92EF6" w:rsidR="00785161" w:rsidRDefault="00785161">
      <w:pPr>
        <w:pStyle w:val="TOC2"/>
        <w:rPr>
          <w:rFonts w:asciiTheme="minorHAnsi" w:eastAsiaTheme="minorEastAsia" w:hAnsiTheme="minorHAnsi" w:cstheme="minorBidi"/>
          <w:b w:val="0"/>
          <w:noProof/>
          <w:kern w:val="2"/>
          <w:szCs w:val="24"/>
          <w14:ligatures w14:val="standardContextual"/>
        </w:rPr>
      </w:pPr>
      <w:r>
        <w:rPr>
          <w:noProof/>
        </w:rPr>
        <w:t>Part VI—Miscellaneous</w:t>
      </w:r>
      <w:r w:rsidRPr="00785161">
        <w:rPr>
          <w:b w:val="0"/>
          <w:noProof/>
          <w:sz w:val="18"/>
        </w:rPr>
        <w:tab/>
      </w:r>
      <w:r w:rsidRPr="00785161">
        <w:rPr>
          <w:b w:val="0"/>
          <w:noProof/>
          <w:sz w:val="18"/>
        </w:rPr>
        <w:fldChar w:fldCharType="begin"/>
      </w:r>
      <w:r w:rsidRPr="00785161">
        <w:rPr>
          <w:b w:val="0"/>
          <w:noProof/>
          <w:sz w:val="18"/>
        </w:rPr>
        <w:instrText xml:space="preserve"> PAGEREF _Toc195097063 \h </w:instrText>
      </w:r>
      <w:r w:rsidRPr="00785161">
        <w:rPr>
          <w:b w:val="0"/>
          <w:noProof/>
          <w:sz w:val="18"/>
        </w:rPr>
      </w:r>
      <w:r w:rsidRPr="00785161">
        <w:rPr>
          <w:b w:val="0"/>
          <w:noProof/>
          <w:sz w:val="18"/>
        </w:rPr>
        <w:fldChar w:fldCharType="separate"/>
      </w:r>
      <w:r w:rsidR="00556980">
        <w:rPr>
          <w:b w:val="0"/>
          <w:noProof/>
          <w:sz w:val="18"/>
        </w:rPr>
        <w:t>37</w:t>
      </w:r>
      <w:r w:rsidRPr="00785161">
        <w:rPr>
          <w:b w:val="0"/>
          <w:noProof/>
          <w:sz w:val="18"/>
        </w:rPr>
        <w:fldChar w:fldCharType="end"/>
      </w:r>
    </w:p>
    <w:p w14:paraId="30E087C4" w14:textId="172EFC76" w:rsidR="00785161" w:rsidRDefault="00785161">
      <w:pPr>
        <w:pStyle w:val="TOC5"/>
        <w:rPr>
          <w:rFonts w:asciiTheme="minorHAnsi" w:eastAsiaTheme="minorEastAsia" w:hAnsiTheme="minorHAnsi" w:cstheme="minorBidi"/>
          <w:noProof/>
          <w:kern w:val="2"/>
          <w:sz w:val="24"/>
          <w:szCs w:val="24"/>
          <w14:ligatures w14:val="standardContextual"/>
        </w:rPr>
      </w:pPr>
      <w:r>
        <w:rPr>
          <w:noProof/>
        </w:rPr>
        <w:t>29</w:t>
      </w:r>
      <w:r>
        <w:rPr>
          <w:noProof/>
        </w:rPr>
        <w:tab/>
        <w:t>Staff</w:t>
      </w:r>
      <w:r w:rsidRPr="00785161">
        <w:rPr>
          <w:noProof/>
        </w:rPr>
        <w:tab/>
      </w:r>
      <w:r w:rsidRPr="00785161">
        <w:rPr>
          <w:noProof/>
        </w:rPr>
        <w:fldChar w:fldCharType="begin"/>
      </w:r>
      <w:r w:rsidRPr="00785161">
        <w:rPr>
          <w:noProof/>
        </w:rPr>
        <w:instrText xml:space="preserve"> PAGEREF _Toc195097064 \h </w:instrText>
      </w:r>
      <w:r w:rsidRPr="00785161">
        <w:rPr>
          <w:noProof/>
        </w:rPr>
      </w:r>
      <w:r w:rsidRPr="00785161">
        <w:rPr>
          <w:noProof/>
        </w:rPr>
        <w:fldChar w:fldCharType="separate"/>
      </w:r>
      <w:r w:rsidR="00556980">
        <w:rPr>
          <w:noProof/>
        </w:rPr>
        <w:t>37</w:t>
      </w:r>
      <w:r w:rsidRPr="00785161">
        <w:rPr>
          <w:noProof/>
        </w:rPr>
        <w:fldChar w:fldCharType="end"/>
      </w:r>
    </w:p>
    <w:p w14:paraId="30C537AE" w14:textId="63068775" w:rsidR="00785161" w:rsidRDefault="00785161">
      <w:pPr>
        <w:pStyle w:val="TOC5"/>
        <w:rPr>
          <w:rFonts w:asciiTheme="minorHAnsi" w:eastAsiaTheme="minorEastAsia" w:hAnsiTheme="minorHAnsi" w:cstheme="minorBidi"/>
          <w:noProof/>
          <w:kern w:val="2"/>
          <w:sz w:val="24"/>
          <w:szCs w:val="24"/>
          <w14:ligatures w14:val="standardContextual"/>
        </w:rPr>
      </w:pPr>
      <w:r>
        <w:rPr>
          <w:noProof/>
        </w:rPr>
        <w:t>30</w:t>
      </w:r>
      <w:r>
        <w:rPr>
          <w:noProof/>
        </w:rPr>
        <w:tab/>
        <w:t>Consultants</w:t>
      </w:r>
      <w:r w:rsidRPr="00785161">
        <w:rPr>
          <w:noProof/>
        </w:rPr>
        <w:tab/>
      </w:r>
      <w:r w:rsidRPr="00785161">
        <w:rPr>
          <w:noProof/>
        </w:rPr>
        <w:fldChar w:fldCharType="begin"/>
      </w:r>
      <w:r w:rsidRPr="00785161">
        <w:rPr>
          <w:noProof/>
        </w:rPr>
        <w:instrText xml:space="preserve"> PAGEREF _Toc195097065 \h </w:instrText>
      </w:r>
      <w:r w:rsidRPr="00785161">
        <w:rPr>
          <w:noProof/>
        </w:rPr>
      </w:r>
      <w:r w:rsidRPr="00785161">
        <w:rPr>
          <w:noProof/>
        </w:rPr>
        <w:fldChar w:fldCharType="separate"/>
      </w:r>
      <w:r w:rsidR="00556980">
        <w:rPr>
          <w:noProof/>
        </w:rPr>
        <w:t>37</w:t>
      </w:r>
      <w:r w:rsidRPr="00785161">
        <w:rPr>
          <w:noProof/>
        </w:rPr>
        <w:fldChar w:fldCharType="end"/>
      </w:r>
    </w:p>
    <w:p w14:paraId="18F5E102" w14:textId="43A598A8" w:rsidR="00785161" w:rsidRDefault="00785161">
      <w:pPr>
        <w:pStyle w:val="TOC5"/>
        <w:rPr>
          <w:rFonts w:asciiTheme="minorHAnsi" w:eastAsiaTheme="minorEastAsia" w:hAnsiTheme="minorHAnsi" w:cstheme="minorBidi"/>
          <w:noProof/>
          <w:kern w:val="2"/>
          <w:sz w:val="24"/>
          <w:szCs w:val="24"/>
          <w14:ligatures w14:val="standardContextual"/>
        </w:rPr>
      </w:pPr>
      <w:r>
        <w:rPr>
          <w:noProof/>
        </w:rPr>
        <w:t>31</w:t>
      </w:r>
      <w:r>
        <w:rPr>
          <w:noProof/>
        </w:rPr>
        <w:tab/>
        <w:t>Advisory committees</w:t>
      </w:r>
      <w:r w:rsidRPr="00785161">
        <w:rPr>
          <w:noProof/>
        </w:rPr>
        <w:tab/>
      </w:r>
      <w:r w:rsidRPr="00785161">
        <w:rPr>
          <w:noProof/>
        </w:rPr>
        <w:fldChar w:fldCharType="begin"/>
      </w:r>
      <w:r w:rsidRPr="00785161">
        <w:rPr>
          <w:noProof/>
        </w:rPr>
        <w:instrText xml:space="preserve"> PAGEREF _Toc195097066 \h </w:instrText>
      </w:r>
      <w:r w:rsidRPr="00785161">
        <w:rPr>
          <w:noProof/>
        </w:rPr>
      </w:r>
      <w:r w:rsidRPr="00785161">
        <w:rPr>
          <w:noProof/>
        </w:rPr>
        <w:fldChar w:fldCharType="separate"/>
      </w:r>
      <w:r w:rsidR="00556980">
        <w:rPr>
          <w:noProof/>
        </w:rPr>
        <w:t>37</w:t>
      </w:r>
      <w:r w:rsidRPr="00785161">
        <w:rPr>
          <w:noProof/>
        </w:rPr>
        <w:fldChar w:fldCharType="end"/>
      </w:r>
    </w:p>
    <w:p w14:paraId="2BC5D88D" w14:textId="60DCFCAD" w:rsidR="00785161" w:rsidRDefault="00785161">
      <w:pPr>
        <w:pStyle w:val="TOC5"/>
        <w:rPr>
          <w:rFonts w:asciiTheme="minorHAnsi" w:eastAsiaTheme="minorEastAsia" w:hAnsiTheme="minorHAnsi" w:cstheme="minorBidi"/>
          <w:noProof/>
          <w:kern w:val="2"/>
          <w:sz w:val="24"/>
          <w:szCs w:val="24"/>
          <w14:ligatures w14:val="standardContextual"/>
        </w:rPr>
      </w:pPr>
      <w:r>
        <w:rPr>
          <w:noProof/>
        </w:rPr>
        <w:t>32</w:t>
      </w:r>
      <w:r>
        <w:rPr>
          <w:noProof/>
        </w:rPr>
        <w:tab/>
        <w:t>Non</w:t>
      </w:r>
      <w:r>
        <w:rPr>
          <w:noProof/>
        </w:rPr>
        <w:noBreakHyphen/>
        <w:t>disclosure of confidential information</w:t>
      </w:r>
      <w:r w:rsidRPr="00785161">
        <w:rPr>
          <w:noProof/>
        </w:rPr>
        <w:tab/>
      </w:r>
      <w:r w:rsidRPr="00785161">
        <w:rPr>
          <w:noProof/>
        </w:rPr>
        <w:fldChar w:fldCharType="begin"/>
      </w:r>
      <w:r w:rsidRPr="00785161">
        <w:rPr>
          <w:noProof/>
        </w:rPr>
        <w:instrText xml:space="preserve"> PAGEREF _Toc195097067 \h </w:instrText>
      </w:r>
      <w:r w:rsidRPr="00785161">
        <w:rPr>
          <w:noProof/>
        </w:rPr>
      </w:r>
      <w:r w:rsidRPr="00785161">
        <w:rPr>
          <w:noProof/>
        </w:rPr>
        <w:fldChar w:fldCharType="separate"/>
      </w:r>
      <w:r w:rsidR="00556980">
        <w:rPr>
          <w:noProof/>
        </w:rPr>
        <w:t>38</w:t>
      </w:r>
      <w:r w:rsidRPr="00785161">
        <w:rPr>
          <w:noProof/>
        </w:rPr>
        <w:fldChar w:fldCharType="end"/>
      </w:r>
    </w:p>
    <w:p w14:paraId="6011765B" w14:textId="7484B532" w:rsidR="00785161" w:rsidRDefault="00785161">
      <w:pPr>
        <w:pStyle w:val="TOC5"/>
        <w:rPr>
          <w:rFonts w:asciiTheme="minorHAnsi" w:eastAsiaTheme="minorEastAsia" w:hAnsiTheme="minorHAnsi" w:cstheme="minorBidi"/>
          <w:noProof/>
          <w:kern w:val="2"/>
          <w:sz w:val="24"/>
          <w:szCs w:val="24"/>
          <w14:ligatures w14:val="standardContextual"/>
        </w:rPr>
      </w:pPr>
      <w:r>
        <w:rPr>
          <w:noProof/>
        </w:rPr>
        <w:t>33</w:t>
      </w:r>
      <w:r>
        <w:rPr>
          <w:noProof/>
        </w:rPr>
        <w:tab/>
        <w:t>Delegation</w:t>
      </w:r>
      <w:r w:rsidRPr="00785161">
        <w:rPr>
          <w:noProof/>
        </w:rPr>
        <w:tab/>
      </w:r>
      <w:r w:rsidRPr="00785161">
        <w:rPr>
          <w:noProof/>
        </w:rPr>
        <w:fldChar w:fldCharType="begin"/>
      </w:r>
      <w:r w:rsidRPr="00785161">
        <w:rPr>
          <w:noProof/>
        </w:rPr>
        <w:instrText xml:space="preserve"> PAGEREF _Toc195097068 \h </w:instrText>
      </w:r>
      <w:r w:rsidRPr="00785161">
        <w:rPr>
          <w:noProof/>
        </w:rPr>
      </w:r>
      <w:r w:rsidRPr="00785161">
        <w:rPr>
          <w:noProof/>
        </w:rPr>
        <w:fldChar w:fldCharType="separate"/>
      </w:r>
      <w:r w:rsidR="00556980">
        <w:rPr>
          <w:noProof/>
        </w:rPr>
        <w:t>40</w:t>
      </w:r>
      <w:r w:rsidRPr="00785161">
        <w:rPr>
          <w:noProof/>
        </w:rPr>
        <w:fldChar w:fldCharType="end"/>
      </w:r>
    </w:p>
    <w:p w14:paraId="18F678CC" w14:textId="7D8F6568" w:rsidR="00785161" w:rsidRDefault="00785161">
      <w:pPr>
        <w:pStyle w:val="TOC5"/>
        <w:rPr>
          <w:rFonts w:asciiTheme="minorHAnsi" w:eastAsiaTheme="minorEastAsia" w:hAnsiTheme="minorHAnsi" w:cstheme="minorBidi"/>
          <w:noProof/>
          <w:kern w:val="2"/>
          <w:sz w:val="24"/>
          <w:szCs w:val="24"/>
          <w14:ligatures w14:val="standardContextual"/>
        </w:rPr>
      </w:pPr>
      <w:r>
        <w:rPr>
          <w:noProof/>
        </w:rPr>
        <w:t>33A</w:t>
      </w:r>
      <w:r>
        <w:rPr>
          <w:noProof/>
        </w:rPr>
        <w:tab/>
        <w:t>Minister to consult before making legislative instruments</w:t>
      </w:r>
      <w:r w:rsidRPr="00785161">
        <w:rPr>
          <w:noProof/>
        </w:rPr>
        <w:tab/>
      </w:r>
      <w:r w:rsidRPr="00785161">
        <w:rPr>
          <w:noProof/>
        </w:rPr>
        <w:fldChar w:fldCharType="begin"/>
      </w:r>
      <w:r w:rsidRPr="00785161">
        <w:rPr>
          <w:noProof/>
        </w:rPr>
        <w:instrText xml:space="preserve"> PAGEREF _Toc195097069 \h </w:instrText>
      </w:r>
      <w:r w:rsidRPr="00785161">
        <w:rPr>
          <w:noProof/>
        </w:rPr>
      </w:r>
      <w:r w:rsidRPr="00785161">
        <w:rPr>
          <w:noProof/>
        </w:rPr>
        <w:fldChar w:fldCharType="separate"/>
      </w:r>
      <w:r w:rsidR="00556980">
        <w:rPr>
          <w:noProof/>
        </w:rPr>
        <w:t>41</w:t>
      </w:r>
      <w:r w:rsidRPr="00785161">
        <w:rPr>
          <w:noProof/>
        </w:rPr>
        <w:fldChar w:fldCharType="end"/>
      </w:r>
    </w:p>
    <w:p w14:paraId="4284E7A0" w14:textId="7F503515" w:rsidR="00785161" w:rsidRDefault="00785161">
      <w:pPr>
        <w:pStyle w:val="TOC5"/>
        <w:rPr>
          <w:rFonts w:asciiTheme="minorHAnsi" w:eastAsiaTheme="minorEastAsia" w:hAnsiTheme="minorHAnsi" w:cstheme="minorBidi"/>
          <w:noProof/>
          <w:kern w:val="2"/>
          <w:sz w:val="24"/>
          <w:szCs w:val="24"/>
          <w14:ligatures w14:val="standardContextual"/>
        </w:rPr>
      </w:pPr>
      <w:r>
        <w:rPr>
          <w:noProof/>
        </w:rPr>
        <w:lastRenderedPageBreak/>
        <w:t>34</w:t>
      </w:r>
      <w:r>
        <w:rPr>
          <w:noProof/>
        </w:rPr>
        <w:tab/>
        <w:t>Regulations</w:t>
      </w:r>
      <w:r w:rsidRPr="00785161">
        <w:rPr>
          <w:noProof/>
        </w:rPr>
        <w:tab/>
      </w:r>
      <w:r w:rsidRPr="00785161">
        <w:rPr>
          <w:noProof/>
        </w:rPr>
        <w:fldChar w:fldCharType="begin"/>
      </w:r>
      <w:r w:rsidRPr="00785161">
        <w:rPr>
          <w:noProof/>
        </w:rPr>
        <w:instrText xml:space="preserve"> PAGEREF _Toc195097070 \h </w:instrText>
      </w:r>
      <w:r w:rsidRPr="00785161">
        <w:rPr>
          <w:noProof/>
        </w:rPr>
      </w:r>
      <w:r w:rsidRPr="00785161">
        <w:rPr>
          <w:noProof/>
        </w:rPr>
        <w:fldChar w:fldCharType="separate"/>
      </w:r>
      <w:r w:rsidR="00556980">
        <w:rPr>
          <w:noProof/>
        </w:rPr>
        <w:t>41</w:t>
      </w:r>
      <w:r w:rsidRPr="00785161">
        <w:rPr>
          <w:noProof/>
        </w:rPr>
        <w:fldChar w:fldCharType="end"/>
      </w:r>
    </w:p>
    <w:p w14:paraId="7FB6C3D5" w14:textId="0E077211" w:rsidR="00785161" w:rsidRDefault="00785161" w:rsidP="00785161">
      <w:pPr>
        <w:pStyle w:val="TOC2"/>
        <w:rPr>
          <w:rFonts w:asciiTheme="minorHAnsi" w:eastAsiaTheme="minorEastAsia" w:hAnsiTheme="minorHAnsi" w:cstheme="minorBidi"/>
          <w:b w:val="0"/>
          <w:noProof/>
          <w:kern w:val="2"/>
          <w:szCs w:val="24"/>
          <w14:ligatures w14:val="standardContextual"/>
        </w:rPr>
      </w:pPr>
      <w:r>
        <w:rPr>
          <w:noProof/>
        </w:rPr>
        <w:t>Endnotes</w:t>
      </w:r>
      <w:r w:rsidRPr="00785161">
        <w:rPr>
          <w:b w:val="0"/>
          <w:noProof/>
          <w:sz w:val="18"/>
        </w:rPr>
        <w:tab/>
      </w:r>
      <w:r w:rsidRPr="00785161">
        <w:rPr>
          <w:b w:val="0"/>
          <w:noProof/>
          <w:sz w:val="18"/>
        </w:rPr>
        <w:fldChar w:fldCharType="begin"/>
      </w:r>
      <w:r w:rsidRPr="00785161">
        <w:rPr>
          <w:b w:val="0"/>
          <w:noProof/>
          <w:sz w:val="18"/>
        </w:rPr>
        <w:instrText xml:space="preserve"> PAGEREF _Toc195097071 \h </w:instrText>
      </w:r>
      <w:r w:rsidRPr="00785161">
        <w:rPr>
          <w:b w:val="0"/>
          <w:noProof/>
          <w:sz w:val="18"/>
        </w:rPr>
      </w:r>
      <w:r w:rsidRPr="00785161">
        <w:rPr>
          <w:b w:val="0"/>
          <w:noProof/>
          <w:sz w:val="18"/>
        </w:rPr>
        <w:fldChar w:fldCharType="separate"/>
      </w:r>
      <w:r w:rsidR="00556980">
        <w:rPr>
          <w:b w:val="0"/>
          <w:noProof/>
          <w:sz w:val="18"/>
        </w:rPr>
        <w:t>42</w:t>
      </w:r>
      <w:r w:rsidRPr="00785161">
        <w:rPr>
          <w:b w:val="0"/>
          <w:noProof/>
          <w:sz w:val="18"/>
        </w:rPr>
        <w:fldChar w:fldCharType="end"/>
      </w:r>
    </w:p>
    <w:p w14:paraId="2183B300" w14:textId="45345005" w:rsidR="00785161" w:rsidRDefault="00785161">
      <w:pPr>
        <w:pStyle w:val="TOC3"/>
        <w:rPr>
          <w:rFonts w:asciiTheme="minorHAnsi" w:eastAsiaTheme="minorEastAsia" w:hAnsiTheme="minorHAnsi" w:cstheme="minorBidi"/>
          <w:b w:val="0"/>
          <w:noProof/>
          <w:kern w:val="2"/>
          <w:sz w:val="24"/>
          <w:szCs w:val="24"/>
          <w14:ligatures w14:val="standardContextual"/>
        </w:rPr>
      </w:pPr>
      <w:r>
        <w:rPr>
          <w:noProof/>
        </w:rPr>
        <w:t>Endnote 1—About the endnotes</w:t>
      </w:r>
      <w:r w:rsidRPr="00785161">
        <w:rPr>
          <w:b w:val="0"/>
          <w:noProof/>
          <w:sz w:val="18"/>
        </w:rPr>
        <w:tab/>
      </w:r>
      <w:r w:rsidRPr="00785161">
        <w:rPr>
          <w:b w:val="0"/>
          <w:noProof/>
          <w:sz w:val="18"/>
        </w:rPr>
        <w:fldChar w:fldCharType="begin"/>
      </w:r>
      <w:r w:rsidRPr="00785161">
        <w:rPr>
          <w:b w:val="0"/>
          <w:noProof/>
          <w:sz w:val="18"/>
        </w:rPr>
        <w:instrText xml:space="preserve"> PAGEREF _Toc195097072 \h </w:instrText>
      </w:r>
      <w:r w:rsidRPr="00785161">
        <w:rPr>
          <w:b w:val="0"/>
          <w:noProof/>
          <w:sz w:val="18"/>
        </w:rPr>
      </w:r>
      <w:r w:rsidRPr="00785161">
        <w:rPr>
          <w:b w:val="0"/>
          <w:noProof/>
          <w:sz w:val="18"/>
        </w:rPr>
        <w:fldChar w:fldCharType="separate"/>
      </w:r>
      <w:r w:rsidR="00556980">
        <w:rPr>
          <w:b w:val="0"/>
          <w:noProof/>
          <w:sz w:val="18"/>
        </w:rPr>
        <w:t>42</w:t>
      </w:r>
      <w:r w:rsidRPr="00785161">
        <w:rPr>
          <w:b w:val="0"/>
          <w:noProof/>
          <w:sz w:val="18"/>
        </w:rPr>
        <w:fldChar w:fldCharType="end"/>
      </w:r>
    </w:p>
    <w:p w14:paraId="5476BAC6" w14:textId="187F48C0" w:rsidR="00785161" w:rsidRDefault="00785161">
      <w:pPr>
        <w:pStyle w:val="TOC3"/>
        <w:rPr>
          <w:rFonts w:asciiTheme="minorHAnsi" w:eastAsiaTheme="minorEastAsia" w:hAnsiTheme="minorHAnsi" w:cstheme="minorBidi"/>
          <w:b w:val="0"/>
          <w:noProof/>
          <w:kern w:val="2"/>
          <w:sz w:val="24"/>
          <w:szCs w:val="24"/>
          <w14:ligatures w14:val="standardContextual"/>
        </w:rPr>
      </w:pPr>
      <w:r>
        <w:rPr>
          <w:noProof/>
        </w:rPr>
        <w:t>Endnote 2—Abbreviation key</w:t>
      </w:r>
      <w:r w:rsidRPr="00785161">
        <w:rPr>
          <w:b w:val="0"/>
          <w:noProof/>
          <w:sz w:val="18"/>
        </w:rPr>
        <w:tab/>
      </w:r>
      <w:r w:rsidRPr="00785161">
        <w:rPr>
          <w:b w:val="0"/>
          <w:noProof/>
          <w:sz w:val="18"/>
        </w:rPr>
        <w:fldChar w:fldCharType="begin"/>
      </w:r>
      <w:r w:rsidRPr="00785161">
        <w:rPr>
          <w:b w:val="0"/>
          <w:noProof/>
          <w:sz w:val="18"/>
        </w:rPr>
        <w:instrText xml:space="preserve"> PAGEREF _Toc195097073 \h </w:instrText>
      </w:r>
      <w:r w:rsidRPr="00785161">
        <w:rPr>
          <w:b w:val="0"/>
          <w:noProof/>
          <w:sz w:val="18"/>
        </w:rPr>
      </w:r>
      <w:r w:rsidRPr="00785161">
        <w:rPr>
          <w:b w:val="0"/>
          <w:noProof/>
          <w:sz w:val="18"/>
        </w:rPr>
        <w:fldChar w:fldCharType="separate"/>
      </w:r>
      <w:r w:rsidR="00556980">
        <w:rPr>
          <w:b w:val="0"/>
          <w:noProof/>
          <w:sz w:val="18"/>
        </w:rPr>
        <w:t>44</w:t>
      </w:r>
      <w:r w:rsidRPr="00785161">
        <w:rPr>
          <w:b w:val="0"/>
          <w:noProof/>
          <w:sz w:val="18"/>
        </w:rPr>
        <w:fldChar w:fldCharType="end"/>
      </w:r>
    </w:p>
    <w:p w14:paraId="69E82B79" w14:textId="0E39AAFB" w:rsidR="00785161" w:rsidRDefault="00785161">
      <w:pPr>
        <w:pStyle w:val="TOC3"/>
        <w:rPr>
          <w:rFonts w:asciiTheme="minorHAnsi" w:eastAsiaTheme="minorEastAsia" w:hAnsiTheme="minorHAnsi" w:cstheme="minorBidi"/>
          <w:b w:val="0"/>
          <w:noProof/>
          <w:kern w:val="2"/>
          <w:sz w:val="24"/>
          <w:szCs w:val="24"/>
          <w14:ligatures w14:val="standardContextual"/>
        </w:rPr>
      </w:pPr>
      <w:r>
        <w:rPr>
          <w:noProof/>
        </w:rPr>
        <w:t>Endnote 3—Legislation history</w:t>
      </w:r>
      <w:r w:rsidRPr="00785161">
        <w:rPr>
          <w:b w:val="0"/>
          <w:noProof/>
          <w:sz w:val="18"/>
        </w:rPr>
        <w:tab/>
      </w:r>
      <w:r w:rsidRPr="00785161">
        <w:rPr>
          <w:b w:val="0"/>
          <w:noProof/>
          <w:sz w:val="18"/>
        </w:rPr>
        <w:fldChar w:fldCharType="begin"/>
      </w:r>
      <w:r w:rsidRPr="00785161">
        <w:rPr>
          <w:b w:val="0"/>
          <w:noProof/>
          <w:sz w:val="18"/>
        </w:rPr>
        <w:instrText xml:space="preserve"> PAGEREF _Toc195097074 \h </w:instrText>
      </w:r>
      <w:r w:rsidRPr="00785161">
        <w:rPr>
          <w:b w:val="0"/>
          <w:noProof/>
          <w:sz w:val="18"/>
        </w:rPr>
      </w:r>
      <w:r w:rsidRPr="00785161">
        <w:rPr>
          <w:b w:val="0"/>
          <w:noProof/>
          <w:sz w:val="18"/>
        </w:rPr>
        <w:fldChar w:fldCharType="separate"/>
      </w:r>
      <w:r w:rsidR="00556980">
        <w:rPr>
          <w:b w:val="0"/>
          <w:noProof/>
          <w:sz w:val="18"/>
        </w:rPr>
        <w:t>45</w:t>
      </w:r>
      <w:r w:rsidRPr="00785161">
        <w:rPr>
          <w:b w:val="0"/>
          <w:noProof/>
          <w:sz w:val="18"/>
        </w:rPr>
        <w:fldChar w:fldCharType="end"/>
      </w:r>
    </w:p>
    <w:p w14:paraId="0AD8B03B" w14:textId="07F3309F" w:rsidR="00785161" w:rsidRPr="00785161" w:rsidRDefault="00785161">
      <w:pPr>
        <w:pStyle w:val="TOC3"/>
        <w:rPr>
          <w:rFonts w:eastAsiaTheme="minorEastAsia"/>
          <w:b w:val="0"/>
          <w:noProof/>
          <w:kern w:val="2"/>
          <w:sz w:val="18"/>
          <w:szCs w:val="24"/>
          <w14:ligatures w14:val="standardContextual"/>
        </w:rPr>
      </w:pPr>
      <w:r>
        <w:rPr>
          <w:noProof/>
        </w:rPr>
        <w:t>Endnote 4—Amendment history</w:t>
      </w:r>
      <w:r w:rsidRPr="00785161">
        <w:rPr>
          <w:b w:val="0"/>
          <w:noProof/>
          <w:sz w:val="18"/>
        </w:rPr>
        <w:tab/>
      </w:r>
      <w:r w:rsidRPr="00785161">
        <w:rPr>
          <w:b w:val="0"/>
          <w:noProof/>
          <w:sz w:val="18"/>
        </w:rPr>
        <w:fldChar w:fldCharType="begin"/>
      </w:r>
      <w:r w:rsidRPr="00785161">
        <w:rPr>
          <w:b w:val="0"/>
          <w:noProof/>
          <w:sz w:val="18"/>
        </w:rPr>
        <w:instrText xml:space="preserve"> PAGEREF _Toc195097075 \h </w:instrText>
      </w:r>
      <w:r w:rsidRPr="00785161">
        <w:rPr>
          <w:b w:val="0"/>
          <w:noProof/>
          <w:sz w:val="18"/>
        </w:rPr>
      </w:r>
      <w:r w:rsidRPr="00785161">
        <w:rPr>
          <w:b w:val="0"/>
          <w:noProof/>
          <w:sz w:val="18"/>
        </w:rPr>
        <w:fldChar w:fldCharType="separate"/>
      </w:r>
      <w:r w:rsidR="00556980">
        <w:rPr>
          <w:b w:val="0"/>
          <w:noProof/>
          <w:sz w:val="18"/>
        </w:rPr>
        <w:t>50</w:t>
      </w:r>
      <w:r w:rsidRPr="00785161">
        <w:rPr>
          <w:b w:val="0"/>
          <w:noProof/>
          <w:sz w:val="18"/>
        </w:rPr>
        <w:fldChar w:fldCharType="end"/>
      </w:r>
    </w:p>
    <w:p w14:paraId="54D436F8" w14:textId="35ED70CC" w:rsidR="00B73E71" w:rsidRPr="00177B6D" w:rsidRDefault="000F411E" w:rsidP="00B73E71">
      <w:r w:rsidRPr="00785161">
        <w:rPr>
          <w:rFonts w:cs="Times New Roman"/>
          <w:sz w:val="18"/>
        </w:rPr>
        <w:fldChar w:fldCharType="end"/>
      </w:r>
    </w:p>
    <w:p w14:paraId="6C4DB842" w14:textId="77777777" w:rsidR="00484D56" w:rsidRPr="00177B6D" w:rsidRDefault="00484D56" w:rsidP="00B73E71">
      <w:pPr>
        <w:sectPr w:rsidR="00484D56" w:rsidRPr="00177B6D" w:rsidSect="00E77844">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7CA2B8F4" w14:textId="77777777" w:rsidR="005B0542" w:rsidRPr="00177B6D" w:rsidRDefault="005B0542" w:rsidP="00B73E71">
      <w:pPr>
        <w:pStyle w:val="LongT"/>
      </w:pPr>
      <w:r w:rsidRPr="00177B6D">
        <w:lastRenderedPageBreak/>
        <w:t xml:space="preserve">An Act to require certain employers to promote </w:t>
      </w:r>
      <w:r w:rsidR="001649A0" w:rsidRPr="00177B6D">
        <w:t>gender equality in the workplace</w:t>
      </w:r>
      <w:r w:rsidR="00C34586" w:rsidRPr="00177B6D">
        <w:t xml:space="preserve"> and to establish the Workplace Gender Equality Agency</w:t>
      </w:r>
      <w:r w:rsidRPr="00177B6D">
        <w:t>, and for related purposes</w:t>
      </w:r>
    </w:p>
    <w:p w14:paraId="099E67F3" w14:textId="77777777" w:rsidR="005B0542" w:rsidRPr="00177B6D" w:rsidRDefault="005B0542" w:rsidP="005B0542">
      <w:pPr>
        <w:pStyle w:val="ActHead2"/>
      </w:pPr>
      <w:bookmarkStart w:id="0" w:name="_Toc195097008"/>
      <w:r w:rsidRPr="004A520A">
        <w:rPr>
          <w:rStyle w:val="CharPartNo"/>
        </w:rPr>
        <w:t>Part I</w:t>
      </w:r>
      <w:r w:rsidRPr="00177B6D">
        <w:t>—</w:t>
      </w:r>
      <w:r w:rsidRPr="004A520A">
        <w:rPr>
          <w:rStyle w:val="CharPartText"/>
        </w:rPr>
        <w:t>Preliminary</w:t>
      </w:r>
      <w:bookmarkEnd w:id="0"/>
    </w:p>
    <w:p w14:paraId="1D0679C5" w14:textId="77777777" w:rsidR="005B0542" w:rsidRPr="00177B6D" w:rsidRDefault="004E0D3F" w:rsidP="005B0542">
      <w:pPr>
        <w:pStyle w:val="Header"/>
      </w:pPr>
      <w:r w:rsidRPr="004A520A">
        <w:rPr>
          <w:rStyle w:val="CharDivNo"/>
        </w:rPr>
        <w:t xml:space="preserve"> </w:t>
      </w:r>
      <w:r w:rsidRPr="004A520A">
        <w:rPr>
          <w:rStyle w:val="CharDivText"/>
        </w:rPr>
        <w:t xml:space="preserve"> </w:t>
      </w:r>
    </w:p>
    <w:p w14:paraId="1C7A3FA7" w14:textId="77777777" w:rsidR="005B0542" w:rsidRPr="00177B6D" w:rsidRDefault="005B0542" w:rsidP="005B0542">
      <w:pPr>
        <w:pStyle w:val="ActHead5"/>
      </w:pPr>
      <w:bookmarkStart w:id="1" w:name="_Toc195097009"/>
      <w:r w:rsidRPr="004A520A">
        <w:rPr>
          <w:rStyle w:val="CharSectno"/>
        </w:rPr>
        <w:t>1</w:t>
      </w:r>
      <w:r w:rsidRPr="00177B6D">
        <w:t xml:space="preserve">  Short title</w:t>
      </w:r>
      <w:bookmarkEnd w:id="1"/>
    </w:p>
    <w:p w14:paraId="18E8AF47" w14:textId="77777777" w:rsidR="005B0542" w:rsidRPr="00177B6D" w:rsidRDefault="005B0542" w:rsidP="005B0542">
      <w:pPr>
        <w:pStyle w:val="subsection"/>
      </w:pPr>
      <w:r w:rsidRPr="00177B6D">
        <w:tab/>
      </w:r>
      <w:r w:rsidRPr="00177B6D">
        <w:tab/>
        <w:t xml:space="preserve">This Act may be cited as the </w:t>
      </w:r>
      <w:r w:rsidR="00656A63" w:rsidRPr="00177B6D">
        <w:rPr>
          <w:i/>
        </w:rPr>
        <w:t>Workplace Gender Equality Act 2012</w:t>
      </w:r>
      <w:r w:rsidRPr="00177B6D">
        <w:t>.</w:t>
      </w:r>
    </w:p>
    <w:p w14:paraId="319906D1" w14:textId="77777777" w:rsidR="005B0542" w:rsidRPr="00177B6D" w:rsidRDefault="005B0542" w:rsidP="005B0542">
      <w:pPr>
        <w:pStyle w:val="ActHead5"/>
      </w:pPr>
      <w:bookmarkStart w:id="2" w:name="_Toc195097010"/>
      <w:r w:rsidRPr="004A520A">
        <w:rPr>
          <w:rStyle w:val="CharSectno"/>
        </w:rPr>
        <w:t>2</w:t>
      </w:r>
      <w:r w:rsidRPr="00177B6D">
        <w:t xml:space="preserve">  Commencement</w:t>
      </w:r>
      <w:bookmarkEnd w:id="2"/>
    </w:p>
    <w:p w14:paraId="56A75977" w14:textId="77777777" w:rsidR="005B0542" w:rsidRPr="00177B6D" w:rsidRDefault="005B0542" w:rsidP="005B0542">
      <w:pPr>
        <w:pStyle w:val="subsection"/>
      </w:pPr>
      <w:r w:rsidRPr="00177B6D">
        <w:tab/>
      </w:r>
      <w:r w:rsidRPr="00177B6D">
        <w:tab/>
        <w:t>This Act shall come into operation on a day to be fixed by Proclamation.</w:t>
      </w:r>
    </w:p>
    <w:p w14:paraId="6D200664" w14:textId="77777777" w:rsidR="006877D0" w:rsidRPr="00177B6D" w:rsidRDefault="006877D0" w:rsidP="006877D0">
      <w:pPr>
        <w:pStyle w:val="ActHead5"/>
      </w:pPr>
      <w:bookmarkStart w:id="3" w:name="_Toc195097011"/>
      <w:r w:rsidRPr="004A520A">
        <w:rPr>
          <w:rStyle w:val="CharSectno"/>
        </w:rPr>
        <w:t>2A</w:t>
      </w:r>
      <w:r w:rsidRPr="00177B6D">
        <w:t xml:space="preserve">  Objects of Act</w:t>
      </w:r>
      <w:bookmarkEnd w:id="3"/>
    </w:p>
    <w:p w14:paraId="00A21435" w14:textId="77777777" w:rsidR="006877D0" w:rsidRPr="00177B6D" w:rsidRDefault="006877D0" w:rsidP="006877D0">
      <w:pPr>
        <w:pStyle w:val="subsection"/>
      </w:pPr>
      <w:r w:rsidRPr="00177B6D">
        <w:tab/>
      </w:r>
      <w:r w:rsidRPr="00177B6D">
        <w:tab/>
        <w:t>The principal objects of this Act are:</w:t>
      </w:r>
    </w:p>
    <w:p w14:paraId="64EDDBB1" w14:textId="77777777" w:rsidR="006877D0" w:rsidRPr="00177B6D" w:rsidRDefault="006877D0" w:rsidP="006877D0">
      <w:pPr>
        <w:pStyle w:val="paragraph"/>
      </w:pPr>
      <w:r w:rsidRPr="00177B6D">
        <w:tab/>
        <w:t>(a)</w:t>
      </w:r>
      <w:r w:rsidRPr="00177B6D">
        <w:tab/>
        <w:t>to promote and improve gender equality (including equal remuneration between women and men) in employment and in the workplace; and</w:t>
      </w:r>
    </w:p>
    <w:p w14:paraId="1411F61D" w14:textId="77777777" w:rsidR="006877D0" w:rsidRPr="00177B6D" w:rsidRDefault="006877D0" w:rsidP="006877D0">
      <w:pPr>
        <w:pStyle w:val="paragraph"/>
      </w:pPr>
      <w:r w:rsidRPr="00177B6D">
        <w:tab/>
        <w:t>(b)</w:t>
      </w:r>
      <w:r w:rsidRPr="00177B6D">
        <w:tab/>
        <w:t>to support employers to remove barriers to the full and equal participation of women in the workforce, in recognition of the disadvantaged position of women in relation to employment matters; and</w:t>
      </w:r>
    </w:p>
    <w:p w14:paraId="101B6931" w14:textId="77777777" w:rsidR="006877D0" w:rsidRPr="00177B6D" w:rsidRDefault="006877D0" w:rsidP="006877D0">
      <w:pPr>
        <w:pStyle w:val="paragraph"/>
      </w:pPr>
      <w:r w:rsidRPr="00177B6D">
        <w:tab/>
        <w:t>(c)</w:t>
      </w:r>
      <w:r w:rsidRPr="00177B6D">
        <w:tab/>
        <w:t>to promote, amongst employers, the elimination of discrimination on the basis of gender in relation to employment matters (including in relation to family and caring responsibilities); and</w:t>
      </w:r>
    </w:p>
    <w:p w14:paraId="069F2830" w14:textId="77777777" w:rsidR="006877D0" w:rsidRPr="00177B6D" w:rsidRDefault="006877D0" w:rsidP="006877D0">
      <w:pPr>
        <w:pStyle w:val="paragraph"/>
      </w:pPr>
      <w:r w:rsidRPr="00177B6D">
        <w:tab/>
        <w:t>(d)</w:t>
      </w:r>
      <w:r w:rsidRPr="00177B6D">
        <w:tab/>
        <w:t>to foster workplace</w:t>
      </w:r>
      <w:r w:rsidRPr="00177B6D">
        <w:rPr>
          <w:i/>
        </w:rPr>
        <w:t xml:space="preserve"> </w:t>
      </w:r>
      <w:r w:rsidRPr="00177B6D">
        <w:t>consultation between employers and employees on issues concerning gender equality in employment and in the workplace; and</w:t>
      </w:r>
    </w:p>
    <w:p w14:paraId="22D5736F" w14:textId="77777777" w:rsidR="006877D0" w:rsidRPr="00177B6D" w:rsidRDefault="006877D0" w:rsidP="006877D0">
      <w:pPr>
        <w:pStyle w:val="paragraph"/>
      </w:pPr>
      <w:r w:rsidRPr="00177B6D">
        <w:lastRenderedPageBreak/>
        <w:tab/>
        <w:t>(e)</w:t>
      </w:r>
      <w:r w:rsidRPr="00177B6D">
        <w:tab/>
        <w:t>to improve the productivity and competitiveness of Australian business through the advancement of gender equality in employment and in the workplace.</w:t>
      </w:r>
    </w:p>
    <w:p w14:paraId="71BA336D" w14:textId="77777777" w:rsidR="006877D0" w:rsidRPr="00177B6D" w:rsidRDefault="006877D0" w:rsidP="006877D0">
      <w:pPr>
        <w:pStyle w:val="ActHead5"/>
      </w:pPr>
      <w:bookmarkStart w:id="4" w:name="_Toc195097012"/>
      <w:r w:rsidRPr="004A520A">
        <w:rPr>
          <w:rStyle w:val="CharSectno"/>
        </w:rPr>
        <w:t>2B</w:t>
      </w:r>
      <w:r w:rsidRPr="00177B6D">
        <w:t xml:space="preserve">  Simplified outline</w:t>
      </w:r>
      <w:bookmarkEnd w:id="4"/>
    </w:p>
    <w:p w14:paraId="0F53CF17" w14:textId="77777777" w:rsidR="006877D0" w:rsidRPr="00177B6D" w:rsidRDefault="006877D0" w:rsidP="006877D0">
      <w:pPr>
        <w:pStyle w:val="subsection"/>
      </w:pPr>
      <w:r w:rsidRPr="00177B6D">
        <w:tab/>
      </w:r>
      <w:r w:rsidRPr="00177B6D">
        <w:tab/>
        <w:t>The following is a simplified outline of this Act:</w:t>
      </w:r>
    </w:p>
    <w:p w14:paraId="1D3C6DD0" w14:textId="77777777" w:rsidR="006877D0" w:rsidRPr="00177B6D" w:rsidRDefault="006877D0" w:rsidP="005D6724">
      <w:pPr>
        <w:pStyle w:val="SOBullet"/>
      </w:pPr>
      <w:r w:rsidRPr="00177B6D">
        <w:t>•</w:t>
      </w:r>
      <w:r w:rsidRPr="00177B6D">
        <w:tab/>
        <w:t>This Act requires various employers (</w:t>
      </w:r>
      <w:r w:rsidRPr="00177B6D">
        <w:rPr>
          <w:b/>
          <w:bCs/>
          <w:i/>
          <w:iCs/>
        </w:rPr>
        <w:t>relevant employers</w:t>
      </w:r>
      <w:r w:rsidRPr="00177B6D">
        <w:t>) to lodge reports each year containing information relating to various gender equality indicators (for example, equal remuneration between women and men).</w:t>
      </w:r>
    </w:p>
    <w:p w14:paraId="2B4B55BA" w14:textId="77777777" w:rsidR="00692D7C" w:rsidRPr="00177B6D" w:rsidRDefault="00692D7C" w:rsidP="00692D7C">
      <w:pPr>
        <w:pStyle w:val="SOBullet"/>
      </w:pPr>
      <w:r w:rsidRPr="00177B6D">
        <w:t>•</w:t>
      </w:r>
      <w:r w:rsidRPr="00177B6D">
        <w:tab/>
        <w:t>Some larger employers (designated relevant employers) will also, every 3 years, need to select and include in their report targets (gender equality targets) against various gender equality indicators. Such employers are required to meet, or improve against, those targets over the following 3 year period (a target cycle).</w:t>
      </w:r>
    </w:p>
    <w:p w14:paraId="324D90D7" w14:textId="77777777" w:rsidR="006877D0" w:rsidRPr="00177B6D" w:rsidRDefault="006877D0" w:rsidP="005D6724">
      <w:pPr>
        <w:pStyle w:val="SOBullet"/>
      </w:pPr>
      <w:r w:rsidRPr="00177B6D">
        <w:t>•</w:t>
      </w:r>
      <w:r w:rsidRPr="00177B6D">
        <w:tab/>
        <w:t>Those reports are available to the public, subject to some exceptions for information that is personal information, information relating to remuneration and information of a kind specified by the Minister.</w:t>
      </w:r>
      <w:r w:rsidR="009844BD" w:rsidRPr="00177B6D">
        <w:t xml:space="preserve"> Information contained in those reports may also be used in publishing information for the purposes of showing a relevant employer’s performance and progress in achieving gender equality in relation to remuneration for the employer’s workforce.</w:t>
      </w:r>
    </w:p>
    <w:p w14:paraId="64BA5E7F" w14:textId="77777777" w:rsidR="006877D0" w:rsidRPr="00177B6D" w:rsidRDefault="006877D0" w:rsidP="005D6724">
      <w:pPr>
        <w:pStyle w:val="SOBullet"/>
      </w:pPr>
      <w:r w:rsidRPr="00177B6D">
        <w:t>•</w:t>
      </w:r>
      <w:r w:rsidRPr="00177B6D">
        <w:tab/>
        <w:t>There is a Workplace Gender Equality Agency. Its functions include advising and assisting employers in promoting and improving gender equality in the workplace and undertaking research and programs for the purpose of promoting and improving gender equality in the workplace.</w:t>
      </w:r>
    </w:p>
    <w:p w14:paraId="5CC81889" w14:textId="77777777" w:rsidR="00C34586" w:rsidRPr="00177B6D" w:rsidRDefault="00C34586" w:rsidP="00C34586">
      <w:pPr>
        <w:pStyle w:val="SOBullet"/>
      </w:pPr>
      <w:r w:rsidRPr="00177B6D">
        <w:t>•</w:t>
      </w:r>
      <w:r w:rsidRPr="00177B6D">
        <w:tab/>
        <w:t>The CEO has the management of the Agency.</w:t>
      </w:r>
    </w:p>
    <w:p w14:paraId="036216EA" w14:textId="77777777" w:rsidR="006877D0" w:rsidRPr="00177B6D" w:rsidRDefault="006877D0" w:rsidP="005D6724">
      <w:pPr>
        <w:pStyle w:val="SOBullet"/>
      </w:pPr>
      <w:r w:rsidRPr="00177B6D">
        <w:lastRenderedPageBreak/>
        <w:t>•</w:t>
      </w:r>
      <w:r w:rsidRPr="00177B6D">
        <w:tab/>
        <w:t>The Agency may review a relevant employer’s compliance with this Act by seeking further information from the employer.</w:t>
      </w:r>
    </w:p>
    <w:p w14:paraId="6515CBFF" w14:textId="77777777" w:rsidR="006877D0" w:rsidRPr="00177B6D" w:rsidRDefault="006877D0" w:rsidP="005D6724">
      <w:pPr>
        <w:pStyle w:val="SOBullet"/>
      </w:pPr>
      <w:r w:rsidRPr="00177B6D">
        <w:t>•</w:t>
      </w:r>
      <w:r w:rsidRPr="00177B6D">
        <w:tab/>
        <w:t>If a relevant employer fails to comply with this Act, the Agency may name the employer in a report given to the Minister or by electronic or other means (for example, on the Agency’s website or in a newspaper).</w:t>
      </w:r>
    </w:p>
    <w:p w14:paraId="103FF04C" w14:textId="77777777" w:rsidR="005B0542" w:rsidRPr="00177B6D" w:rsidRDefault="005B0542" w:rsidP="005B0542">
      <w:pPr>
        <w:pStyle w:val="ActHead5"/>
      </w:pPr>
      <w:bookmarkStart w:id="5" w:name="_Toc195097013"/>
      <w:r w:rsidRPr="004A520A">
        <w:rPr>
          <w:rStyle w:val="CharSectno"/>
        </w:rPr>
        <w:t>3</w:t>
      </w:r>
      <w:r w:rsidRPr="00177B6D">
        <w:t xml:space="preserve">  Interpretation</w:t>
      </w:r>
      <w:bookmarkEnd w:id="5"/>
    </w:p>
    <w:p w14:paraId="7FF25458" w14:textId="77777777" w:rsidR="005B0542" w:rsidRPr="00177B6D" w:rsidRDefault="005B0542" w:rsidP="005B0542">
      <w:pPr>
        <w:pStyle w:val="subsection"/>
        <w:keepNext/>
      </w:pPr>
      <w:r w:rsidRPr="00177B6D">
        <w:tab/>
        <w:t>(1)</w:t>
      </w:r>
      <w:r w:rsidRPr="00177B6D">
        <w:tab/>
        <w:t>In this Act, unless the contrary intention appears:</w:t>
      </w:r>
    </w:p>
    <w:p w14:paraId="4A5D4DED" w14:textId="77777777" w:rsidR="00692D7C" w:rsidRPr="00177B6D" w:rsidRDefault="00692D7C" w:rsidP="00692D7C">
      <w:pPr>
        <w:pStyle w:val="Definition"/>
      </w:pPr>
      <w:r w:rsidRPr="00177B6D">
        <w:rPr>
          <w:b/>
          <w:i/>
        </w:rPr>
        <w:t>accountable authority</w:t>
      </w:r>
      <w:r w:rsidRPr="00177B6D">
        <w:t xml:space="preserve"> has the same meaning as in the </w:t>
      </w:r>
      <w:r w:rsidRPr="00177B6D">
        <w:rPr>
          <w:i/>
        </w:rPr>
        <w:t>Public Governance, Performance and Accountability Act 2013</w:t>
      </w:r>
      <w:r w:rsidRPr="00177B6D">
        <w:t>.</w:t>
      </w:r>
    </w:p>
    <w:p w14:paraId="0E9AB1C7" w14:textId="77777777" w:rsidR="005B0542" w:rsidRPr="00177B6D" w:rsidRDefault="005B0542" w:rsidP="005B0542">
      <w:pPr>
        <w:pStyle w:val="Definition"/>
      </w:pPr>
      <w:r w:rsidRPr="00177B6D">
        <w:rPr>
          <w:b/>
          <w:i/>
        </w:rPr>
        <w:t>Agency</w:t>
      </w:r>
      <w:r w:rsidRPr="00177B6D">
        <w:t xml:space="preserve"> means the </w:t>
      </w:r>
      <w:r w:rsidR="00F50671" w:rsidRPr="00177B6D">
        <w:t>Workplace Gender Equality Agency</w:t>
      </w:r>
      <w:r w:rsidRPr="00177B6D">
        <w:t>.</w:t>
      </w:r>
    </w:p>
    <w:p w14:paraId="5FA2D1DE" w14:textId="0DE54DA1" w:rsidR="005B0542" w:rsidRPr="00177B6D" w:rsidRDefault="005B0542" w:rsidP="005B0542">
      <w:pPr>
        <w:pStyle w:val="Definition"/>
      </w:pPr>
      <w:r w:rsidRPr="00177B6D">
        <w:rPr>
          <w:b/>
          <w:i/>
        </w:rPr>
        <w:t>appoint</w:t>
      </w:r>
      <w:r w:rsidRPr="00177B6D">
        <w:t xml:space="preserve"> includes re</w:t>
      </w:r>
      <w:r w:rsidR="004A520A">
        <w:noBreakHyphen/>
      </w:r>
      <w:r w:rsidRPr="00177B6D">
        <w:t>appoint.</w:t>
      </w:r>
    </w:p>
    <w:p w14:paraId="3BAC2F1E" w14:textId="3D4C0C2C" w:rsidR="00692D7C" w:rsidRPr="00177B6D" w:rsidRDefault="00692D7C" w:rsidP="00692D7C">
      <w:pPr>
        <w:pStyle w:val="Definition"/>
      </w:pPr>
      <w:r w:rsidRPr="00177B6D">
        <w:rPr>
          <w:b/>
          <w:i/>
        </w:rPr>
        <w:t>baseline report</w:t>
      </w:r>
      <w:r w:rsidRPr="00177B6D">
        <w:t>, in relation to a target cycle; see sub</w:t>
      </w:r>
      <w:r w:rsidR="004A520A">
        <w:t>section 1</w:t>
      </w:r>
      <w:r w:rsidRPr="00177B6D">
        <w:t>3(3AB).</w:t>
      </w:r>
    </w:p>
    <w:p w14:paraId="045A22CB" w14:textId="77777777" w:rsidR="00600DEF" w:rsidRPr="00177B6D" w:rsidRDefault="00600DEF" w:rsidP="00600DEF">
      <w:pPr>
        <w:pStyle w:val="Definition"/>
      </w:pPr>
      <w:r w:rsidRPr="00177B6D">
        <w:rPr>
          <w:b/>
          <w:i/>
        </w:rPr>
        <w:t>CEO</w:t>
      </w:r>
      <w:r w:rsidRPr="00177B6D">
        <w:t>, when used in relation to a relevant employer, means the Chief Executive Officer (however described) of the relevant employer.</w:t>
      </w:r>
    </w:p>
    <w:p w14:paraId="10F583DD" w14:textId="77777777" w:rsidR="005D6724" w:rsidRPr="00177B6D" w:rsidRDefault="005D6724" w:rsidP="005D6724">
      <w:pPr>
        <w:pStyle w:val="Definition"/>
      </w:pPr>
      <w:r w:rsidRPr="00177B6D">
        <w:rPr>
          <w:b/>
          <w:i/>
        </w:rPr>
        <w:t>CEO</w:t>
      </w:r>
      <w:r w:rsidRPr="00177B6D">
        <w:t>, except when used in relation to a relevant employer, means the Chief Executive Officer of the Workplace Gender Equality Agency.</w:t>
      </w:r>
    </w:p>
    <w:p w14:paraId="35D07F04" w14:textId="77777777" w:rsidR="00160A95" w:rsidRPr="00177B6D" w:rsidRDefault="00160A95" w:rsidP="00160A95">
      <w:pPr>
        <w:pStyle w:val="Definition"/>
      </w:pPr>
      <w:r w:rsidRPr="00177B6D">
        <w:rPr>
          <w:b/>
          <w:i/>
        </w:rPr>
        <w:t>Commonwealth company</w:t>
      </w:r>
      <w:r w:rsidRPr="00177B6D">
        <w:t xml:space="preserve"> has the same meaning as in the </w:t>
      </w:r>
      <w:r w:rsidRPr="00177B6D">
        <w:rPr>
          <w:i/>
        </w:rPr>
        <w:t>Public Governance, Performance and Accountability Act 2013</w:t>
      </w:r>
      <w:r w:rsidRPr="00177B6D">
        <w:t>.</w:t>
      </w:r>
    </w:p>
    <w:p w14:paraId="1AA58C1B" w14:textId="77777777" w:rsidR="00160A95" w:rsidRPr="00177B6D" w:rsidRDefault="00160A95" w:rsidP="00160A95">
      <w:pPr>
        <w:pStyle w:val="Definition"/>
      </w:pPr>
      <w:r w:rsidRPr="00177B6D">
        <w:rPr>
          <w:b/>
          <w:i/>
        </w:rPr>
        <w:t>Commonwealth entity</w:t>
      </w:r>
      <w:r w:rsidRPr="00177B6D">
        <w:rPr>
          <w:i/>
        </w:rPr>
        <w:t xml:space="preserve"> </w:t>
      </w:r>
      <w:r w:rsidRPr="00177B6D">
        <w:t xml:space="preserve">has the same meaning as in the </w:t>
      </w:r>
      <w:r w:rsidRPr="00177B6D">
        <w:rPr>
          <w:i/>
        </w:rPr>
        <w:t>Public Governance, Performance and Accountability Act 2013</w:t>
      </w:r>
      <w:r w:rsidRPr="00177B6D">
        <w:t>.</w:t>
      </w:r>
    </w:p>
    <w:p w14:paraId="224054F8" w14:textId="77777777" w:rsidR="00692D7C" w:rsidRPr="00177B6D" w:rsidRDefault="00692D7C" w:rsidP="00692D7C">
      <w:pPr>
        <w:pStyle w:val="Definition"/>
      </w:pPr>
      <w:r w:rsidRPr="00177B6D">
        <w:rPr>
          <w:b/>
          <w:i/>
        </w:rPr>
        <w:t>designated relevant employer</w:t>
      </w:r>
      <w:r w:rsidRPr="00177B6D">
        <w:t xml:space="preserve"> means an employer that has become a designated relevant employer under subsection 4A(1) and has not </w:t>
      </w:r>
      <w:r w:rsidRPr="00177B6D">
        <w:lastRenderedPageBreak/>
        <w:t>ceased to be a designated relevant employer under subsection 4A(2).</w:t>
      </w:r>
    </w:p>
    <w:p w14:paraId="5BFC9E81" w14:textId="77777777" w:rsidR="00496B08" w:rsidRPr="00177B6D" w:rsidRDefault="00496B08" w:rsidP="00496B08">
      <w:pPr>
        <w:pStyle w:val="Definition"/>
      </w:pPr>
      <w:r w:rsidRPr="00177B6D">
        <w:rPr>
          <w:b/>
          <w:i/>
        </w:rPr>
        <w:t>discrimination</w:t>
      </w:r>
      <w:r w:rsidRPr="00177B6D">
        <w:t xml:space="preserve"> means discrimination as defined in section</w:t>
      </w:r>
      <w:r w:rsidR="00CC4F01" w:rsidRPr="00177B6D">
        <w:t> </w:t>
      </w:r>
      <w:r w:rsidRPr="00177B6D">
        <w:t xml:space="preserve">5, 6, 7, 7AA or 7A of the </w:t>
      </w:r>
      <w:r w:rsidRPr="00177B6D">
        <w:rPr>
          <w:i/>
        </w:rPr>
        <w:t>Sex Discrimination Act 1984</w:t>
      </w:r>
      <w:r w:rsidRPr="00177B6D">
        <w:t>.</w:t>
      </w:r>
    </w:p>
    <w:p w14:paraId="0559ABA2" w14:textId="77777777" w:rsidR="001A62C7" w:rsidRPr="00177B6D" w:rsidRDefault="001A62C7" w:rsidP="001A62C7">
      <w:pPr>
        <w:pStyle w:val="Definition"/>
      </w:pPr>
      <w:r w:rsidRPr="00177B6D">
        <w:rPr>
          <w:b/>
          <w:i/>
        </w:rPr>
        <w:t>employee organisation</w:t>
      </w:r>
      <w:r w:rsidRPr="00177B6D">
        <w:t xml:space="preserve"> has the same meaning as in the </w:t>
      </w:r>
      <w:r w:rsidRPr="00177B6D">
        <w:rPr>
          <w:i/>
        </w:rPr>
        <w:t>Fair Work Act 2009</w:t>
      </w:r>
      <w:r w:rsidRPr="00177B6D">
        <w:t>.</w:t>
      </w:r>
    </w:p>
    <w:p w14:paraId="5C1A277D" w14:textId="77777777" w:rsidR="005B0542" w:rsidRPr="00177B6D" w:rsidRDefault="005B0542" w:rsidP="005B0542">
      <w:pPr>
        <w:pStyle w:val="Definition"/>
      </w:pPr>
      <w:r w:rsidRPr="00177B6D">
        <w:rPr>
          <w:b/>
          <w:i/>
        </w:rPr>
        <w:t>employer</w:t>
      </w:r>
      <w:r w:rsidRPr="00177B6D">
        <w:t xml:space="preserve"> means an individual, or a body or association (whether incorporated or not), that employs an individual:</w:t>
      </w:r>
    </w:p>
    <w:p w14:paraId="7269C4BE" w14:textId="0BDFB2CE" w:rsidR="005B0542" w:rsidRPr="00177B6D" w:rsidRDefault="005B0542" w:rsidP="005B0542">
      <w:pPr>
        <w:pStyle w:val="paragraph"/>
      </w:pPr>
      <w:r w:rsidRPr="00177B6D">
        <w:tab/>
        <w:t>(a)</w:t>
      </w:r>
      <w:r w:rsidRPr="00177B6D">
        <w:tab/>
        <w:t>under a contract of service, whether on a full</w:t>
      </w:r>
      <w:r w:rsidR="004A520A">
        <w:noBreakHyphen/>
      </w:r>
      <w:r w:rsidRPr="00177B6D">
        <w:t>time, part</w:t>
      </w:r>
      <w:r w:rsidR="004A520A">
        <w:noBreakHyphen/>
      </w:r>
      <w:r w:rsidRPr="00177B6D">
        <w:t>time, casual or temporary basis; or</w:t>
      </w:r>
    </w:p>
    <w:p w14:paraId="5EADA129" w14:textId="77777777" w:rsidR="005B0542" w:rsidRPr="00177B6D" w:rsidRDefault="005B0542" w:rsidP="005B0542">
      <w:pPr>
        <w:pStyle w:val="paragraph"/>
      </w:pPr>
      <w:r w:rsidRPr="00177B6D">
        <w:tab/>
        <w:t>(b)</w:t>
      </w:r>
      <w:r w:rsidRPr="00177B6D">
        <w:tab/>
        <w:t>under a contract for services; or</w:t>
      </w:r>
    </w:p>
    <w:p w14:paraId="460C90B7" w14:textId="77777777" w:rsidR="005B0542" w:rsidRPr="00177B6D" w:rsidRDefault="005B0542" w:rsidP="005B0542">
      <w:pPr>
        <w:pStyle w:val="paragraph"/>
      </w:pPr>
      <w:r w:rsidRPr="00177B6D">
        <w:tab/>
        <w:t>(c)</w:t>
      </w:r>
      <w:r w:rsidRPr="00177B6D">
        <w:tab/>
        <w:t xml:space="preserve">as described in </w:t>
      </w:r>
      <w:r w:rsidR="00CC4F01" w:rsidRPr="00177B6D">
        <w:t>subsection (</w:t>
      </w:r>
      <w:r w:rsidRPr="00177B6D">
        <w:t>5) or (6).</w:t>
      </w:r>
    </w:p>
    <w:p w14:paraId="6B1888C1" w14:textId="77777777" w:rsidR="005B0542" w:rsidRPr="00177B6D" w:rsidRDefault="005B0542" w:rsidP="005B0542">
      <w:pPr>
        <w:pStyle w:val="Definition"/>
      </w:pPr>
      <w:r w:rsidRPr="00177B6D">
        <w:rPr>
          <w:b/>
          <w:i/>
        </w:rPr>
        <w:t>employment matters</w:t>
      </w:r>
      <w:r w:rsidRPr="00177B6D">
        <w:t xml:space="preserve"> includes the following:</w:t>
      </w:r>
    </w:p>
    <w:p w14:paraId="274350DF" w14:textId="77777777" w:rsidR="005B0542" w:rsidRPr="00177B6D" w:rsidRDefault="005B0542" w:rsidP="005B0542">
      <w:pPr>
        <w:pStyle w:val="paragraph"/>
      </w:pPr>
      <w:r w:rsidRPr="00177B6D">
        <w:tab/>
        <w:t>(a)</w:t>
      </w:r>
      <w:r w:rsidRPr="00177B6D">
        <w:tab/>
        <w:t>the recruitment procedure, and selection criteria, for appointment or engagement of persons as employees;</w:t>
      </w:r>
    </w:p>
    <w:p w14:paraId="5C823F1F" w14:textId="77777777" w:rsidR="005B0542" w:rsidRPr="00177B6D" w:rsidRDefault="005B0542" w:rsidP="005B0542">
      <w:pPr>
        <w:pStyle w:val="paragraph"/>
      </w:pPr>
      <w:r w:rsidRPr="00177B6D">
        <w:tab/>
        <w:t>(b)</w:t>
      </w:r>
      <w:r w:rsidRPr="00177B6D">
        <w:tab/>
        <w:t>the promotion, transfer and termination of employment of employees;</w:t>
      </w:r>
    </w:p>
    <w:p w14:paraId="0BBC6660" w14:textId="77777777" w:rsidR="005B0542" w:rsidRPr="00177B6D" w:rsidRDefault="005B0542" w:rsidP="005B0542">
      <w:pPr>
        <w:pStyle w:val="paragraph"/>
      </w:pPr>
      <w:r w:rsidRPr="00177B6D">
        <w:tab/>
        <w:t>(c)</w:t>
      </w:r>
      <w:r w:rsidRPr="00177B6D">
        <w:tab/>
        <w:t>training and development for employees;</w:t>
      </w:r>
    </w:p>
    <w:p w14:paraId="55B029BF" w14:textId="77777777" w:rsidR="005B0542" w:rsidRPr="00177B6D" w:rsidRDefault="005B0542" w:rsidP="005B0542">
      <w:pPr>
        <w:pStyle w:val="paragraph"/>
      </w:pPr>
      <w:r w:rsidRPr="00177B6D">
        <w:tab/>
        <w:t>(d)</w:t>
      </w:r>
      <w:r w:rsidRPr="00177B6D">
        <w:tab/>
        <w:t>work organisation</w:t>
      </w:r>
      <w:r w:rsidR="00346B04" w:rsidRPr="00177B6D">
        <w:t>, including flexible working arrangements</w:t>
      </w:r>
      <w:r w:rsidRPr="00177B6D">
        <w:t>;</w:t>
      </w:r>
    </w:p>
    <w:p w14:paraId="623E590E" w14:textId="77777777" w:rsidR="005B0542" w:rsidRPr="00177B6D" w:rsidRDefault="005B0542" w:rsidP="005B0542">
      <w:pPr>
        <w:pStyle w:val="paragraph"/>
      </w:pPr>
      <w:r w:rsidRPr="00177B6D">
        <w:tab/>
        <w:t>(e)</w:t>
      </w:r>
      <w:r w:rsidRPr="00177B6D">
        <w:tab/>
        <w:t>conditions of service of employees</w:t>
      </w:r>
      <w:r w:rsidR="00354480" w:rsidRPr="00177B6D">
        <w:t>, including equal remuneration between women and men</w:t>
      </w:r>
      <w:r w:rsidRPr="00177B6D">
        <w:t>;</w:t>
      </w:r>
    </w:p>
    <w:p w14:paraId="0CEB51AB" w14:textId="77777777" w:rsidR="005B0542" w:rsidRPr="00177B6D" w:rsidRDefault="005B0542" w:rsidP="005B0542">
      <w:pPr>
        <w:pStyle w:val="paragraph"/>
      </w:pPr>
      <w:r w:rsidRPr="00177B6D">
        <w:rPr>
          <w:i/>
        </w:rPr>
        <w:tab/>
      </w:r>
      <w:r w:rsidRPr="00177B6D">
        <w:t>(f)</w:t>
      </w:r>
      <w:r w:rsidRPr="00177B6D">
        <w:rPr>
          <w:i/>
        </w:rPr>
        <w:tab/>
      </w:r>
      <w:r w:rsidRPr="00177B6D">
        <w:t xml:space="preserve">arrangements for dealing with </w:t>
      </w:r>
      <w:r w:rsidR="00C34586" w:rsidRPr="00177B6D">
        <w:t>sexual harassment, or harassment on the ground of sex, of employees in the workplace, or discrimination against employees in the workplace</w:t>
      </w:r>
      <w:r w:rsidRPr="00177B6D">
        <w:t>;</w:t>
      </w:r>
    </w:p>
    <w:p w14:paraId="3AA8CFF5" w14:textId="77777777" w:rsidR="005B0542" w:rsidRPr="00177B6D" w:rsidRDefault="005B0542" w:rsidP="005B0542">
      <w:pPr>
        <w:pStyle w:val="paragraph"/>
      </w:pPr>
      <w:r w:rsidRPr="00177B6D">
        <w:tab/>
        <w:t>(g)</w:t>
      </w:r>
      <w:r w:rsidRPr="00177B6D">
        <w:tab/>
        <w:t>arrangements for dealing with pregnant, or potentially pregnant employees and employees who are breastfeeding their children</w:t>
      </w:r>
      <w:r w:rsidR="00B73F76" w:rsidRPr="00177B6D">
        <w:t>;</w:t>
      </w:r>
    </w:p>
    <w:p w14:paraId="793EC4BD" w14:textId="77777777" w:rsidR="00B73F76" w:rsidRPr="00177B6D" w:rsidRDefault="00B73F76" w:rsidP="00B73F76">
      <w:pPr>
        <w:pStyle w:val="paragraph"/>
      </w:pPr>
      <w:r w:rsidRPr="00177B6D">
        <w:tab/>
        <w:t>(h)</w:t>
      </w:r>
      <w:r w:rsidRPr="00177B6D">
        <w:tab/>
        <w:t>arrangements relating to employees with family or caring responsibilities.</w:t>
      </w:r>
    </w:p>
    <w:p w14:paraId="780E8596" w14:textId="77777777" w:rsidR="00DA5CFA" w:rsidRPr="00177B6D" w:rsidRDefault="00DA5CFA" w:rsidP="00DA5CFA">
      <w:pPr>
        <w:pStyle w:val="Definition"/>
      </w:pPr>
      <w:r w:rsidRPr="00177B6D">
        <w:rPr>
          <w:b/>
          <w:i/>
        </w:rPr>
        <w:t>executive summary report</w:t>
      </w:r>
      <w:r w:rsidRPr="00177B6D">
        <w:t>, for a relevant employer for a reporting period, means a report that:</w:t>
      </w:r>
    </w:p>
    <w:p w14:paraId="6027C04E" w14:textId="77777777" w:rsidR="00DA5CFA" w:rsidRPr="00177B6D" w:rsidRDefault="00DA5CFA" w:rsidP="00DA5CFA">
      <w:pPr>
        <w:pStyle w:val="paragraph"/>
      </w:pPr>
      <w:r w:rsidRPr="00177B6D">
        <w:tab/>
        <w:t>(a)</w:t>
      </w:r>
      <w:r w:rsidRPr="00177B6D">
        <w:tab/>
        <w:t>is given by the Agency to the relevant employer; and</w:t>
      </w:r>
    </w:p>
    <w:p w14:paraId="70095111" w14:textId="77777777" w:rsidR="00DA5CFA" w:rsidRPr="00177B6D" w:rsidRDefault="00DA5CFA" w:rsidP="00DA5CFA">
      <w:pPr>
        <w:pStyle w:val="paragraph"/>
        <w:rPr>
          <w:b/>
          <w:i/>
        </w:rPr>
      </w:pPr>
      <w:r w:rsidRPr="00177B6D">
        <w:lastRenderedPageBreak/>
        <w:tab/>
        <w:t>(b)</w:t>
      </w:r>
      <w:r w:rsidRPr="00177B6D">
        <w:tab/>
        <w:t>contains a summary of the information contained in a public report prepared by the relevant employer in respect of the reporting period.</w:t>
      </w:r>
    </w:p>
    <w:p w14:paraId="3077E61F" w14:textId="77777777" w:rsidR="005F3B58" w:rsidRPr="00177B6D" w:rsidRDefault="005F3B58" w:rsidP="005F3B58">
      <w:pPr>
        <w:pStyle w:val="Definition"/>
      </w:pPr>
      <w:r w:rsidRPr="00177B6D">
        <w:rPr>
          <w:b/>
          <w:i/>
        </w:rPr>
        <w:t xml:space="preserve">gender equality indicators </w:t>
      </w:r>
      <w:r w:rsidRPr="00177B6D">
        <w:t>means the following:</w:t>
      </w:r>
    </w:p>
    <w:p w14:paraId="02C4114D" w14:textId="77777777" w:rsidR="005F3B58" w:rsidRPr="00177B6D" w:rsidRDefault="005F3B58" w:rsidP="005F3B58">
      <w:pPr>
        <w:pStyle w:val="paragraph"/>
      </w:pPr>
      <w:r w:rsidRPr="00177B6D">
        <w:tab/>
        <w:t>(a)</w:t>
      </w:r>
      <w:r w:rsidRPr="00177B6D">
        <w:tab/>
        <w:t>gender composition of the workforce;</w:t>
      </w:r>
    </w:p>
    <w:p w14:paraId="36D868E0" w14:textId="77777777" w:rsidR="005F3B58" w:rsidRPr="00177B6D" w:rsidRDefault="005F3B58" w:rsidP="005F3B58">
      <w:pPr>
        <w:pStyle w:val="paragraph"/>
      </w:pPr>
      <w:r w:rsidRPr="00177B6D">
        <w:tab/>
        <w:t>(b)</w:t>
      </w:r>
      <w:r w:rsidRPr="00177B6D">
        <w:tab/>
        <w:t>gender composition of governing bodies of relevant employers;</w:t>
      </w:r>
    </w:p>
    <w:p w14:paraId="273C322B" w14:textId="77777777" w:rsidR="005F3B58" w:rsidRPr="00177B6D" w:rsidRDefault="005F3B58" w:rsidP="005F3B58">
      <w:pPr>
        <w:pStyle w:val="paragraph"/>
      </w:pPr>
      <w:r w:rsidRPr="00177B6D">
        <w:tab/>
        <w:t>(c)</w:t>
      </w:r>
      <w:r w:rsidRPr="00177B6D">
        <w:tab/>
        <w:t>equal remuneration between women and men;</w:t>
      </w:r>
    </w:p>
    <w:p w14:paraId="4B5D6F77" w14:textId="77777777" w:rsidR="005F3B58" w:rsidRPr="00177B6D" w:rsidRDefault="005F3B58" w:rsidP="005F3B58">
      <w:pPr>
        <w:pStyle w:val="paragraph"/>
      </w:pPr>
      <w:r w:rsidRPr="00177B6D">
        <w:tab/>
        <w:t>(d)</w:t>
      </w:r>
      <w:r w:rsidRPr="00177B6D">
        <w:tab/>
        <w:t>availability and utility of employment terms, conditions and practices relating to flexible working arrangements for employees and to working arrangements supporting employees with family or caring responsibilities;</w:t>
      </w:r>
    </w:p>
    <w:p w14:paraId="5A8A0BE2" w14:textId="77777777" w:rsidR="005F3B58" w:rsidRPr="00177B6D" w:rsidRDefault="005F3B58" w:rsidP="005F3B58">
      <w:pPr>
        <w:pStyle w:val="paragraph"/>
      </w:pPr>
      <w:r w:rsidRPr="00177B6D">
        <w:tab/>
        <w:t>(e)</w:t>
      </w:r>
      <w:r w:rsidRPr="00177B6D">
        <w:tab/>
        <w:t>consultation with employees on issues concerning gender equality in the workplace;</w:t>
      </w:r>
    </w:p>
    <w:p w14:paraId="7CF6CD44" w14:textId="77777777" w:rsidR="00C34586" w:rsidRPr="00177B6D" w:rsidRDefault="00C34586" w:rsidP="00C34586">
      <w:pPr>
        <w:pStyle w:val="paragraph"/>
      </w:pPr>
      <w:r w:rsidRPr="00177B6D">
        <w:tab/>
        <w:t>(ea)</w:t>
      </w:r>
      <w:r w:rsidRPr="00177B6D">
        <w:tab/>
        <w:t>sexual harassment, harassment on the ground of sex or discrimination;</w:t>
      </w:r>
    </w:p>
    <w:p w14:paraId="232DA6B0" w14:textId="77777777" w:rsidR="005F3B58" w:rsidRPr="00177B6D" w:rsidRDefault="005F3B58" w:rsidP="005F3B58">
      <w:pPr>
        <w:pStyle w:val="paragraph"/>
      </w:pPr>
      <w:r w:rsidRPr="00177B6D">
        <w:tab/>
        <w:t>(f)</w:t>
      </w:r>
      <w:r w:rsidRPr="00177B6D">
        <w:tab/>
        <w:t xml:space="preserve">any other matters specified in an instrument under </w:t>
      </w:r>
      <w:r w:rsidR="00CC4F01" w:rsidRPr="00177B6D">
        <w:t>subsection (</w:t>
      </w:r>
      <w:r w:rsidRPr="00177B6D">
        <w:t>1A).</w:t>
      </w:r>
    </w:p>
    <w:p w14:paraId="29606084" w14:textId="0C719664" w:rsidR="00DA5CFA" w:rsidRPr="00177B6D" w:rsidRDefault="00DA5CFA" w:rsidP="00DA5CFA">
      <w:pPr>
        <w:pStyle w:val="Definition"/>
      </w:pPr>
      <w:r w:rsidRPr="00177B6D">
        <w:rPr>
          <w:b/>
          <w:i/>
        </w:rPr>
        <w:t>gender equality standard</w:t>
      </w:r>
      <w:r w:rsidRPr="00177B6D">
        <w:t>: see sub</w:t>
      </w:r>
      <w:r w:rsidR="004A520A">
        <w:t>section 1</w:t>
      </w:r>
      <w:r w:rsidRPr="00177B6D">
        <w:t>9(1A).</w:t>
      </w:r>
    </w:p>
    <w:p w14:paraId="059F1F60" w14:textId="1A32743F" w:rsidR="00692D7C" w:rsidRPr="00177B6D" w:rsidRDefault="00692D7C" w:rsidP="00692D7C">
      <w:pPr>
        <w:pStyle w:val="Definition"/>
      </w:pPr>
      <w:r w:rsidRPr="00177B6D">
        <w:rPr>
          <w:b/>
          <w:i/>
        </w:rPr>
        <w:t>gender equality target</w:t>
      </w:r>
      <w:r w:rsidRPr="00177B6D">
        <w:t>: see sub</w:t>
      </w:r>
      <w:r w:rsidR="004A520A">
        <w:t>section 1</w:t>
      </w:r>
      <w:r w:rsidRPr="00177B6D">
        <w:t>7B(2).</w:t>
      </w:r>
    </w:p>
    <w:p w14:paraId="716372BB" w14:textId="77777777" w:rsidR="00160A95" w:rsidRPr="00177B6D" w:rsidRDefault="00160A95" w:rsidP="00160A95">
      <w:pPr>
        <w:pStyle w:val="Definition"/>
      </w:pPr>
      <w:r w:rsidRPr="00177B6D">
        <w:rPr>
          <w:b/>
          <w:i/>
        </w:rPr>
        <w:t>governing body</w:t>
      </w:r>
      <w:r w:rsidRPr="00177B6D">
        <w:t xml:space="preserve"> of a relevant employer means the body, or group of members of the employer, with primary responsibility for the governance of the employer.</w:t>
      </w:r>
    </w:p>
    <w:p w14:paraId="0F35546A" w14:textId="77777777" w:rsidR="00C34586" w:rsidRPr="00177B6D" w:rsidRDefault="00C34586" w:rsidP="00C34586">
      <w:pPr>
        <w:pStyle w:val="Definition"/>
      </w:pPr>
      <w:r w:rsidRPr="00177B6D">
        <w:rPr>
          <w:b/>
          <w:i/>
        </w:rPr>
        <w:t>harass on the ground of sex</w:t>
      </w:r>
      <w:r w:rsidRPr="00177B6D">
        <w:t xml:space="preserve"> has the same meaning as in the </w:t>
      </w:r>
      <w:r w:rsidRPr="00177B6D">
        <w:rPr>
          <w:i/>
        </w:rPr>
        <w:t>Sex Discrimination Act 1984</w:t>
      </w:r>
      <w:r w:rsidRPr="00177B6D">
        <w:t>.</w:t>
      </w:r>
    </w:p>
    <w:p w14:paraId="0BF43051" w14:textId="1834EFAB" w:rsidR="00C34586" w:rsidRPr="00177B6D" w:rsidRDefault="00C34586" w:rsidP="00C34586">
      <w:pPr>
        <w:pStyle w:val="notetext"/>
      </w:pPr>
      <w:r w:rsidRPr="00177B6D">
        <w:t>Note:</w:t>
      </w:r>
      <w:r w:rsidRPr="00177B6D">
        <w:tab/>
        <w:t xml:space="preserve">Other parts of speech and grammatical forms of “harass on the ground of sex” (for example, “harassment on the ground of sex”) have a corresponding meaning (see </w:t>
      </w:r>
      <w:r w:rsidR="004A520A">
        <w:t>section 1</w:t>
      </w:r>
      <w:r w:rsidRPr="00177B6D">
        <w:t xml:space="preserve">8A of the </w:t>
      </w:r>
      <w:r w:rsidRPr="00177B6D">
        <w:rPr>
          <w:i/>
        </w:rPr>
        <w:t>Acts Interpretation Act 1901</w:t>
      </w:r>
      <w:r w:rsidRPr="00177B6D">
        <w:t>).</w:t>
      </w:r>
    </w:p>
    <w:p w14:paraId="31EE43AE" w14:textId="77777777" w:rsidR="00DA5CFA" w:rsidRPr="00177B6D" w:rsidRDefault="00DA5CFA" w:rsidP="00DA5CFA">
      <w:pPr>
        <w:pStyle w:val="Definition"/>
      </w:pPr>
      <w:r w:rsidRPr="00177B6D">
        <w:rPr>
          <w:b/>
          <w:i/>
        </w:rPr>
        <w:t>industry benchmark</w:t>
      </w:r>
      <w:r w:rsidRPr="00177B6D">
        <w:rPr>
          <w:b/>
        </w:rPr>
        <w:t xml:space="preserve"> </w:t>
      </w:r>
      <w:r w:rsidRPr="00177B6D">
        <w:rPr>
          <w:b/>
          <w:i/>
        </w:rPr>
        <w:t>report</w:t>
      </w:r>
      <w:r w:rsidRPr="00177B6D">
        <w:t>, for a relevant employer for a reporting period,</w:t>
      </w:r>
      <w:r w:rsidRPr="00177B6D">
        <w:rPr>
          <w:i/>
        </w:rPr>
        <w:t xml:space="preserve"> </w:t>
      </w:r>
      <w:r w:rsidRPr="00177B6D">
        <w:t>means a report that:</w:t>
      </w:r>
    </w:p>
    <w:p w14:paraId="1CA74327" w14:textId="77777777" w:rsidR="00DA5CFA" w:rsidRPr="00177B6D" w:rsidRDefault="00DA5CFA" w:rsidP="00DA5CFA">
      <w:pPr>
        <w:pStyle w:val="paragraph"/>
      </w:pPr>
      <w:r w:rsidRPr="00177B6D">
        <w:tab/>
        <w:t>(a)</w:t>
      </w:r>
      <w:r w:rsidRPr="00177B6D">
        <w:tab/>
        <w:t>is given by the Agency to the relevant employer; and</w:t>
      </w:r>
    </w:p>
    <w:p w14:paraId="57C7F9F2" w14:textId="77777777" w:rsidR="00DA5CFA" w:rsidRPr="00177B6D" w:rsidRDefault="00DA5CFA" w:rsidP="00DA5CFA">
      <w:pPr>
        <w:pStyle w:val="paragraph"/>
      </w:pPr>
      <w:r w:rsidRPr="00177B6D">
        <w:lastRenderedPageBreak/>
        <w:tab/>
        <w:t>(b)</w:t>
      </w:r>
      <w:r w:rsidRPr="00177B6D">
        <w:tab/>
        <w:t>compares the information contained in a public report prepared by the relevant employer in respect of the reporting period with the information contained in public reports prepared by similar relevant employers in respect of the reporting period.</w:t>
      </w:r>
    </w:p>
    <w:p w14:paraId="2DCC9D65" w14:textId="77777777" w:rsidR="003C0475" w:rsidRPr="00177B6D" w:rsidRDefault="003C0475" w:rsidP="003C0475">
      <w:pPr>
        <w:pStyle w:val="Definition"/>
      </w:pPr>
      <w:r w:rsidRPr="00177B6D">
        <w:rPr>
          <w:b/>
          <w:i/>
        </w:rPr>
        <w:t>man</w:t>
      </w:r>
      <w:r w:rsidRPr="00177B6D">
        <w:t xml:space="preserve"> means a member of the male sex irrespective of age.</w:t>
      </w:r>
    </w:p>
    <w:p w14:paraId="1DBEF56C" w14:textId="77777777" w:rsidR="00CC53DA" w:rsidRPr="00177B6D" w:rsidRDefault="00CC53DA" w:rsidP="00CC53DA">
      <w:pPr>
        <w:pStyle w:val="Definition"/>
      </w:pPr>
      <w:r w:rsidRPr="00177B6D">
        <w:rPr>
          <w:b/>
          <w:i/>
        </w:rPr>
        <w:t>personal information</w:t>
      </w:r>
      <w:r w:rsidRPr="00177B6D">
        <w:t xml:space="preserve"> has the same meaning as in the </w:t>
      </w:r>
      <w:r w:rsidRPr="00177B6D">
        <w:rPr>
          <w:i/>
        </w:rPr>
        <w:t>Privacy Act 1988</w:t>
      </w:r>
      <w:r w:rsidRPr="00177B6D">
        <w:t>.</w:t>
      </w:r>
    </w:p>
    <w:p w14:paraId="41D9FFE2" w14:textId="77777777" w:rsidR="005B0542" w:rsidRPr="00177B6D" w:rsidRDefault="005B0542" w:rsidP="005B0542">
      <w:pPr>
        <w:pStyle w:val="Definition"/>
      </w:pPr>
      <w:r w:rsidRPr="00177B6D">
        <w:rPr>
          <w:b/>
          <w:i/>
        </w:rPr>
        <w:t>potentially pregnant</w:t>
      </w:r>
      <w:r w:rsidRPr="00177B6D">
        <w:t xml:space="preserve"> has the meaning given by section</w:t>
      </w:r>
      <w:r w:rsidR="00CC4F01" w:rsidRPr="00177B6D">
        <w:t> </w:t>
      </w:r>
      <w:r w:rsidRPr="00177B6D">
        <w:t xml:space="preserve">4B of the </w:t>
      </w:r>
      <w:r w:rsidRPr="00177B6D">
        <w:rPr>
          <w:i/>
        </w:rPr>
        <w:t>Sex Discrimination Act 1984</w:t>
      </w:r>
      <w:r w:rsidRPr="00177B6D">
        <w:t>.</w:t>
      </w:r>
    </w:p>
    <w:p w14:paraId="633A5E29" w14:textId="103943B0" w:rsidR="005B0542" w:rsidRPr="00177B6D" w:rsidRDefault="005B0542" w:rsidP="005B0542">
      <w:pPr>
        <w:pStyle w:val="Definition"/>
      </w:pPr>
      <w:r w:rsidRPr="00177B6D">
        <w:rPr>
          <w:b/>
          <w:i/>
        </w:rPr>
        <w:t>public report</w:t>
      </w:r>
      <w:r w:rsidRPr="00177B6D">
        <w:t xml:space="preserve"> means a public report referred to in </w:t>
      </w:r>
      <w:r w:rsidR="004A520A">
        <w:t>section 1</w:t>
      </w:r>
      <w:r w:rsidRPr="00177B6D">
        <w:t>3.</w:t>
      </w:r>
    </w:p>
    <w:p w14:paraId="513B3BA9" w14:textId="77777777" w:rsidR="00C946DF" w:rsidRPr="00177B6D" w:rsidRDefault="00C946DF" w:rsidP="00C946DF">
      <w:pPr>
        <w:pStyle w:val="Definition"/>
      </w:pPr>
      <w:r w:rsidRPr="00177B6D">
        <w:rPr>
          <w:b/>
          <w:i/>
        </w:rPr>
        <w:t>registered higher education provider</w:t>
      </w:r>
      <w:r w:rsidRPr="00177B6D">
        <w:t xml:space="preserve"> means a person or body that is a registered higher education provider for the purposes of the </w:t>
      </w:r>
      <w:r w:rsidRPr="00177B6D">
        <w:rPr>
          <w:i/>
        </w:rPr>
        <w:t>Tertiary Education Quality and Standards Agency Act 2011</w:t>
      </w:r>
      <w:r w:rsidRPr="00177B6D">
        <w:t>.</w:t>
      </w:r>
    </w:p>
    <w:p w14:paraId="686CAA65" w14:textId="77777777" w:rsidR="00C946DF" w:rsidRPr="00177B6D" w:rsidRDefault="00C946DF" w:rsidP="00C946DF">
      <w:pPr>
        <w:pStyle w:val="notetext"/>
      </w:pPr>
      <w:r w:rsidRPr="00177B6D">
        <w:t>Note:</w:t>
      </w:r>
      <w:r w:rsidRPr="00177B6D">
        <w:tab/>
        <w:t>This definition includes bodies taken to be registered higher education providers for the purposes of that Act by Schedule</w:t>
      </w:r>
      <w:r w:rsidR="00CC4F01" w:rsidRPr="00177B6D">
        <w:t> </w:t>
      </w:r>
      <w:r w:rsidRPr="00177B6D">
        <w:t xml:space="preserve">3 to the </w:t>
      </w:r>
      <w:r w:rsidRPr="00177B6D">
        <w:rPr>
          <w:i/>
        </w:rPr>
        <w:t>Tertiary Education Quality and Standards Agency (Consequential Amendments and Transitional Provisions) Act 2011</w:t>
      </w:r>
      <w:r w:rsidRPr="00177B6D">
        <w:t>.</w:t>
      </w:r>
    </w:p>
    <w:p w14:paraId="2BD1C307" w14:textId="77777777" w:rsidR="00160A95" w:rsidRPr="00177B6D" w:rsidRDefault="00160A95" w:rsidP="00160A95">
      <w:pPr>
        <w:pStyle w:val="Definition"/>
      </w:pPr>
      <w:r w:rsidRPr="00177B6D">
        <w:rPr>
          <w:b/>
          <w:i/>
        </w:rPr>
        <w:t>relevant employer</w:t>
      </w:r>
      <w:r w:rsidRPr="00177B6D">
        <w:t>: see section 4.</w:t>
      </w:r>
    </w:p>
    <w:p w14:paraId="2933B152" w14:textId="77777777" w:rsidR="00C34586" w:rsidRPr="00177B6D" w:rsidRDefault="00C34586" w:rsidP="00C34586">
      <w:pPr>
        <w:pStyle w:val="Definition"/>
      </w:pPr>
      <w:r w:rsidRPr="00177B6D">
        <w:rPr>
          <w:b/>
          <w:i/>
        </w:rPr>
        <w:t>reporting period</w:t>
      </w:r>
      <w:r w:rsidRPr="00177B6D">
        <w:t xml:space="preserve"> means:</w:t>
      </w:r>
    </w:p>
    <w:p w14:paraId="3F265F18" w14:textId="45C6B398" w:rsidR="00C34586" w:rsidRPr="00177B6D" w:rsidRDefault="00C34586" w:rsidP="00C34586">
      <w:pPr>
        <w:pStyle w:val="paragraph"/>
      </w:pPr>
      <w:r w:rsidRPr="00177B6D">
        <w:tab/>
        <w:t>(a)</w:t>
      </w:r>
      <w:r w:rsidRPr="00177B6D">
        <w:tab/>
        <w:t>for a relevant employer that is not a Commonwealth company or a Commonwealth entity—a period referred to in sub</w:t>
      </w:r>
      <w:r w:rsidR="004A520A">
        <w:t>section 1</w:t>
      </w:r>
      <w:r w:rsidRPr="00177B6D">
        <w:t>3A(2); or</w:t>
      </w:r>
    </w:p>
    <w:p w14:paraId="3E1B006C" w14:textId="482A2378" w:rsidR="00C34586" w:rsidRPr="00177B6D" w:rsidRDefault="00C34586" w:rsidP="00C34586">
      <w:pPr>
        <w:pStyle w:val="paragraph"/>
      </w:pPr>
      <w:r w:rsidRPr="00177B6D">
        <w:tab/>
        <w:t>(b)</w:t>
      </w:r>
      <w:r w:rsidRPr="00177B6D">
        <w:tab/>
        <w:t>for a relevant employer that is a Commonwealth company or Commonwealth entity—a period referred to in sub</w:t>
      </w:r>
      <w:r w:rsidR="004A520A">
        <w:t>section 1</w:t>
      </w:r>
      <w:r w:rsidRPr="00177B6D">
        <w:t>3A(2A).</w:t>
      </w:r>
    </w:p>
    <w:p w14:paraId="2CEC0DDF" w14:textId="77777777" w:rsidR="00C34586" w:rsidRPr="00177B6D" w:rsidRDefault="00C34586" w:rsidP="00C34586">
      <w:pPr>
        <w:pStyle w:val="Definition"/>
      </w:pPr>
      <w:r w:rsidRPr="00177B6D">
        <w:rPr>
          <w:b/>
          <w:i/>
        </w:rPr>
        <w:t>sexually harass</w:t>
      </w:r>
      <w:r w:rsidRPr="00177B6D">
        <w:t xml:space="preserve"> has the same meaning as in the </w:t>
      </w:r>
      <w:r w:rsidRPr="00177B6D">
        <w:rPr>
          <w:i/>
        </w:rPr>
        <w:t>Sex Discrimination Act 1984</w:t>
      </w:r>
      <w:r w:rsidRPr="00177B6D">
        <w:t>.</w:t>
      </w:r>
    </w:p>
    <w:p w14:paraId="76DCE74B" w14:textId="6879EB69" w:rsidR="00C34586" w:rsidRPr="00177B6D" w:rsidRDefault="00C34586" w:rsidP="00C34586">
      <w:pPr>
        <w:pStyle w:val="notetext"/>
      </w:pPr>
      <w:r w:rsidRPr="00177B6D">
        <w:t>Note:</w:t>
      </w:r>
      <w:r w:rsidRPr="00177B6D">
        <w:tab/>
        <w:t xml:space="preserve">Other parts of speech and grammatical forms of “sexually harass” (for example, “sexual harassment”) have a corresponding meaning (see </w:t>
      </w:r>
      <w:r w:rsidR="004A520A">
        <w:t>section 1</w:t>
      </w:r>
      <w:r w:rsidRPr="00177B6D">
        <w:t xml:space="preserve">8A of the </w:t>
      </w:r>
      <w:r w:rsidRPr="00177B6D">
        <w:rPr>
          <w:i/>
        </w:rPr>
        <w:t>Acts Interpretation Act 1901</w:t>
      </w:r>
      <w:r w:rsidRPr="00177B6D">
        <w:t>).</w:t>
      </w:r>
    </w:p>
    <w:p w14:paraId="2C2954ED" w14:textId="164C46C9" w:rsidR="00692D7C" w:rsidRPr="00177B6D" w:rsidRDefault="00692D7C" w:rsidP="00692D7C">
      <w:pPr>
        <w:pStyle w:val="Definition"/>
      </w:pPr>
      <w:r w:rsidRPr="00177B6D">
        <w:rPr>
          <w:b/>
          <w:i/>
        </w:rPr>
        <w:t>target cycle</w:t>
      </w:r>
      <w:r w:rsidRPr="00177B6D">
        <w:t xml:space="preserve">: see </w:t>
      </w:r>
      <w:r w:rsidR="004A520A">
        <w:t>section 1</w:t>
      </w:r>
      <w:r w:rsidRPr="00177B6D">
        <w:t>7A.</w:t>
      </w:r>
    </w:p>
    <w:p w14:paraId="13A22CCC" w14:textId="77777777" w:rsidR="005B0542" w:rsidRPr="00177B6D" w:rsidRDefault="005B0542" w:rsidP="005B0542">
      <w:pPr>
        <w:pStyle w:val="Definition"/>
      </w:pPr>
      <w:r w:rsidRPr="00177B6D">
        <w:rPr>
          <w:b/>
          <w:i/>
        </w:rPr>
        <w:lastRenderedPageBreak/>
        <w:t>woman</w:t>
      </w:r>
      <w:r w:rsidRPr="00177B6D">
        <w:t xml:space="preserve"> means a member of the female sex irrespective of age.</w:t>
      </w:r>
    </w:p>
    <w:p w14:paraId="4F9D4E06" w14:textId="77777777" w:rsidR="008418A6" w:rsidRPr="00177B6D" w:rsidRDefault="008418A6" w:rsidP="008418A6">
      <w:pPr>
        <w:pStyle w:val="subsection"/>
      </w:pPr>
      <w:r w:rsidRPr="00177B6D">
        <w:tab/>
        <w:t>(1A)</w:t>
      </w:r>
      <w:r w:rsidRPr="00177B6D">
        <w:tab/>
        <w:t xml:space="preserve">The Minister may, by legislative instrument, specify matters for the purposes of </w:t>
      </w:r>
      <w:r w:rsidR="00CC4F01" w:rsidRPr="00177B6D">
        <w:t>paragraph (</w:t>
      </w:r>
      <w:r w:rsidRPr="00177B6D">
        <w:t xml:space="preserve">f) of the definition of </w:t>
      </w:r>
      <w:r w:rsidRPr="00177B6D">
        <w:rPr>
          <w:b/>
          <w:i/>
        </w:rPr>
        <w:t xml:space="preserve">gender equality indicators </w:t>
      </w:r>
      <w:r w:rsidRPr="00177B6D">
        <w:t xml:space="preserve">in </w:t>
      </w:r>
      <w:r w:rsidR="00CC4F01" w:rsidRPr="00177B6D">
        <w:t>subsection (</w:t>
      </w:r>
      <w:r w:rsidRPr="00177B6D">
        <w:t>1).</w:t>
      </w:r>
    </w:p>
    <w:p w14:paraId="60C713B2" w14:textId="77777777" w:rsidR="008418A6" w:rsidRPr="00177B6D" w:rsidRDefault="008418A6" w:rsidP="008418A6">
      <w:pPr>
        <w:pStyle w:val="notetext"/>
      </w:pPr>
      <w:r w:rsidRPr="00177B6D">
        <w:t>Note:</w:t>
      </w:r>
      <w:r w:rsidRPr="00177B6D">
        <w:tab/>
        <w:t>See also section</w:t>
      </w:r>
      <w:r w:rsidR="00CC4F01" w:rsidRPr="00177B6D">
        <w:t> </w:t>
      </w:r>
      <w:r w:rsidRPr="00177B6D">
        <w:t>33A.</w:t>
      </w:r>
    </w:p>
    <w:p w14:paraId="504B737F" w14:textId="77777777" w:rsidR="008418A6" w:rsidRPr="00177B6D" w:rsidRDefault="008418A6" w:rsidP="008418A6">
      <w:pPr>
        <w:pStyle w:val="subsection"/>
      </w:pPr>
      <w:r w:rsidRPr="00177B6D">
        <w:tab/>
        <w:t>(1B)</w:t>
      </w:r>
      <w:r w:rsidRPr="00177B6D">
        <w:tab/>
        <w:t xml:space="preserve">The matters specified in an instrument under </w:t>
      </w:r>
      <w:r w:rsidR="00CC4F01" w:rsidRPr="00177B6D">
        <w:t>subsection (</w:t>
      </w:r>
      <w:r w:rsidRPr="00177B6D">
        <w:t>1A) may relate to employment matters.</w:t>
      </w:r>
    </w:p>
    <w:p w14:paraId="799AB530" w14:textId="77777777" w:rsidR="008418A6" w:rsidRPr="00177B6D" w:rsidRDefault="008418A6" w:rsidP="008418A6">
      <w:pPr>
        <w:pStyle w:val="subsection"/>
      </w:pPr>
      <w:r w:rsidRPr="00177B6D">
        <w:tab/>
        <w:t>(1C)</w:t>
      </w:r>
      <w:r w:rsidRPr="00177B6D">
        <w:tab/>
      </w:r>
      <w:r w:rsidR="00CC4F01" w:rsidRPr="00177B6D">
        <w:t>Subsection (</w:t>
      </w:r>
      <w:r w:rsidRPr="00177B6D">
        <w:t xml:space="preserve">1B) does not limit </w:t>
      </w:r>
      <w:r w:rsidR="00CC4F01" w:rsidRPr="00177B6D">
        <w:t>subsection (</w:t>
      </w:r>
      <w:r w:rsidRPr="00177B6D">
        <w:t>1A).</w:t>
      </w:r>
    </w:p>
    <w:p w14:paraId="3F25DB6A" w14:textId="77777777" w:rsidR="008418A6" w:rsidRPr="00177B6D" w:rsidRDefault="008418A6" w:rsidP="008418A6">
      <w:pPr>
        <w:pStyle w:val="subsection"/>
      </w:pPr>
      <w:r w:rsidRPr="00177B6D">
        <w:tab/>
        <w:t>(1D)</w:t>
      </w:r>
      <w:r w:rsidRPr="00177B6D">
        <w:tab/>
        <w:t xml:space="preserve">An instrument under </w:t>
      </w:r>
      <w:r w:rsidR="00CC4F01" w:rsidRPr="00177B6D">
        <w:t>subsection (</w:t>
      </w:r>
      <w:r w:rsidRPr="00177B6D">
        <w:t>1A) has no effect in relation to a reporting period unless it is made before the first day of that period.</w:t>
      </w:r>
    </w:p>
    <w:p w14:paraId="2A5F376B" w14:textId="77777777" w:rsidR="005B0542" w:rsidRPr="00177B6D" w:rsidRDefault="005B0542" w:rsidP="005B0542">
      <w:pPr>
        <w:pStyle w:val="subsection"/>
      </w:pPr>
      <w:r w:rsidRPr="00177B6D">
        <w:tab/>
        <w:t>(4)</w:t>
      </w:r>
      <w:r w:rsidRPr="00177B6D">
        <w:tab/>
        <w:t>Nothing in this Act shall be taken to require a relevant employer to take any action incompatible with the principle that employment matters should be dealt with on the basis of merit.</w:t>
      </w:r>
    </w:p>
    <w:p w14:paraId="21DDC968" w14:textId="77777777" w:rsidR="005B0542" w:rsidRPr="00177B6D" w:rsidRDefault="005B0542" w:rsidP="005B0542">
      <w:pPr>
        <w:pStyle w:val="subsection"/>
      </w:pPr>
      <w:r w:rsidRPr="00177B6D">
        <w:tab/>
        <w:t>(5)</w:t>
      </w:r>
      <w:r w:rsidRPr="00177B6D">
        <w:tab/>
        <w:t xml:space="preserve">For the purposes of this Act, an elected </w:t>
      </w:r>
      <w:r w:rsidR="00752A56" w:rsidRPr="00177B6D">
        <w:t>employee organisation</w:t>
      </w:r>
      <w:r w:rsidRPr="00177B6D">
        <w:t xml:space="preserve"> official is taken to be employed by the </w:t>
      </w:r>
      <w:r w:rsidR="00752A56" w:rsidRPr="00177B6D">
        <w:t>employee organisation</w:t>
      </w:r>
      <w:r w:rsidRPr="00177B6D">
        <w:t xml:space="preserve">, and not by any other employer, and this subsection has effect even if the rules of the </w:t>
      </w:r>
      <w:r w:rsidR="00752A56" w:rsidRPr="00177B6D">
        <w:t>employee organisation</w:t>
      </w:r>
      <w:r w:rsidRPr="00177B6D">
        <w:t xml:space="preserve"> have an effect contrary to this subsection, or do not deal with the question at all.</w:t>
      </w:r>
    </w:p>
    <w:p w14:paraId="548463D6" w14:textId="77777777" w:rsidR="005B0542" w:rsidRPr="00177B6D" w:rsidRDefault="005B0542" w:rsidP="005B0542">
      <w:pPr>
        <w:pStyle w:val="subsection"/>
      </w:pPr>
      <w:r w:rsidRPr="00177B6D">
        <w:tab/>
        <w:t>(6)</w:t>
      </w:r>
      <w:r w:rsidRPr="00177B6D">
        <w:tab/>
        <w:t>For the purposes of this Act, during any time when a Group Training Scheme:</w:t>
      </w:r>
    </w:p>
    <w:p w14:paraId="75F6E666" w14:textId="77777777" w:rsidR="005B0542" w:rsidRPr="00177B6D" w:rsidRDefault="005B0542" w:rsidP="005B0542">
      <w:pPr>
        <w:pStyle w:val="paragraph"/>
      </w:pPr>
      <w:r w:rsidRPr="00177B6D">
        <w:tab/>
        <w:t>(a)</w:t>
      </w:r>
      <w:r w:rsidRPr="00177B6D">
        <w:tab/>
        <w:t>is receiving funding support from the Commonwealth Government; and</w:t>
      </w:r>
    </w:p>
    <w:p w14:paraId="1BF1D935" w14:textId="77777777" w:rsidR="005B0542" w:rsidRPr="00177B6D" w:rsidRDefault="005B0542" w:rsidP="005B0542">
      <w:pPr>
        <w:pStyle w:val="paragraph"/>
      </w:pPr>
      <w:r w:rsidRPr="00177B6D">
        <w:tab/>
        <w:t>(b)</w:t>
      </w:r>
      <w:r w:rsidRPr="00177B6D">
        <w:tab/>
        <w:t>has placed a trainee in employment with a host employer; and</w:t>
      </w:r>
    </w:p>
    <w:p w14:paraId="28268D5D" w14:textId="77777777" w:rsidR="005B0542" w:rsidRPr="00177B6D" w:rsidRDefault="005B0542" w:rsidP="005B0542">
      <w:pPr>
        <w:pStyle w:val="paragraph"/>
        <w:keepNext/>
      </w:pPr>
      <w:r w:rsidRPr="00177B6D">
        <w:tab/>
        <w:t>(c)</w:t>
      </w:r>
      <w:r w:rsidRPr="00177B6D">
        <w:tab/>
        <w:t>pays the trainee, and receives payments from the host employer, for the services rendered by the trainee to the host employer;</w:t>
      </w:r>
    </w:p>
    <w:p w14:paraId="6A09EAB8" w14:textId="77777777" w:rsidR="005B0542" w:rsidRPr="00177B6D" w:rsidRDefault="005B0542" w:rsidP="005B0542">
      <w:pPr>
        <w:pStyle w:val="subsection2"/>
      </w:pPr>
      <w:r w:rsidRPr="00177B6D">
        <w:t>the trainee is taken to be employed by the Scheme and not by the host employer.</w:t>
      </w:r>
    </w:p>
    <w:p w14:paraId="197E8F0E" w14:textId="77777777" w:rsidR="00160A95" w:rsidRPr="00177B6D" w:rsidRDefault="00160A95" w:rsidP="00160A95">
      <w:pPr>
        <w:pStyle w:val="ActHead5"/>
      </w:pPr>
      <w:bookmarkStart w:id="6" w:name="_Toc195097014"/>
      <w:r w:rsidRPr="004A520A">
        <w:rPr>
          <w:rStyle w:val="CharSectno"/>
          <w:rFonts w:eastAsiaTheme="minorHAnsi"/>
        </w:rPr>
        <w:lastRenderedPageBreak/>
        <w:t>4</w:t>
      </w:r>
      <w:r w:rsidRPr="00177B6D">
        <w:t xml:space="preserve">  Meaning of </w:t>
      </w:r>
      <w:r w:rsidRPr="00177B6D">
        <w:rPr>
          <w:i/>
        </w:rPr>
        <w:t>relevant employer</w:t>
      </w:r>
      <w:bookmarkEnd w:id="6"/>
    </w:p>
    <w:p w14:paraId="2742C961" w14:textId="77777777" w:rsidR="00160A95" w:rsidRPr="00177B6D" w:rsidRDefault="00160A95" w:rsidP="00160A95">
      <w:pPr>
        <w:pStyle w:val="subsection"/>
      </w:pPr>
      <w:r w:rsidRPr="00177B6D">
        <w:tab/>
        <w:t>(1)</w:t>
      </w:r>
      <w:r w:rsidRPr="00177B6D">
        <w:tab/>
        <w:t xml:space="preserve">A </w:t>
      </w:r>
      <w:r w:rsidRPr="00177B6D">
        <w:rPr>
          <w:b/>
          <w:i/>
        </w:rPr>
        <w:t>relevant employer</w:t>
      </w:r>
      <w:r w:rsidRPr="00177B6D">
        <w:t xml:space="preserve"> means:</w:t>
      </w:r>
    </w:p>
    <w:p w14:paraId="4834580B" w14:textId="77777777" w:rsidR="00160A95" w:rsidRPr="00177B6D" w:rsidRDefault="00160A95" w:rsidP="00160A95">
      <w:pPr>
        <w:pStyle w:val="paragraph"/>
      </w:pPr>
      <w:r w:rsidRPr="00177B6D">
        <w:tab/>
        <w:t>(a)</w:t>
      </w:r>
      <w:r w:rsidRPr="00177B6D">
        <w:tab/>
        <w:t>a registered higher education provider that is an employer; or</w:t>
      </w:r>
    </w:p>
    <w:p w14:paraId="1B22749E" w14:textId="77777777" w:rsidR="00160A95" w:rsidRPr="00177B6D" w:rsidRDefault="00160A95" w:rsidP="00160A95">
      <w:pPr>
        <w:pStyle w:val="paragraph"/>
      </w:pPr>
      <w:r w:rsidRPr="00177B6D">
        <w:tab/>
        <w:t>(b)</w:t>
      </w:r>
      <w:r w:rsidRPr="00177B6D">
        <w:tab/>
        <w:t>a natural person, or a body or association (whether incorporated or not), that is an employer of 100 or more employees in Australia; or</w:t>
      </w:r>
    </w:p>
    <w:p w14:paraId="13E083FA" w14:textId="77777777" w:rsidR="00160A95" w:rsidRPr="00177B6D" w:rsidRDefault="00160A95" w:rsidP="00160A95">
      <w:pPr>
        <w:pStyle w:val="paragraph"/>
      </w:pPr>
      <w:r w:rsidRPr="00177B6D">
        <w:tab/>
        <w:t>(c)</w:t>
      </w:r>
      <w:r w:rsidRPr="00177B6D">
        <w:tab/>
        <w:t>a Commonwealth company that is an employer of 100 or more employees in Australia; or</w:t>
      </w:r>
    </w:p>
    <w:p w14:paraId="2733D89A" w14:textId="77777777" w:rsidR="00160A95" w:rsidRPr="00177B6D" w:rsidRDefault="00160A95" w:rsidP="00160A95">
      <w:pPr>
        <w:pStyle w:val="paragraph"/>
      </w:pPr>
      <w:r w:rsidRPr="00177B6D">
        <w:tab/>
        <w:t>(d)</w:t>
      </w:r>
      <w:r w:rsidRPr="00177B6D">
        <w:tab/>
        <w:t>a Commonwealth entity that is an employer of 100 or more employees in Australia.</w:t>
      </w:r>
    </w:p>
    <w:p w14:paraId="0B094A10" w14:textId="77777777" w:rsidR="00160A95" w:rsidRPr="00177B6D" w:rsidRDefault="00160A95" w:rsidP="00160A95">
      <w:pPr>
        <w:pStyle w:val="subsection"/>
      </w:pPr>
      <w:r w:rsidRPr="00177B6D">
        <w:tab/>
        <w:t>(2)</w:t>
      </w:r>
      <w:r w:rsidRPr="00177B6D">
        <w:tab/>
        <w:t xml:space="preserve">However, a </w:t>
      </w:r>
      <w:r w:rsidRPr="00177B6D">
        <w:rPr>
          <w:b/>
          <w:i/>
        </w:rPr>
        <w:t xml:space="preserve">relevant employer </w:t>
      </w:r>
      <w:r w:rsidRPr="00177B6D">
        <w:t>does not include:</w:t>
      </w:r>
    </w:p>
    <w:p w14:paraId="7E6B118A" w14:textId="77777777" w:rsidR="00160A95" w:rsidRPr="00177B6D" w:rsidRDefault="00160A95" w:rsidP="00160A95">
      <w:pPr>
        <w:pStyle w:val="paragraph"/>
      </w:pPr>
      <w:r w:rsidRPr="00177B6D">
        <w:tab/>
        <w:t>(a)</w:t>
      </w:r>
      <w:r w:rsidRPr="00177B6D">
        <w:tab/>
        <w:t>a State; or</w:t>
      </w:r>
    </w:p>
    <w:p w14:paraId="6C8CD124" w14:textId="77777777" w:rsidR="00160A95" w:rsidRPr="00177B6D" w:rsidRDefault="00160A95" w:rsidP="00160A95">
      <w:pPr>
        <w:pStyle w:val="paragraph"/>
      </w:pPr>
      <w:r w:rsidRPr="00177B6D">
        <w:tab/>
        <w:t>(b)</w:t>
      </w:r>
      <w:r w:rsidRPr="00177B6D">
        <w:tab/>
        <w:t>a Territory; or</w:t>
      </w:r>
    </w:p>
    <w:p w14:paraId="71405593" w14:textId="77777777" w:rsidR="00160A95" w:rsidRPr="00177B6D" w:rsidRDefault="00160A95" w:rsidP="00160A95">
      <w:pPr>
        <w:pStyle w:val="paragraph"/>
      </w:pPr>
      <w:r w:rsidRPr="00177B6D">
        <w:tab/>
        <w:t>(c)</w:t>
      </w:r>
      <w:r w:rsidRPr="00177B6D">
        <w:tab/>
        <w:t>a body (whether incorporated or not) established for a public purpose by or under a law of a State or Territory, other than a registered higher education provider; or</w:t>
      </w:r>
    </w:p>
    <w:p w14:paraId="4C1FE036" w14:textId="77777777" w:rsidR="00160A95" w:rsidRPr="00177B6D" w:rsidRDefault="00160A95" w:rsidP="00160A95">
      <w:pPr>
        <w:pStyle w:val="paragraph"/>
      </w:pPr>
      <w:r w:rsidRPr="00177B6D">
        <w:tab/>
        <w:t>(d)</w:t>
      </w:r>
      <w:r w:rsidRPr="00177B6D">
        <w:tab/>
        <w:t>the holder of an office established for a public purpose by or under a law of a State or Territory; or</w:t>
      </w:r>
    </w:p>
    <w:p w14:paraId="7DE96289" w14:textId="77777777" w:rsidR="00160A95" w:rsidRPr="00177B6D" w:rsidRDefault="00160A95" w:rsidP="00160A95">
      <w:pPr>
        <w:pStyle w:val="paragraph"/>
      </w:pPr>
      <w:r w:rsidRPr="00177B6D">
        <w:tab/>
        <w:t>(e)</w:t>
      </w:r>
      <w:r w:rsidRPr="00177B6D">
        <w:tab/>
        <w:t>an incorporated company over which a State, a Territory or a body referred to in paragraph (c) is in a position to exercise control.</w:t>
      </w:r>
    </w:p>
    <w:p w14:paraId="7D7629B0" w14:textId="77777777" w:rsidR="00160A95" w:rsidRPr="00177B6D" w:rsidRDefault="00160A95" w:rsidP="00160A95">
      <w:pPr>
        <w:pStyle w:val="subsection"/>
      </w:pPr>
      <w:r w:rsidRPr="00177B6D">
        <w:tab/>
        <w:t>(3)</w:t>
      </w:r>
      <w:r w:rsidRPr="00177B6D">
        <w:tab/>
        <w:t xml:space="preserve">For the purpose of the definition of </w:t>
      </w:r>
      <w:r w:rsidRPr="00177B6D">
        <w:rPr>
          <w:b/>
          <w:i/>
        </w:rPr>
        <w:t>relevant employer</w:t>
      </w:r>
      <w:r w:rsidRPr="00177B6D">
        <w:t xml:space="preserve"> in subsection (1):</w:t>
      </w:r>
    </w:p>
    <w:p w14:paraId="56CFBB28" w14:textId="77777777" w:rsidR="002868D5" w:rsidRPr="00177B6D" w:rsidRDefault="002868D5" w:rsidP="002868D5">
      <w:pPr>
        <w:pStyle w:val="paragraph"/>
      </w:pPr>
      <w:r w:rsidRPr="00177B6D">
        <w:tab/>
        <w:t>(a)</w:t>
      </w:r>
      <w:r w:rsidRPr="00177B6D">
        <w:tab/>
        <w:t xml:space="preserve">if an employer is a body corporate that is a subsidiary (within the meaning of the </w:t>
      </w:r>
      <w:r w:rsidRPr="00177B6D">
        <w:rPr>
          <w:i/>
        </w:rPr>
        <w:t>Corporations Act 2001</w:t>
      </w:r>
      <w:r w:rsidRPr="00177B6D">
        <w:t>) of one or more other bodies corporate, and the subsidiary employs a person, the subsidiary and each of the other bodies corporate are taken to employ the person; and</w:t>
      </w:r>
    </w:p>
    <w:p w14:paraId="48A6EB49" w14:textId="3AC2026C" w:rsidR="00160A95" w:rsidRPr="00177B6D" w:rsidRDefault="00160A95" w:rsidP="00160A95">
      <w:pPr>
        <w:pStyle w:val="paragraph"/>
      </w:pPr>
      <w:r w:rsidRPr="00177B6D">
        <w:tab/>
        <w:t>(b)</w:t>
      </w:r>
      <w:r w:rsidRPr="00177B6D">
        <w:tab/>
        <w:t xml:space="preserve">if the relevant employer is a Commonwealth company—a Commonwealth company employs a person if the person is employed by another Commonwealth company which is a subsidiary (within the meaning of the </w:t>
      </w:r>
      <w:r w:rsidRPr="00177B6D">
        <w:rPr>
          <w:i/>
        </w:rPr>
        <w:t>Public Governance, Performance and Accountability Act 2013</w:t>
      </w:r>
      <w:r w:rsidRPr="00177B6D">
        <w:t>) of the first</w:t>
      </w:r>
      <w:r w:rsidR="004A520A">
        <w:noBreakHyphen/>
      </w:r>
      <w:r w:rsidRPr="00177B6D">
        <w:t>mentioned Commonwealth company; and</w:t>
      </w:r>
    </w:p>
    <w:p w14:paraId="469D2EE7" w14:textId="1E8ECF49" w:rsidR="00160A95" w:rsidRPr="00177B6D" w:rsidRDefault="00160A95" w:rsidP="00160A95">
      <w:pPr>
        <w:pStyle w:val="paragraph"/>
      </w:pPr>
      <w:r w:rsidRPr="00177B6D">
        <w:lastRenderedPageBreak/>
        <w:tab/>
        <w:t>(c)</w:t>
      </w:r>
      <w:r w:rsidRPr="00177B6D">
        <w:tab/>
        <w:t xml:space="preserve">if the relevant employer is a Commonwealth entity that is a corporate Commonwealth entity (within the meaning of the </w:t>
      </w:r>
      <w:r w:rsidRPr="00177B6D">
        <w:rPr>
          <w:i/>
        </w:rPr>
        <w:t>Public Governance, Performance and Accountability Act 2013</w:t>
      </w:r>
      <w:r w:rsidRPr="00177B6D">
        <w:t>)—the corporate Commonwealth entity employs a person if the person is employed by another corporate Commonwealth entity which is a subsidiary (within the meaning of that Act) of the first</w:t>
      </w:r>
      <w:r w:rsidR="004A520A">
        <w:noBreakHyphen/>
      </w:r>
      <w:r w:rsidRPr="00177B6D">
        <w:t>mentioned corporate Commonwealth entity.</w:t>
      </w:r>
    </w:p>
    <w:p w14:paraId="120F7277" w14:textId="77777777" w:rsidR="002868D5" w:rsidRPr="00177B6D" w:rsidRDefault="002868D5" w:rsidP="002868D5">
      <w:pPr>
        <w:pStyle w:val="notetext"/>
      </w:pPr>
      <w:r w:rsidRPr="00177B6D">
        <w:t>Example 1:</w:t>
      </w:r>
      <w:r w:rsidRPr="00177B6D">
        <w:tab/>
        <w:t xml:space="preserve">For paragraph (a), a subsidiary employs 150 people. The subsidiary and each of its holding companies (within the meaning of those terms in the </w:t>
      </w:r>
      <w:r w:rsidRPr="00177B6D">
        <w:rPr>
          <w:i/>
        </w:rPr>
        <w:t>Corporations Act 2001</w:t>
      </w:r>
      <w:r w:rsidRPr="00177B6D">
        <w:t>) is a relevant employer, regardless of how many people each of the holding companies directly employs.</w:t>
      </w:r>
    </w:p>
    <w:p w14:paraId="75A70895" w14:textId="77777777" w:rsidR="002868D5" w:rsidRPr="00177B6D" w:rsidRDefault="002868D5" w:rsidP="002868D5">
      <w:pPr>
        <w:pStyle w:val="notetext"/>
      </w:pPr>
      <w:r w:rsidRPr="00177B6D">
        <w:t>Example 2:</w:t>
      </w:r>
      <w:r w:rsidRPr="00177B6D">
        <w:tab/>
        <w:t xml:space="preserve">For paragraph (a), a subsidiary employs 90 people. The subsidiary is not a relevant employer. A holding company of the subsidiary directly employs 10 people. The holding company, because it is taken to also employ the employees of the subsidiary (for the purposes of the definition of </w:t>
      </w:r>
      <w:r w:rsidRPr="00177B6D">
        <w:rPr>
          <w:b/>
          <w:i/>
        </w:rPr>
        <w:t>relevant employer</w:t>
      </w:r>
      <w:r w:rsidRPr="00177B6D">
        <w:t>), is a relevant employer.</w:t>
      </w:r>
    </w:p>
    <w:p w14:paraId="171D3687" w14:textId="77777777" w:rsidR="00160A95" w:rsidRPr="00177B6D" w:rsidRDefault="00160A95" w:rsidP="00160A95">
      <w:pPr>
        <w:pStyle w:val="subsection"/>
      </w:pPr>
      <w:r w:rsidRPr="00177B6D">
        <w:tab/>
        <w:t>(4)</w:t>
      </w:r>
      <w:r w:rsidRPr="00177B6D">
        <w:tab/>
        <w:t>If, at any time, an employer ceases to be a relevant employer because the number of employees of the employer falls below 100, this Act continues to apply to the employer as if the employer were a relevant employer unless and until the number of employees falls below 80.</w:t>
      </w:r>
    </w:p>
    <w:p w14:paraId="0A03774E" w14:textId="77777777" w:rsidR="002868D5" w:rsidRPr="00177B6D" w:rsidRDefault="002868D5" w:rsidP="002868D5">
      <w:pPr>
        <w:pStyle w:val="ActHead5"/>
      </w:pPr>
      <w:bookmarkStart w:id="7" w:name="_Toc195097015"/>
      <w:r w:rsidRPr="004A520A">
        <w:rPr>
          <w:rStyle w:val="CharSectno"/>
          <w:rFonts w:eastAsiaTheme="minorHAnsi"/>
        </w:rPr>
        <w:t>4A</w:t>
      </w:r>
      <w:r w:rsidRPr="00177B6D">
        <w:t xml:space="preserve">  Meaning of </w:t>
      </w:r>
      <w:r w:rsidRPr="00177B6D">
        <w:rPr>
          <w:i/>
        </w:rPr>
        <w:t>designated relevant employer</w:t>
      </w:r>
      <w:bookmarkEnd w:id="7"/>
    </w:p>
    <w:p w14:paraId="4204AF72" w14:textId="77777777" w:rsidR="002868D5" w:rsidRPr="00177B6D" w:rsidRDefault="002868D5" w:rsidP="002868D5">
      <w:pPr>
        <w:pStyle w:val="subsection"/>
      </w:pPr>
      <w:r w:rsidRPr="00177B6D">
        <w:tab/>
        <w:t>(1)</w:t>
      </w:r>
      <w:r w:rsidRPr="00177B6D">
        <w:tab/>
        <w:t xml:space="preserve">A relevant employer becomes a </w:t>
      </w:r>
      <w:r w:rsidRPr="00177B6D">
        <w:rPr>
          <w:b/>
          <w:i/>
        </w:rPr>
        <w:t>designated relevant employer</w:t>
      </w:r>
      <w:r w:rsidRPr="00177B6D">
        <w:t xml:space="preserve"> if:</w:t>
      </w:r>
    </w:p>
    <w:p w14:paraId="48CB8686" w14:textId="77777777" w:rsidR="002868D5" w:rsidRPr="00177B6D" w:rsidRDefault="002868D5" w:rsidP="002868D5">
      <w:pPr>
        <w:pStyle w:val="paragraph"/>
      </w:pPr>
      <w:r w:rsidRPr="00177B6D">
        <w:tab/>
        <w:t>(a)</w:t>
      </w:r>
      <w:r w:rsidRPr="00177B6D">
        <w:tab/>
        <w:t>the relevant employer employs 500 or more employees at any time; and</w:t>
      </w:r>
    </w:p>
    <w:p w14:paraId="42F4A1EA" w14:textId="77777777" w:rsidR="002868D5" w:rsidRPr="00177B6D" w:rsidRDefault="002868D5" w:rsidP="002868D5">
      <w:pPr>
        <w:pStyle w:val="paragraph"/>
      </w:pPr>
      <w:r w:rsidRPr="00177B6D">
        <w:tab/>
        <w:t>(b)</w:t>
      </w:r>
      <w:r w:rsidRPr="00177B6D">
        <w:tab/>
        <w:t>the relevant employer is not already a designated relevant employer at that time.</w:t>
      </w:r>
    </w:p>
    <w:p w14:paraId="3DF462AD" w14:textId="77777777" w:rsidR="002868D5" w:rsidRPr="00177B6D" w:rsidRDefault="002868D5" w:rsidP="002868D5">
      <w:pPr>
        <w:pStyle w:val="subsection"/>
      </w:pPr>
      <w:r w:rsidRPr="00177B6D">
        <w:tab/>
        <w:t>(2)</w:t>
      </w:r>
      <w:r w:rsidRPr="00177B6D">
        <w:tab/>
        <w:t>An employer ceases to be a designated relevant employer if:</w:t>
      </w:r>
    </w:p>
    <w:p w14:paraId="637A6A6D" w14:textId="77777777" w:rsidR="002868D5" w:rsidRPr="00177B6D" w:rsidRDefault="002868D5" w:rsidP="002868D5">
      <w:pPr>
        <w:pStyle w:val="paragraph"/>
      </w:pPr>
      <w:r w:rsidRPr="00177B6D">
        <w:tab/>
        <w:t>(a)</w:t>
      </w:r>
      <w:r w:rsidRPr="00177B6D">
        <w:tab/>
        <w:t>the number of employees of the employer falls below 400 for a continuous period of 6 months; or</w:t>
      </w:r>
    </w:p>
    <w:p w14:paraId="6A51C0CB" w14:textId="77777777" w:rsidR="002868D5" w:rsidRPr="00177B6D" w:rsidRDefault="002868D5" w:rsidP="002868D5">
      <w:pPr>
        <w:pStyle w:val="paragraph"/>
      </w:pPr>
      <w:r w:rsidRPr="00177B6D">
        <w:tab/>
        <w:t>(b)</w:t>
      </w:r>
      <w:r w:rsidRPr="00177B6D">
        <w:tab/>
        <w:t>the employer ceases to be a relevant employer.</w:t>
      </w:r>
    </w:p>
    <w:p w14:paraId="5D5E2CD9" w14:textId="77777777" w:rsidR="002868D5" w:rsidRPr="00177B6D" w:rsidRDefault="002868D5" w:rsidP="002868D5">
      <w:pPr>
        <w:pStyle w:val="notetext"/>
      </w:pPr>
      <w:r w:rsidRPr="00177B6D">
        <w:t>Note:</w:t>
      </w:r>
      <w:r w:rsidRPr="00177B6D">
        <w:tab/>
        <w:t xml:space="preserve">The number of employees for the purpose of this section does not include employees that the employer is taken under subsection 4(3) to </w:t>
      </w:r>
      <w:r w:rsidRPr="00177B6D">
        <w:lastRenderedPageBreak/>
        <w:t xml:space="preserve">employ for the purpose of the definition of </w:t>
      </w:r>
      <w:r w:rsidRPr="00177B6D">
        <w:rPr>
          <w:b/>
          <w:i/>
        </w:rPr>
        <w:t>relevant employer</w:t>
      </w:r>
      <w:r w:rsidRPr="00177B6D">
        <w:t xml:space="preserve"> in subsection 4(1).</w:t>
      </w:r>
    </w:p>
    <w:p w14:paraId="56C18E04" w14:textId="77777777" w:rsidR="005B0542" w:rsidRPr="00177B6D" w:rsidRDefault="005B0542" w:rsidP="005B0542">
      <w:pPr>
        <w:pStyle w:val="ActHead5"/>
      </w:pPr>
      <w:bookmarkStart w:id="8" w:name="_Toc195097016"/>
      <w:r w:rsidRPr="004A520A">
        <w:rPr>
          <w:rStyle w:val="CharSectno"/>
        </w:rPr>
        <w:t>5</w:t>
      </w:r>
      <w:r w:rsidRPr="00177B6D">
        <w:t xml:space="preserve">  Application of Act</w:t>
      </w:r>
      <w:bookmarkEnd w:id="8"/>
    </w:p>
    <w:p w14:paraId="5A721967" w14:textId="77777777" w:rsidR="005B0542" w:rsidRPr="00177B6D" w:rsidRDefault="005B0542" w:rsidP="005B0542">
      <w:pPr>
        <w:pStyle w:val="subsection"/>
      </w:pPr>
      <w:r w:rsidRPr="00177B6D">
        <w:tab/>
        <w:t>(1)</w:t>
      </w:r>
      <w:r w:rsidRPr="00177B6D">
        <w:tab/>
        <w:t>Without prejudice to its effect apart from this section, this Act also has effect as provided by this section.</w:t>
      </w:r>
    </w:p>
    <w:p w14:paraId="6645581C" w14:textId="77777777" w:rsidR="005B0542" w:rsidRPr="00177B6D" w:rsidRDefault="005B0542" w:rsidP="005B0542">
      <w:pPr>
        <w:pStyle w:val="subsection"/>
      </w:pPr>
      <w:r w:rsidRPr="00177B6D">
        <w:tab/>
        <w:t>(2)</w:t>
      </w:r>
      <w:r w:rsidRPr="00177B6D">
        <w:tab/>
        <w:t>By virtue of this subsection, this Act has the effect it would have if each reference in this Act to employment were, by express provision, confined to employment in connection with trade and commerce:</w:t>
      </w:r>
    </w:p>
    <w:p w14:paraId="0D522642" w14:textId="77777777" w:rsidR="005B0542" w:rsidRPr="00177B6D" w:rsidRDefault="005B0542" w:rsidP="005B0542">
      <w:pPr>
        <w:pStyle w:val="paragraph"/>
      </w:pPr>
      <w:r w:rsidRPr="00177B6D">
        <w:tab/>
        <w:t>(a)</w:t>
      </w:r>
      <w:r w:rsidRPr="00177B6D">
        <w:tab/>
        <w:t>between Australia and a place outside Australia;</w:t>
      </w:r>
    </w:p>
    <w:p w14:paraId="23925DA9" w14:textId="77777777" w:rsidR="005B0542" w:rsidRPr="00177B6D" w:rsidRDefault="005B0542" w:rsidP="005B0542">
      <w:pPr>
        <w:pStyle w:val="paragraph"/>
      </w:pPr>
      <w:r w:rsidRPr="00177B6D">
        <w:tab/>
        <w:t>(b)</w:t>
      </w:r>
      <w:r w:rsidRPr="00177B6D">
        <w:tab/>
        <w:t>between the States; or</w:t>
      </w:r>
    </w:p>
    <w:p w14:paraId="411FF243" w14:textId="77777777" w:rsidR="005B0542" w:rsidRPr="00177B6D" w:rsidRDefault="005B0542" w:rsidP="005B0542">
      <w:pPr>
        <w:pStyle w:val="paragraph"/>
      </w:pPr>
      <w:r w:rsidRPr="00177B6D">
        <w:tab/>
        <w:t xml:space="preserve">(c) </w:t>
      </w:r>
      <w:r w:rsidRPr="00177B6D">
        <w:tab/>
        <w:t>within a Territory, between a State and a Territory, or between two Territories.</w:t>
      </w:r>
    </w:p>
    <w:p w14:paraId="019DD454" w14:textId="60F51399" w:rsidR="005B0542" w:rsidRPr="00177B6D" w:rsidRDefault="005B0542" w:rsidP="005B0542">
      <w:pPr>
        <w:pStyle w:val="subsection"/>
      </w:pPr>
      <w:r w:rsidRPr="00177B6D">
        <w:tab/>
        <w:t>(3)</w:t>
      </w:r>
      <w:r w:rsidRPr="00177B6D">
        <w:tab/>
        <w:t xml:space="preserve">By virtue of this subsection, this Act has the effect it would have if each reference in this Act to employment were, by express provision, confined to employment in connection with the provision of a broadcasting service specified in </w:t>
      </w:r>
      <w:r w:rsidR="004A520A">
        <w:t>section 1</w:t>
      </w:r>
      <w:r w:rsidRPr="00177B6D">
        <w:t xml:space="preserve">1 of the </w:t>
      </w:r>
      <w:r w:rsidRPr="00177B6D">
        <w:rPr>
          <w:i/>
        </w:rPr>
        <w:t>Broadcasting Services Act 1992</w:t>
      </w:r>
      <w:r w:rsidRPr="00177B6D">
        <w:t>.</w:t>
      </w:r>
    </w:p>
    <w:p w14:paraId="1EE741C8" w14:textId="77777777" w:rsidR="00B2096B" w:rsidRPr="00177B6D" w:rsidRDefault="00B2096B" w:rsidP="00B2096B">
      <w:pPr>
        <w:pStyle w:val="subsection"/>
      </w:pPr>
      <w:r w:rsidRPr="00177B6D">
        <w:tab/>
        <w:t>(4)</w:t>
      </w:r>
      <w:r w:rsidRPr="00177B6D">
        <w:tab/>
        <w:t>By virtue of this subsection, this Act has the effect it would have to the extent that this Act relates to the collection of statistics.</w:t>
      </w:r>
    </w:p>
    <w:p w14:paraId="28D35007" w14:textId="77777777" w:rsidR="005B0542" w:rsidRPr="00177B6D" w:rsidRDefault="005B0542" w:rsidP="005B0542">
      <w:pPr>
        <w:pStyle w:val="subsection"/>
      </w:pPr>
      <w:r w:rsidRPr="00177B6D">
        <w:tab/>
        <w:t>(5)</w:t>
      </w:r>
      <w:r w:rsidRPr="00177B6D">
        <w:tab/>
        <w:t>By virtue of this subsection, this Act has the effect it would have if each reference in this Act to employment were, by express provision, confined to employment in connection with the business of banking, other than State banking that does not extend beyond the limits of the State concerned.</w:t>
      </w:r>
    </w:p>
    <w:p w14:paraId="4DB1EEA0" w14:textId="77777777" w:rsidR="005B0542" w:rsidRPr="00177B6D" w:rsidRDefault="005B0542" w:rsidP="005B0542">
      <w:pPr>
        <w:pStyle w:val="subsection"/>
      </w:pPr>
      <w:r w:rsidRPr="00177B6D">
        <w:tab/>
        <w:t>(6)</w:t>
      </w:r>
      <w:r w:rsidRPr="00177B6D">
        <w:tab/>
        <w:t>By virtue of this subsection, this Act has the effect it would have if each reference in this Act to employment were, by express provision, confined to employment in connection with the business of insurance, other than State insurance that does not extend beyond the limits of the State concerned.</w:t>
      </w:r>
    </w:p>
    <w:p w14:paraId="3E1C5CA9" w14:textId="77777777" w:rsidR="005B0542" w:rsidRPr="00177B6D" w:rsidRDefault="005B0542" w:rsidP="005B0542">
      <w:pPr>
        <w:pStyle w:val="subsection"/>
      </w:pPr>
      <w:r w:rsidRPr="00177B6D">
        <w:tab/>
        <w:t>(7)</w:t>
      </w:r>
      <w:r w:rsidRPr="00177B6D">
        <w:tab/>
        <w:t xml:space="preserve">By virtue of this subsection, this Act has the effect it would have if each reference in this Act to a relevant employer were, by express </w:t>
      </w:r>
      <w:r w:rsidRPr="00177B6D">
        <w:lastRenderedPageBreak/>
        <w:t>provision, confined to a relevant employer that is a foreign corporation, or a trading or financial corporation formed within the limits of the Commonwealth.</w:t>
      </w:r>
    </w:p>
    <w:p w14:paraId="611B8A2C" w14:textId="77777777" w:rsidR="005B0542" w:rsidRPr="00177B6D" w:rsidRDefault="005B0542" w:rsidP="005B0542">
      <w:pPr>
        <w:pStyle w:val="subsection"/>
      </w:pPr>
      <w:r w:rsidRPr="00177B6D">
        <w:tab/>
        <w:t>(8)</w:t>
      </w:r>
      <w:r w:rsidRPr="00177B6D">
        <w:tab/>
        <w:t>By virtue of this subsection, this Act has the effect it would have if each reference in this Act to employment by a relevant employer were, by express provision, confined to employment by a trading or financial corporation formed within the limits of the Commonwealth, being employment in connection with the trading or financial activities, as the case may be, of that corporation.</w:t>
      </w:r>
    </w:p>
    <w:p w14:paraId="78909E76" w14:textId="77777777" w:rsidR="008F35E9" w:rsidRPr="00177B6D" w:rsidRDefault="008F35E9" w:rsidP="008F35E9">
      <w:pPr>
        <w:pStyle w:val="subsection"/>
      </w:pPr>
      <w:r w:rsidRPr="00177B6D">
        <w:tab/>
        <w:t>(9)</w:t>
      </w:r>
      <w:r w:rsidRPr="00177B6D">
        <w:tab/>
        <w:t>By virtue of this subsection, this Act has the effect it would have to the extent that this Act is appropriate to give effect to, or carry out the purposes of:</w:t>
      </w:r>
    </w:p>
    <w:p w14:paraId="5F1C04F5" w14:textId="77777777" w:rsidR="008F35E9" w:rsidRPr="00177B6D" w:rsidRDefault="008F35E9" w:rsidP="008F35E9">
      <w:pPr>
        <w:pStyle w:val="paragraph"/>
      </w:pPr>
      <w:r w:rsidRPr="00177B6D">
        <w:tab/>
        <w:t>(a)</w:t>
      </w:r>
      <w:r w:rsidRPr="00177B6D">
        <w:tab/>
        <w:t>the Convention on the Elimination of all Forms of Discrimination Against Women, done at New York on 18</w:t>
      </w:r>
      <w:r w:rsidR="00CC4F01" w:rsidRPr="00177B6D">
        <w:t> </w:t>
      </w:r>
      <w:r w:rsidRPr="00177B6D">
        <w:t>December 1979 ([1983] ATS 9); or</w:t>
      </w:r>
    </w:p>
    <w:p w14:paraId="50F72104" w14:textId="77777777" w:rsidR="008F35E9" w:rsidRPr="00177B6D" w:rsidRDefault="008F35E9" w:rsidP="008F35E9">
      <w:pPr>
        <w:pStyle w:val="paragraph"/>
      </w:pPr>
      <w:r w:rsidRPr="00177B6D">
        <w:tab/>
        <w:t>(b)</w:t>
      </w:r>
      <w:r w:rsidRPr="00177B6D">
        <w:tab/>
        <w:t>the ILO Convention (No.</w:t>
      </w:r>
      <w:r w:rsidR="00CC4F01" w:rsidRPr="00177B6D">
        <w:t> </w:t>
      </w:r>
      <w:r w:rsidRPr="00177B6D">
        <w:t>100) concerning Equal Remuneration for Men and Women Workers for Work of Equal Value, done at Geneva on 29</w:t>
      </w:r>
      <w:r w:rsidR="00CC4F01" w:rsidRPr="00177B6D">
        <w:t> </w:t>
      </w:r>
      <w:r w:rsidRPr="00177B6D">
        <w:t>June 1951 ([1975] ATS 45); or</w:t>
      </w:r>
    </w:p>
    <w:p w14:paraId="33BA7384" w14:textId="77777777" w:rsidR="008F35E9" w:rsidRPr="00177B6D" w:rsidRDefault="008F35E9" w:rsidP="008F35E9">
      <w:pPr>
        <w:pStyle w:val="paragraph"/>
      </w:pPr>
      <w:r w:rsidRPr="00177B6D">
        <w:tab/>
        <w:t>(c)</w:t>
      </w:r>
      <w:r w:rsidRPr="00177B6D">
        <w:tab/>
        <w:t>the ILO Convention (No.</w:t>
      </w:r>
      <w:r w:rsidR="00CC4F01" w:rsidRPr="00177B6D">
        <w:t> </w:t>
      </w:r>
      <w:r w:rsidRPr="00177B6D">
        <w:t>111) concerning Discrimination in respect of Employment and Occupation, done at Geneva on 25</w:t>
      </w:r>
      <w:r w:rsidR="00CC4F01" w:rsidRPr="00177B6D">
        <w:t> </w:t>
      </w:r>
      <w:r w:rsidRPr="00177B6D">
        <w:t>June 1958 ([1974] ATS 12); or</w:t>
      </w:r>
    </w:p>
    <w:p w14:paraId="12EE595C" w14:textId="77777777" w:rsidR="008F35E9" w:rsidRPr="00177B6D" w:rsidRDefault="008F35E9" w:rsidP="008F35E9">
      <w:pPr>
        <w:pStyle w:val="paragraph"/>
      </w:pPr>
      <w:r w:rsidRPr="00177B6D">
        <w:tab/>
        <w:t>(d)</w:t>
      </w:r>
      <w:r w:rsidRPr="00177B6D">
        <w:tab/>
        <w:t>the ILO Convention (No.</w:t>
      </w:r>
      <w:r w:rsidR="00CC4F01" w:rsidRPr="00177B6D">
        <w:t> </w:t>
      </w:r>
      <w:r w:rsidRPr="00177B6D">
        <w:t>156) concerning Equal Opportunities and Equal Treatment for Men and Women Workers: Workers with Family Responsibilities, done at Geneva on 23</w:t>
      </w:r>
      <w:r w:rsidR="00CC4F01" w:rsidRPr="00177B6D">
        <w:t> </w:t>
      </w:r>
      <w:r w:rsidRPr="00177B6D">
        <w:t>June 1981 ([1991] ATS 7); or</w:t>
      </w:r>
    </w:p>
    <w:p w14:paraId="5CE6E00F" w14:textId="77777777" w:rsidR="008F35E9" w:rsidRPr="00177B6D" w:rsidRDefault="008F35E9" w:rsidP="008F35E9">
      <w:pPr>
        <w:pStyle w:val="paragraph"/>
      </w:pPr>
      <w:r w:rsidRPr="00177B6D">
        <w:tab/>
        <w:t>(e)</w:t>
      </w:r>
      <w:r w:rsidRPr="00177B6D">
        <w:tab/>
        <w:t>the International Covenant on Economic, Social and Cultural Rights, done at New York on 16</w:t>
      </w:r>
      <w:r w:rsidR="00CC4F01" w:rsidRPr="00177B6D">
        <w:t> </w:t>
      </w:r>
      <w:r w:rsidRPr="00177B6D">
        <w:t>December 1966 ([1976] ATS 5); or</w:t>
      </w:r>
    </w:p>
    <w:p w14:paraId="202E7DC9" w14:textId="77777777" w:rsidR="008F35E9" w:rsidRPr="00177B6D" w:rsidRDefault="008F35E9" w:rsidP="008F35E9">
      <w:pPr>
        <w:pStyle w:val="paragraph"/>
      </w:pPr>
      <w:r w:rsidRPr="00177B6D">
        <w:tab/>
        <w:t>(f)</w:t>
      </w:r>
      <w:r w:rsidRPr="00177B6D">
        <w:tab/>
        <w:t>the Convention on the Rights of the Child, done at New York on 20</w:t>
      </w:r>
      <w:r w:rsidR="00CC4F01" w:rsidRPr="00177B6D">
        <w:t> </w:t>
      </w:r>
      <w:r w:rsidRPr="00177B6D">
        <w:t>November 1989 ([1991] ATS 4).</w:t>
      </w:r>
    </w:p>
    <w:p w14:paraId="329C55CC" w14:textId="77777777" w:rsidR="008F35E9" w:rsidRPr="00177B6D" w:rsidRDefault="008F35E9" w:rsidP="008F35E9">
      <w:pPr>
        <w:pStyle w:val="notetext"/>
      </w:pPr>
      <w:r w:rsidRPr="00177B6D">
        <w:t>Note 1:</w:t>
      </w:r>
      <w:r w:rsidRPr="00177B6D">
        <w:tab/>
        <w:t>In 2012, the text of an international agreement in the Australian Treaty Series was accessible through the Australian Treaties Library on the AustLII website (www.austlii.edu.au).</w:t>
      </w:r>
    </w:p>
    <w:p w14:paraId="32943B6B" w14:textId="77777777" w:rsidR="008F35E9" w:rsidRPr="00177B6D" w:rsidRDefault="008F35E9" w:rsidP="008F35E9">
      <w:pPr>
        <w:pStyle w:val="notetext"/>
      </w:pPr>
      <w:r w:rsidRPr="00177B6D">
        <w:t>Note 2:</w:t>
      </w:r>
      <w:r w:rsidRPr="00177B6D">
        <w:tab/>
        <w:t xml:space="preserve">For </w:t>
      </w:r>
      <w:r w:rsidR="00CC4F01" w:rsidRPr="00177B6D">
        <w:t>paragraphs (</w:t>
      </w:r>
      <w:r w:rsidRPr="00177B6D">
        <w:t>b), (c) and (d): ILO refers to the International Labour Organization.</w:t>
      </w:r>
    </w:p>
    <w:p w14:paraId="7BB83635" w14:textId="77777777" w:rsidR="005B0542" w:rsidRPr="00177B6D" w:rsidRDefault="005B0542" w:rsidP="005B0542">
      <w:pPr>
        <w:pStyle w:val="subsection"/>
      </w:pPr>
      <w:r w:rsidRPr="00177B6D">
        <w:lastRenderedPageBreak/>
        <w:tab/>
        <w:t>(10)</w:t>
      </w:r>
      <w:r w:rsidRPr="00177B6D">
        <w:tab/>
        <w:t>By virtue of this subsection, this Act has the effect it would have if each reference in this Act to employment were, by express provision, confined to employment in a Territory.</w:t>
      </w:r>
    </w:p>
    <w:p w14:paraId="65049440" w14:textId="77777777" w:rsidR="005B0542" w:rsidRPr="00177B6D" w:rsidRDefault="005B0542" w:rsidP="005B0542">
      <w:pPr>
        <w:pStyle w:val="subsection"/>
      </w:pPr>
      <w:r w:rsidRPr="00177B6D">
        <w:tab/>
        <w:t>(11)</w:t>
      </w:r>
      <w:r w:rsidRPr="00177B6D">
        <w:tab/>
        <w:t>By virtue of this subsection, this Act has the effect it would have if each reference in this Act to a relevant employer were, by express provision, confined to a relevant employer that is a corporation incorporated in a Territory.</w:t>
      </w:r>
    </w:p>
    <w:p w14:paraId="7BB844F8" w14:textId="77777777" w:rsidR="00160A95" w:rsidRPr="00177B6D" w:rsidRDefault="00160A95" w:rsidP="00160A95">
      <w:pPr>
        <w:pStyle w:val="subsection"/>
      </w:pPr>
      <w:r w:rsidRPr="00177B6D">
        <w:tab/>
        <w:t>(11A)</w:t>
      </w:r>
      <w:r w:rsidRPr="00177B6D">
        <w:tab/>
        <w:t>By virtue of this subsection, this Act has the effect it would have if each reference in this Act to a relevant employer were, by express provision, confined to a relevant employer that is a Commonwealth company or a Commonwealth entity.</w:t>
      </w:r>
    </w:p>
    <w:p w14:paraId="673AE99C" w14:textId="77777777" w:rsidR="005B0542" w:rsidRPr="00177B6D" w:rsidRDefault="005B0542" w:rsidP="005B0542">
      <w:pPr>
        <w:pStyle w:val="subsection"/>
      </w:pPr>
      <w:r w:rsidRPr="00177B6D">
        <w:tab/>
        <w:t>(12)</w:t>
      </w:r>
      <w:r w:rsidRPr="00177B6D">
        <w:tab/>
        <w:t xml:space="preserve">In this section, </w:t>
      </w:r>
      <w:r w:rsidRPr="00177B6D">
        <w:rPr>
          <w:b/>
          <w:i/>
        </w:rPr>
        <w:t>foreign corporation</w:t>
      </w:r>
      <w:r w:rsidRPr="00177B6D">
        <w:t xml:space="preserve"> and </w:t>
      </w:r>
      <w:r w:rsidRPr="00177B6D">
        <w:rPr>
          <w:b/>
          <w:i/>
        </w:rPr>
        <w:t>trading or financial corporation</w:t>
      </w:r>
      <w:r w:rsidRPr="00177B6D">
        <w:t xml:space="preserve"> have the same meanings as in paragraph</w:t>
      </w:r>
      <w:r w:rsidR="00CC4F01" w:rsidRPr="00177B6D">
        <w:t> </w:t>
      </w:r>
      <w:r w:rsidRPr="00177B6D">
        <w:t>51(xx) of the Constitution.</w:t>
      </w:r>
    </w:p>
    <w:p w14:paraId="5A20E7E7" w14:textId="77777777" w:rsidR="005B0542" w:rsidRPr="00177B6D" w:rsidRDefault="005B0542" w:rsidP="005B0542">
      <w:pPr>
        <w:pStyle w:val="ActHead5"/>
      </w:pPr>
      <w:bookmarkStart w:id="9" w:name="_Toc195097017"/>
      <w:r w:rsidRPr="004A520A">
        <w:rPr>
          <w:rStyle w:val="CharSectno"/>
        </w:rPr>
        <w:t>5A</w:t>
      </w:r>
      <w:r w:rsidRPr="00177B6D">
        <w:t xml:space="preserve">  Application of </w:t>
      </w:r>
      <w:r w:rsidRPr="00177B6D">
        <w:rPr>
          <w:i/>
        </w:rPr>
        <w:t>Criminal Code</w:t>
      </w:r>
      <w:bookmarkEnd w:id="9"/>
    </w:p>
    <w:p w14:paraId="3B6D67C7" w14:textId="77777777" w:rsidR="005B0542" w:rsidRPr="00177B6D" w:rsidRDefault="005B0542" w:rsidP="005B0542">
      <w:pPr>
        <w:pStyle w:val="subsection"/>
      </w:pPr>
      <w:r w:rsidRPr="00177B6D">
        <w:tab/>
      </w:r>
      <w:r w:rsidRPr="00177B6D">
        <w:tab/>
        <w:t>Chapter</w:t>
      </w:r>
      <w:r w:rsidR="00CC4F01" w:rsidRPr="00177B6D">
        <w:t> </w:t>
      </w:r>
      <w:r w:rsidRPr="00177B6D">
        <w:t xml:space="preserve">2 of the </w:t>
      </w:r>
      <w:r w:rsidRPr="00177B6D">
        <w:rPr>
          <w:i/>
        </w:rPr>
        <w:t xml:space="preserve">Criminal Code </w:t>
      </w:r>
      <w:r w:rsidRPr="00177B6D">
        <w:t>applies to all offences against this Act.</w:t>
      </w:r>
    </w:p>
    <w:p w14:paraId="6F33157B" w14:textId="77777777" w:rsidR="005B0542" w:rsidRPr="00177B6D" w:rsidRDefault="005B0542" w:rsidP="005B0542">
      <w:pPr>
        <w:pStyle w:val="notetext"/>
      </w:pPr>
      <w:r w:rsidRPr="00177B6D">
        <w:t>Note:</w:t>
      </w:r>
      <w:r w:rsidRPr="00177B6D">
        <w:tab/>
        <w:t>Chapter</w:t>
      </w:r>
      <w:r w:rsidR="00CC4F01" w:rsidRPr="00177B6D">
        <w:t> </w:t>
      </w:r>
      <w:r w:rsidRPr="00177B6D">
        <w:t xml:space="preserve">2 of the </w:t>
      </w:r>
      <w:r w:rsidRPr="00177B6D">
        <w:rPr>
          <w:i/>
        </w:rPr>
        <w:t xml:space="preserve">Criminal Code </w:t>
      </w:r>
      <w:r w:rsidRPr="00177B6D">
        <w:t>sets out the general principles of criminal responsibility.</w:t>
      </w:r>
    </w:p>
    <w:p w14:paraId="15CC07DF" w14:textId="77777777" w:rsidR="00160A95" w:rsidRPr="00177B6D" w:rsidRDefault="00160A95" w:rsidP="00160A95">
      <w:pPr>
        <w:pStyle w:val="ActHead5"/>
      </w:pPr>
      <w:bookmarkStart w:id="10" w:name="_Toc195097018"/>
      <w:r w:rsidRPr="004A520A">
        <w:rPr>
          <w:rStyle w:val="CharSectno"/>
          <w:rFonts w:eastAsiaTheme="minorHAnsi"/>
        </w:rPr>
        <w:t>5B</w:t>
      </w:r>
      <w:r w:rsidRPr="00177B6D">
        <w:t xml:space="preserve">  Binding the Crown</w:t>
      </w:r>
      <w:bookmarkEnd w:id="10"/>
    </w:p>
    <w:p w14:paraId="4F56B6F9" w14:textId="77777777" w:rsidR="00160A95" w:rsidRPr="00177B6D" w:rsidRDefault="00160A95" w:rsidP="00160A95">
      <w:pPr>
        <w:pStyle w:val="subsection"/>
      </w:pPr>
      <w:r w:rsidRPr="00177B6D">
        <w:tab/>
      </w:r>
      <w:r w:rsidRPr="00177B6D">
        <w:tab/>
        <w:t>This Act binds the Crown in right of the Commonwealth. However, it does not bind the Crown in right of a State, of the Australian Capital Territory or of the Northern Territory.</w:t>
      </w:r>
    </w:p>
    <w:p w14:paraId="4CB65ACE" w14:textId="77777777" w:rsidR="00293A34" w:rsidRPr="00177B6D" w:rsidRDefault="00293A34" w:rsidP="002774D6">
      <w:pPr>
        <w:pStyle w:val="ActHead2"/>
        <w:pageBreakBefore/>
      </w:pPr>
      <w:bookmarkStart w:id="11" w:name="_Toc195097019"/>
      <w:r w:rsidRPr="004A520A">
        <w:rPr>
          <w:rStyle w:val="CharPartNo"/>
        </w:rPr>
        <w:lastRenderedPageBreak/>
        <w:t>Part III</w:t>
      </w:r>
      <w:r w:rsidRPr="00177B6D">
        <w:t>—</w:t>
      </w:r>
      <w:r w:rsidRPr="004A520A">
        <w:rPr>
          <w:rStyle w:val="CharPartText"/>
        </w:rPr>
        <w:t>Workplace Gender Equality Agency</w:t>
      </w:r>
      <w:bookmarkEnd w:id="11"/>
    </w:p>
    <w:p w14:paraId="0AC65D57" w14:textId="77777777" w:rsidR="005B0542" w:rsidRPr="00177B6D" w:rsidRDefault="004E0D3F" w:rsidP="005B0542">
      <w:pPr>
        <w:pStyle w:val="Header"/>
      </w:pPr>
      <w:r w:rsidRPr="004A520A">
        <w:rPr>
          <w:rStyle w:val="CharDivNo"/>
        </w:rPr>
        <w:t xml:space="preserve"> </w:t>
      </w:r>
      <w:r w:rsidRPr="004A520A">
        <w:rPr>
          <w:rStyle w:val="CharDivText"/>
        </w:rPr>
        <w:t xml:space="preserve"> </w:t>
      </w:r>
    </w:p>
    <w:p w14:paraId="76F79789" w14:textId="77777777" w:rsidR="006139CD" w:rsidRPr="00177B6D" w:rsidRDefault="006139CD" w:rsidP="006139CD">
      <w:pPr>
        <w:pStyle w:val="ActHead5"/>
      </w:pPr>
      <w:bookmarkStart w:id="12" w:name="_Toc195097020"/>
      <w:r w:rsidRPr="004A520A">
        <w:rPr>
          <w:rStyle w:val="CharSectno"/>
        </w:rPr>
        <w:t>8A</w:t>
      </w:r>
      <w:r w:rsidRPr="00177B6D">
        <w:t xml:space="preserve">  Workplace Gender Equality Agency</w:t>
      </w:r>
      <w:bookmarkEnd w:id="12"/>
    </w:p>
    <w:p w14:paraId="137D672C" w14:textId="77777777" w:rsidR="005B0542" w:rsidRPr="00177B6D" w:rsidRDefault="005B0542" w:rsidP="005B0542">
      <w:pPr>
        <w:pStyle w:val="subsection"/>
      </w:pPr>
      <w:r w:rsidRPr="00177B6D">
        <w:tab/>
        <w:t>(1)</w:t>
      </w:r>
      <w:r w:rsidRPr="00177B6D">
        <w:tab/>
        <w:t xml:space="preserve">The </w:t>
      </w:r>
      <w:r w:rsidR="003A4207" w:rsidRPr="00177B6D">
        <w:t>Workplace Gender Equality Agency</w:t>
      </w:r>
      <w:r w:rsidRPr="00177B6D">
        <w:t xml:space="preserve"> is established.</w:t>
      </w:r>
    </w:p>
    <w:p w14:paraId="4CEBB4F6" w14:textId="77777777" w:rsidR="005B0542" w:rsidRPr="00177B6D" w:rsidRDefault="005B0542" w:rsidP="005B0542">
      <w:pPr>
        <w:pStyle w:val="subsection"/>
      </w:pPr>
      <w:r w:rsidRPr="00177B6D">
        <w:tab/>
        <w:t>(2)</w:t>
      </w:r>
      <w:r w:rsidRPr="00177B6D">
        <w:tab/>
        <w:t xml:space="preserve">The Agency consists of the </w:t>
      </w:r>
      <w:r w:rsidR="00C34586" w:rsidRPr="00177B6D">
        <w:t>CEO</w:t>
      </w:r>
      <w:r w:rsidRPr="00177B6D">
        <w:t xml:space="preserve"> and the staff referred to in section</w:t>
      </w:r>
      <w:r w:rsidR="00CC4F01" w:rsidRPr="00177B6D">
        <w:t> </w:t>
      </w:r>
      <w:r w:rsidRPr="00177B6D">
        <w:t>29.</w:t>
      </w:r>
    </w:p>
    <w:p w14:paraId="098A2121" w14:textId="77777777" w:rsidR="00F177E6" w:rsidRPr="00177B6D" w:rsidRDefault="00F177E6" w:rsidP="00F177E6">
      <w:pPr>
        <w:pStyle w:val="subsection"/>
      </w:pPr>
      <w:r w:rsidRPr="00177B6D">
        <w:tab/>
        <w:t>(3)</w:t>
      </w:r>
      <w:r w:rsidRPr="00177B6D">
        <w:tab/>
        <w:t xml:space="preserve">For the purposes of the finance law (within the meaning of the </w:t>
      </w:r>
      <w:r w:rsidRPr="00177B6D">
        <w:rPr>
          <w:i/>
        </w:rPr>
        <w:t>Public Governance, Performance and Accountability Act 2013</w:t>
      </w:r>
      <w:r w:rsidRPr="00177B6D">
        <w:t>):</w:t>
      </w:r>
    </w:p>
    <w:p w14:paraId="1325A7B6" w14:textId="77777777" w:rsidR="00F177E6" w:rsidRPr="00177B6D" w:rsidRDefault="00F177E6" w:rsidP="00F177E6">
      <w:pPr>
        <w:pStyle w:val="paragraph"/>
      </w:pPr>
      <w:r w:rsidRPr="00177B6D">
        <w:tab/>
        <w:t>(a)</w:t>
      </w:r>
      <w:r w:rsidRPr="00177B6D">
        <w:tab/>
        <w:t>the Agency is a listed entity; and</w:t>
      </w:r>
    </w:p>
    <w:p w14:paraId="269FB7DA" w14:textId="77777777" w:rsidR="00F177E6" w:rsidRPr="00177B6D" w:rsidRDefault="00F177E6" w:rsidP="00F177E6">
      <w:pPr>
        <w:pStyle w:val="paragraph"/>
      </w:pPr>
      <w:r w:rsidRPr="00177B6D">
        <w:tab/>
        <w:t>(b)</w:t>
      </w:r>
      <w:r w:rsidRPr="00177B6D">
        <w:tab/>
        <w:t xml:space="preserve">the </w:t>
      </w:r>
      <w:r w:rsidR="00C34586" w:rsidRPr="00177B6D">
        <w:t>CEO</w:t>
      </w:r>
      <w:r w:rsidRPr="00177B6D">
        <w:t xml:space="preserve"> is the accountable authority of the Agency; and</w:t>
      </w:r>
    </w:p>
    <w:p w14:paraId="585CEBA7" w14:textId="77777777" w:rsidR="00F177E6" w:rsidRPr="00177B6D" w:rsidRDefault="00F177E6" w:rsidP="00F177E6">
      <w:pPr>
        <w:pStyle w:val="paragraph"/>
      </w:pPr>
      <w:r w:rsidRPr="00177B6D">
        <w:tab/>
        <w:t>(c)</w:t>
      </w:r>
      <w:r w:rsidRPr="00177B6D">
        <w:tab/>
        <w:t xml:space="preserve">the persons referred to in </w:t>
      </w:r>
      <w:r w:rsidR="00CC4F01" w:rsidRPr="00177B6D">
        <w:t>subsection (</w:t>
      </w:r>
      <w:r w:rsidRPr="00177B6D">
        <w:t>2) are officials of the Agency; and</w:t>
      </w:r>
    </w:p>
    <w:p w14:paraId="7FC94E1D" w14:textId="07E1BFD1" w:rsidR="00F177E6" w:rsidRPr="00177B6D" w:rsidRDefault="00F177E6" w:rsidP="00F177E6">
      <w:pPr>
        <w:pStyle w:val="paragraph"/>
      </w:pPr>
      <w:r w:rsidRPr="00177B6D">
        <w:tab/>
        <w:t>(d)</w:t>
      </w:r>
      <w:r w:rsidRPr="00177B6D">
        <w:tab/>
        <w:t xml:space="preserve">the purposes of the Agency include the functions of the Agency referred to in </w:t>
      </w:r>
      <w:r w:rsidR="004A520A">
        <w:t>section 1</w:t>
      </w:r>
      <w:r w:rsidRPr="00177B6D">
        <w:t>0.</w:t>
      </w:r>
    </w:p>
    <w:p w14:paraId="68C6B6AD" w14:textId="77777777" w:rsidR="005B0542" w:rsidRPr="00177B6D" w:rsidRDefault="005B0542" w:rsidP="005B0542">
      <w:pPr>
        <w:pStyle w:val="ActHead5"/>
      </w:pPr>
      <w:bookmarkStart w:id="13" w:name="_Toc195097021"/>
      <w:r w:rsidRPr="004A520A">
        <w:rPr>
          <w:rStyle w:val="CharSectno"/>
        </w:rPr>
        <w:t>10</w:t>
      </w:r>
      <w:r w:rsidRPr="00177B6D">
        <w:t xml:space="preserve">  Functions and powers of Agency</w:t>
      </w:r>
      <w:bookmarkEnd w:id="13"/>
    </w:p>
    <w:p w14:paraId="2A5B0CB3" w14:textId="77777777" w:rsidR="005B0542" w:rsidRPr="00177B6D" w:rsidRDefault="005B0542" w:rsidP="005B0542">
      <w:pPr>
        <w:pStyle w:val="subsection"/>
      </w:pPr>
      <w:r w:rsidRPr="00177B6D">
        <w:tab/>
        <w:t>(1)</w:t>
      </w:r>
      <w:r w:rsidRPr="00177B6D">
        <w:tab/>
        <w:t>The functions of the Agency are:</w:t>
      </w:r>
    </w:p>
    <w:p w14:paraId="0203008E" w14:textId="77777777" w:rsidR="00242748" w:rsidRPr="00177B6D" w:rsidRDefault="00242748" w:rsidP="00242748">
      <w:pPr>
        <w:pStyle w:val="paragraph"/>
      </w:pPr>
      <w:r w:rsidRPr="00177B6D">
        <w:tab/>
        <w:t>(a)</w:t>
      </w:r>
      <w:r w:rsidRPr="00177B6D">
        <w:tab/>
        <w:t>to advise and assist employers in promoting and improving gender equality in the workplace; and</w:t>
      </w:r>
    </w:p>
    <w:p w14:paraId="4838ECAD" w14:textId="77777777" w:rsidR="00242748" w:rsidRPr="00177B6D" w:rsidRDefault="00242748" w:rsidP="00242748">
      <w:pPr>
        <w:pStyle w:val="paragraph"/>
      </w:pPr>
      <w:r w:rsidRPr="00177B6D">
        <w:tab/>
        <w:t>(aa)</w:t>
      </w:r>
      <w:r w:rsidRPr="00177B6D">
        <w:tab/>
        <w:t>to develop, in consultation with relevant employers and employee organisations, benchmarks in relation to gender equality indicators; and</w:t>
      </w:r>
    </w:p>
    <w:p w14:paraId="4ADC7F51" w14:textId="77777777" w:rsidR="005B0542" w:rsidRPr="00177B6D" w:rsidRDefault="005B0542" w:rsidP="005B0542">
      <w:pPr>
        <w:pStyle w:val="paragraph"/>
      </w:pPr>
      <w:r w:rsidRPr="00177B6D">
        <w:tab/>
        <w:t>(b)</w:t>
      </w:r>
      <w:r w:rsidRPr="00177B6D">
        <w:tab/>
        <w:t>to issue guidelines to assist relevant employers to achieve the purposes of this Act;</w:t>
      </w:r>
      <w:r w:rsidR="006B0ADF" w:rsidRPr="00177B6D">
        <w:t xml:space="preserve"> and</w:t>
      </w:r>
    </w:p>
    <w:p w14:paraId="080D2870" w14:textId="77777777" w:rsidR="0076692C" w:rsidRPr="00177B6D" w:rsidRDefault="0076692C" w:rsidP="0076692C">
      <w:pPr>
        <w:pStyle w:val="paragraph"/>
      </w:pPr>
      <w:r w:rsidRPr="00177B6D">
        <w:tab/>
        <w:t>(c)</w:t>
      </w:r>
      <w:r w:rsidRPr="00177B6D">
        <w:tab/>
        <w:t>to review compliance with this Act by relevant employers, to review public reports lodged by relevant employers and to deal with those reports in accordance with this Act; and</w:t>
      </w:r>
    </w:p>
    <w:p w14:paraId="7BD4F446" w14:textId="77777777" w:rsidR="0076692C" w:rsidRPr="00177B6D" w:rsidRDefault="0076692C" w:rsidP="0076692C">
      <w:pPr>
        <w:pStyle w:val="paragraph"/>
      </w:pPr>
      <w:r w:rsidRPr="00177B6D">
        <w:tab/>
        <w:t>(d)</w:t>
      </w:r>
      <w:r w:rsidRPr="00177B6D">
        <w:tab/>
        <w:t>to collect and analyse information provided by relevant employers under this Act to assist the Agency to advise the Minister in relation to legislative instruments made under this Act; and</w:t>
      </w:r>
    </w:p>
    <w:p w14:paraId="33AC2C59" w14:textId="77777777" w:rsidR="005B0542" w:rsidRPr="00177B6D" w:rsidRDefault="005B0542" w:rsidP="005B0542">
      <w:pPr>
        <w:pStyle w:val="paragraph"/>
      </w:pPr>
      <w:r w:rsidRPr="00177B6D">
        <w:lastRenderedPageBreak/>
        <w:tab/>
        <w:t>(e)</w:t>
      </w:r>
      <w:r w:rsidRPr="00177B6D">
        <w:tab/>
        <w:t xml:space="preserve">to undertake research, educational programs and other programs for the purpose of </w:t>
      </w:r>
      <w:r w:rsidR="00DD6EED" w:rsidRPr="00177B6D">
        <w:t>promoting and improving gender equality in the workplace; and</w:t>
      </w:r>
    </w:p>
    <w:p w14:paraId="6F2E232D" w14:textId="77777777" w:rsidR="007F6E83" w:rsidRPr="00177B6D" w:rsidRDefault="007F6E83" w:rsidP="007F6E83">
      <w:pPr>
        <w:pStyle w:val="paragraph"/>
      </w:pPr>
      <w:r w:rsidRPr="00177B6D">
        <w:tab/>
        <w:t>(ea)</w:t>
      </w:r>
      <w:r w:rsidRPr="00177B6D">
        <w:tab/>
        <w:t>to work with employers to maximise the effectiveness of the administration of this Act, including by minimising the regulatory burden on employers; and</w:t>
      </w:r>
    </w:p>
    <w:p w14:paraId="5808752D" w14:textId="77777777" w:rsidR="007F6E83" w:rsidRPr="00177B6D" w:rsidRDefault="007F6E83" w:rsidP="007F6E83">
      <w:pPr>
        <w:pStyle w:val="paragraph"/>
      </w:pPr>
      <w:r w:rsidRPr="00177B6D">
        <w:tab/>
        <w:t>(f)</w:t>
      </w:r>
      <w:r w:rsidRPr="00177B6D">
        <w:tab/>
        <w:t>to promote and contribute to understanding and acceptance, and public discussion, of gender equality in the workplace; and</w:t>
      </w:r>
    </w:p>
    <w:p w14:paraId="578414B1" w14:textId="77777777" w:rsidR="005B0542" w:rsidRPr="00177B6D" w:rsidRDefault="005B0542" w:rsidP="005B0542">
      <w:pPr>
        <w:pStyle w:val="paragraph"/>
      </w:pPr>
      <w:r w:rsidRPr="00177B6D">
        <w:tab/>
        <w:t>(g)</w:t>
      </w:r>
      <w:r w:rsidRPr="00177B6D">
        <w:tab/>
        <w:t>to review the effectiveness of this Act in achieving its purposes; and</w:t>
      </w:r>
    </w:p>
    <w:p w14:paraId="011A9FE0" w14:textId="77777777" w:rsidR="005B0542" w:rsidRPr="00177B6D" w:rsidRDefault="005B0542" w:rsidP="005B0542">
      <w:pPr>
        <w:pStyle w:val="paragraph"/>
      </w:pPr>
      <w:r w:rsidRPr="00177B6D">
        <w:tab/>
        <w:t>(h)</w:t>
      </w:r>
      <w:r w:rsidRPr="00177B6D">
        <w:tab/>
        <w:t xml:space="preserve">to report to the Minister on such matters in relation to </w:t>
      </w:r>
      <w:r w:rsidR="00B372DE" w:rsidRPr="00177B6D">
        <w:t>gender equality in the workplace</w:t>
      </w:r>
      <w:r w:rsidRPr="00177B6D">
        <w:t xml:space="preserve"> as the Agency thinks fit (including a review under </w:t>
      </w:r>
      <w:r w:rsidR="00CC4F01" w:rsidRPr="00177B6D">
        <w:t>paragraph (</w:t>
      </w:r>
      <w:r w:rsidRPr="00177B6D">
        <w:t>g)).</w:t>
      </w:r>
    </w:p>
    <w:p w14:paraId="7573F21E" w14:textId="77777777" w:rsidR="006D26B8" w:rsidRPr="00177B6D" w:rsidRDefault="006D26B8" w:rsidP="006D26B8">
      <w:pPr>
        <w:pStyle w:val="notetext"/>
      </w:pPr>
      <w:r w:rsidRPr="00177B6D">
        <w:t>Note:</w:t>
      </w:r>
      <w:r w:rsidRPr="00177B6D">
        <w:tab/>
      </w:r>
      <w:r w:rsidR="00CC4F01" w:rsidRPr="00177B6D">
        <w:t>Paragraph (</w:t>
      </w:r>
      <w:r w:rsidRPr="00177B6D">
        <w:t>d): see also section</w:t>
      </w:r>
      <w:r w:rsidR="00CC4F01" w:rsidRPr="00177B6D">
        <w:t> </w:t>
      </w:r>
      <w:r w:rsidRPr="00177B6D">
        <w:t>33A.</w:t>
      </w:r>
    </w:p>
    <w:p w14:paraId="7C1C6D5F" w14:textId="77777777" w:rsidR="005B0542" w:rsidRPr="00177B6D" w:rsidRDefault="005B0542" w:rsidP="005B0542">
      <w:pPr>
        <w:pStyle w:val="subsection"/>
      </w:pPr>
      <w:r w:rsidRPr="00177B6D">
        <w:tab/>
        <w:t>(2)</w:t>
      </w:r>
      <w:r w:rsidRPr="00177B6D">
        <w:tab/>
        <w:t>In addition to any other powers conferred on the Agency by this Act, the Agency has power to do all things necessary or convenient to be done for or in connection with the performance of the functions of the Agency.</w:t>
      </w:r>
    </w:p>
    <w:p w14:paraId="699CC048" w14:textId="77777777" w:rsidR="005B0542" w:rsidRPr="00177B6D" w:rsidRDefault="005B0542" w:rsidP="005B0542">
      <w:pPr>
        <w:pStyle w:val="ActHead5"/>
      </w:pPr>
      <w:bookmarkStart w:id="14" w:name="_Toc195097022"/>
      <w:r w:rsidRPr="004A520A">
        <w:rPr>
          <w:rStyle w:val="CharSectno"/>
        </w:rPr>
        <w:t>11</w:t>
      </w:r>
      <w:r w:rsidRPr="00177B6D">
        <w:t xml:space="preserve">  Directions by Minister</w:t>
      </w:r>
      <w:bookmarkEnd w:id="14"/>
    </w:p>
    <w:p w14:paraId="3D898437" w14:textId="77777777" w:rsidR="005B0542" w:rsidRPr="00177B6D" w:rsidRDefault="005B0542" w:rsidP="005B0542">
      <w:pPr>
        <w:pStyle w:val="subsection"/>
      </w:pPr>
      <w:r w:rsidRPr="00177B6D">
        <w:tab/>
        <w:t>(1)</w:t>
      </w:r>
      <w:r w:rsidRPr="00177B6D">
        <w:tab/>
        <w:t>The Agency is to exercise its powers and perform its functions in accordance with general instructions given by the Minister in writing.</w:t>
      </w:r>
    </w:p>
    <w:p w14:paraId="5FA207B2" w14:textId="77777777" w:rsidR="005B0542" w:rsidRPr="00177B6D" w:rsidRDefault="005B0542" w:rsidP="005B0542">
      <w:pPr>
        <w:pStyle w:val="subsection"/>
      </w:pPr>
      <w:r w:rsidRPr="00177B6D">
        <w:tab/>
        <w:t>(2)</w:t>
      </w:r>
      <w:r w:rsidRPr="00177B6D">
        <w:tab/>
        <w:t xml:space="preserve">Where the Minister gives a direction under </w:t>
      </w:r>
      <w:r w:rsidR="00CC4F01" w:rsidRPr="00177B6D">
        <w:t>subsection (</w:t>
      </w:r>
      <w:r w:rsidRPr="00177B6D">
        <w:t>1), the Minister shall cause a copy of the direction to be laid before each House of the Parliament within 15 sitting days of that House after the direction is given.</w:t>
      </w:r>
    </w:p>
    <w:p w14:paraId="660E3012" w14:textId="77777777" w:rsidR="005B0542" w:rsidRPr="00177B6D" w:rsidRDefault="005B0542" w:rsidP="005B0542">
      <w:pPr>
        <w:pStyle w:val="ActHead5"/>
      </w:pPr>
      <w:bookmarkStart w:id="15" w:name="_Toc195097023"/>
      <w:r w:rsidRPr="004A520A">
        <w:rPr>
          <w:rStyle w:val="CharSectno"/>
        </w:rPr>
        <w:t>12</w:t>
      </w:r>
      <w:r w:rsidRPr="00177B6D">
        <w:t xml:space="preserve">  Agency to submit reports to Minister</w:t>
      </w:r>
      <w:bookmarkEnd w:id="15"/>
    </w:p>
    <w:p w14:paraId="49571EC5" w14:textId="77777777" w:rsidR="00F177E6" w:rsidRPr="00177B6D" w:rsidRDefault="00F177E6" w:rsidP="00F177E6">
      <w:pPr>
        <w:pStyle w:val="subsection"/>
      </w:pPr>
      <w:r w:rsidRPr="00177B6D">
        <w:tab/>
        <w:t>(1)</w:t>
      </w:r>
      <w:r w:rsidRPr="00177B6D">
        <w:tab/>
        <w:t>Despite section</w:t>
      </w:r>
      <w:r w:rsidR="00CC4F01" w:rsidRPr="00177B6D">
        <w:t> </w:t>
      </w:r>
      <w:r w:rsidRPr="00177B6D">
        <w:t xml:space="preserve">46 of the </w:t>
      </w:r>
      <w:r w:rsidRPr="00177B6D">
        <w:rPr>
          <w:i/>
        </w:rPr>
        <w:t>Public Governance, Performance and Accountability Act 2013</w:t>
      </w:r>
      <w:r w:rsidRPr="00177B6D">
        <w:t xml:space="preserve">, the annual report prepared by the </w:t>
      </w:r>
      <w:r w:rsidR="00C34586" w:rsidRPr="00177B6D">
        <w:t>CEO</w:t>
      </w:r>
      <w:r w:rsidRPr="00177B6D">
        <w:t xml:space="preserve"> for a period for the purposes of that section must be given to the </w:t>
      </w:r>
      <w:r w:rsidRPr="00177B6D">
        <w:lastRenderedPageBreak/>
        <w:t>Minister by the last day of the fifth month after the end of the period.</w:t>
      </w:r>
    </w:p>
    <w:p w14:paraId="2E444B8D" w14:textId="77777777" w:rsidR="005B0542" w:rsidRPr="00177B6D" w:rsidRDefault="005B0542" w:rsidP="005B0542">
      <w:pPr>
        <w:pStyle w:val="subsection"/>
      </w:pPr>
      <w:r w:rsidRPr="00177B6D">
        <w:tab/>
        <w:t>(2)</w:t>
      </w:r>
      <w:r w:rsidRPr="00177B6D">
        <w:tab/>
        <w:t>The Agency may, from time to time, submit to the Minister:</w:t>
      </w:r>
    </w:p>
    <w:p w14:paraId="0D132DDA" w14:textId="77777777" w:rsidR="005B0542" w:rsidRPr="00177B6D" w:rsidRDefault="005B0542" w:rsidP="005B0542">
      <w:pPr>
        <w:pStyle w:val="paragraph"/>
      </w:pPr>
      <w:r w:rsidRPr="00177B6D">
        <w:tab/>
        <w:t>(a)</w:t>
      </w:r>
      <w:r w:rsidRPr="00177B6D">
        <w:tab/>
        <w:t>a report on the operations of the Agency during the period to which the report relates; or</w:t>
      </w:r>
    </w:p>
    <w:p w14:paraId="33D2BE91" w14:textId="77777777" w:rsidR="005B0542" w:rsidRPr="00177B6D" w:rsidRDefault="005B0542" w:rsidP="005B0542">
      <w:pPr>
        <w:pStyle w:val="paragraph"/>
      </w:pPr>
      <w:r w:rsidRPr="00177B6D">
        <w:tab/>
        <w:t>(b)</w:t>
      </w:r>
      <w:r w:rsidRPr="00177B6D">
        <w:tab/>
        <w:t>a report in respect of any matter relating to, or connected with, the exercise of the powers, or the performance of the functions, of the Agency under this Act.</w:t>
      </w:r>
    </w:p>
    <w:p w14:paraId="36E58742" w14:textId="77777777" w:rsidR="00C82E90" w:rsidRPr="00177B6D" w:rsidRDefault="00C82E90" w:rsidP="00C82E90">
      <w:pPr>
        <w:pStyle w:val="subsection"/>
      </w:pPr>
      <w:r w:rsidRPr="00177B6D">
        <w:tab/>
        <w:t>(2A)</w:t>
      </w:r>
      <w:r w:rsidRPr="00177B6D">
        <w:tab/>
        <w:t>The Agency must, as soon as practicable after the end of:</w:t>
      </w:r>
    </w:p>
    <w:p w14:paraId="1E82CCDD" w14:textId="5516AD7A" w:rsidR="00C82E90" w:rsidRPr="00177B6D" w:rsidRDefault="00C82E90" w:rsidP="00C82E90">
      <w:pPr>
        <w:pStyle w:val="paragraph"/>
      </w:pPr>
      <w:r w:rsidRPr="00177B6D">
        <w:tab/>
        <w:t>(a)</w:t>
      </w:r>
      <w:r w:rsidRPr="00177B6D">
        <w:tab/>
        <w:t>the 2</w:t>
      </w:r>
      <w:r w:rsidR="004A520A">
        <w:noBreakHyphen/>
      </w:r>
      <w:r w:rsidRPr="00177B6D">
        <w:t>year period ending on 31</w:t>
      </w:r>
      <w:r w:rsidR="00CC4F01" w:rsidRPr="00177B6D">
        <w:t> </w:t>
      </w:r>
      <w:r w:rsidRPr="00177B6D">
        <w:t>May 2016; and</w:t>
      </w:r>
    </w:p>
    <w:p w14:paraId="1AFA049E" w14:textId="360BCD83" w:rsidR="00C82E90" w:rsidRPr="00177B6D" w:rsidRDefault="00C82E90" w:rsidP="00C82E90">
      <w:pPr>
        <w:pStyle w:val="paragraph"/>
      </w:pPr>
      <w:r w:rsidRPr="00177B6D">
        <w:tab/>
        <w:t>(b)</w:t>
      </w:r>
      <w:r w:rsidRPr="00177B6D">
        <w:tab/>
        <w:t>each later 2</w:t>
      </w:r>
      <w:r w:rsidR="004A520A">
        <w:noBreakHyphen/>
      </w:r>
      <w:r w:rsidRPr="00177B6D">
        <w:t>year period;</w:t>
      </w:r>
    </w:p>
    <w:p w14:paraId="048FDC12" w14:textId="77777777" w:rsidR="00C82E90" w:rsidRPr="00177B6D" w:rsidRDefault="00C82E90" w:rsidP="00C82E90">
      <w:pPr>
        <w:pStyle w:val="subsection2"/>
      </w:pPr>
      <w:r w:rsidRPr="00177B6D">
        <w:t>submit to the Minister a report on the progress achieved in relation to the gender equality indicators in that period.</w:t>
      </w:r>
    </w:p>
    <w:p w14:paraId="1DFA5AA2" w14:textId="77777777" w:rsidR="005B0542" w:rsidRPr="00177B6D" w:rsidRDefault="005B0542" w:rsidP="005B0542">
      <w:pPr>
        <w:pStyle w:val="subsection"/>
      </w:pPr>
      <w:r w:rsidRPr="00177B6D">
        <w:tab/>
        <w:t>(3)</w:t>
      </w:r>
      <w:r w:rsidRPr="00177B6D">
        <w:tab/>
        <w:t xml:space="preserve">Where a report has been submitted to the Minister under </w:t>
      </w:r>
      <w:r w:rsidR="00331650" w:rsidRPr="00177B6D">
        <w:t>this section</w:t>
      </w:r>
      <w:r w:rsidRPr="00177B6D">
        <w:t>, the Minister shall cause a copy of the report to be laid before each House of the Parliament within 15 sitting days of that House after the day on which the Minister receives the report.</w:t>
      </w:r>
    </w:p>
    <w:p w14:paraId="2873C641" w14:textId="77777777" w:rsidR="005B0542" w:rsidRPr="00177B6D" w:rsidRDefault="005B0542" w:rsidP="002774D6">
      <w:pPr>
        <w:pStyle w:val="ActHead2"/>
        <w:pageBreakBefore/>
      </w:pPr>
      <w:bookmarkStart w:id="16" w:name="_Toc195097024"/>
      <w:r w:rsidRPr="004A520A">
        <w:rPr>
          <w:rStyle w:val="CharPartNo"/>
        </w:rPr>
        <w:lastRenderedPageBreak/>
        <w:t>Part IV</w:t>
      </w:r>
      <w:r w:rsidRPr="00177B6D">
        <w:t>—</w:t>
      </w:r>
      <w:r w:rsidRPr="004A520A">
        <w:rPr>
          <w:rStyle w:val="CharPartText"/>
        </w:rPr>
        <w:t>Reports by relevant employers</w:t>
      </w:r>
      <w:bookmarkEnd w:id="16"/>
    </w:p>
    <w:p w14:paraId="067AB4E3" w14:textId="01FC2065" w:rsidR="002868D5" w:rsidRPr="00177B6D" w:rsidRDefault="004A520A" w:rsidP="002868D5">
      <w:pPr>
        <w:pStyle w:val="ActHead3"/>
      </w:pPr>
      <w:bookmarkStart w:id="17" w:name="_Toc195097025"/>
      <w:r w:rsidRPr="004A520A">
        <w:rPr>
          <w:rStyle w:val="CharDivNo"/>
        </w:rPr>
        <w:t>Division 1</w:t>
      </w:r>
      <w:r w:rsidR="002868D5" w:rsidRPr="00177B6D">
        <w:t>—</w:t>
      </w:r>
      <w:r w:rsidR="002868D5" w:rsidRPr="004A520A">
        <w:rPr>
          <w:rStyle w:val="CharDivText"/>
        </w:rPr>
        <w:t>Reporting requirements</w:t>
      </w:r>
      <w:bookmarkEnd w:id="17"/>
    </w:p>
    <w:p w14:paraId="40B7FCFF" w14:textId="77777777" w:rsidR="00466B12" w:rsidRPr="00177B6D" w:rsidRDefault="00466B12" w:rsidP="00466B12">
      <w:pPr>
        <w:pStyle w:val="ActHead5"/>
      </w:pPr>
      <w:bookmarkStart w:id="18" w:name="_Toc195097026"/>
      <w:r w:rsidRPr="004A520A">
        <w:rPr>
          <w:rStyle w:val="CharSectno"/>
        </w:rPr>
        <w:t>13</w:t>
      </w:r>
      <w:r w:rsidRPr="00177B6D">
        <w:t xml:space="preserve">  Relevant employers to prepare reports relating to gender equality indicators</w:t>
      </w:r>
      <w:bookmarkEnd w:id="18"/>
    </w:p>
    <w:p w14:paraId="6D719F78" w14:textId="77777777" w:rsidR="00466B12" w:rsidRPr="00177B6D" w:rsidRDefault="00466B12" w:rsidP="00466B12">
      <w:pPr>
        <w:pStyle w:val="subsection"/>
      </w:pPr>
      <w:r w:rsidRPr="00177B6D">
        <w:tab/>
        <w:t>(1)</w:t>
      </w:r>
      <w:r w:rsidRPr="00177B6D">
        <w:tab/>
        <w:t>In respect of each reporting period, a relevant employer must prepare a public report in writing containing information relating to the employer and to the gender equality indicators.</w:t>
      </w:r>
    </w:p>
    <w:p w14:paraId="02CE5BA4" w14:textId="77777777" w:rsidR="005B36AF" w:rsidRPr="00177B6D" w:rsidRDefault="005B36AF" w:rsidP="005B36AF">
      <w:pPr>
        <w:pStyle w:val="SubsectionHead"/>
      </w:pPr>
      <w:r w:rsidRPr="00177B6D">
        <w:t>Specified matters to be included in the report</w:t>
      </w:r>
    </w:p>
    <w:p w14:paraId="00950672" w14:textId="77777777" w:rsidR="00466B12" w:rsidRPr="00177B6D" w:rsidRDefault="00466B12" w:rsidP="00466B12">
      <w:pPr>
        <w:pStyle w:val="subsection"/>
      </w:pPr>
      <w:r w:rsidRPr="00177B6D">
        <w:tab/>
        <w:t>(2)</w:t>
      </w:r>
      <w:r w:rsidRPr="00177B6D">
        <w:tab/>
        <w:t xml:space="preserve">The public report in respect of a reporting period must contain details of the matters specified in an instrument under </w:t>
      </w:r>
      <w:r w:rsidR="00CC4F01" w:rsidRPr="00177B6D">
        <w:t>subsection (</w:t>
      </w:r>
      <w:r w:rsidRPr="00177B6D">
        <w:t>3).</w:t>
      </w:r>
    </w:p>
    <w:p w14:paraId="7024E1D5" w14:textId="77777777" w:rsidR="00466B12" w:rsidRPr="00177B6D" w:rsidRDefault="00466B12" w:rsidP="00466B12">
      <w:pPr>
        <w:pStyle w:val="subsection"/>
      </w:pPr>
      <w:r w:rsidRPr="00177B6D">
        <w:tab/>
        <w:t>(3)</w:t>
      </w:r>
      <w:r w:rsidRPr="00177B6D">
        <w:tab/>
        <w:t xml:space="preserve">For the purposes of </w:t>
      </w:r>
      <w:r w:rsidR="00CC4F01" w:rsidRPr="00177B6D">
        <w:t>subsection (</w:t>
      </w:r>
      <w:r w:rsidRPr="00177B6D">
        <w:t>2), the Minister must, by legislative instrument, specify matters in relation to each gender equality indicator.</w:t>
      </w:r>
    </w:p>
    <w:p w14:paraId="51F89ED7" w14:textId="77777777" w:rsidR="00466B12" w:rsidRPr="00177B6D" w:rsidRDefault="00466B12" w:rsidP="00466B12">
      <w:pPr>
        <w:pStyle w:val="notetext"/>
      </w:pPr>
      <w:r w:rsidRPr="00177B6D">
        <w:t>Note:</w:t>
      </w:r>
      <w:r w:rsidRPr="00177B6D">
        <w:tab/>
        <w:t>See also section</w:t>
      </w:r>
      <w:r w:rsidR="00CC4F01" w:rsidRPr="00177B6D">
        <w:t> </w:t>
      </w:r>
      <w:r w:rsidRPr="00177B6D">
        <w:t>33A.</w:t>
      </w:r>
    </w:p>
    <w:p w14:paraId="17954451" w14:textId="77777777" w:rsidR="005B36AF" w:rsidRPr="00177B6D" w:rsidRDefault="005B36AF" w:rsidP="005B36AF">
      <w:pPr>
        <w:pStyle w:val="SubsectionHead"/>
      </w:pPr>
      <w:r w:rsidRPr="00177B6D">
        <w:t>Gender equality targets to be selected in the report</w:t>
      </w:r>
    </w:p>
    <w:p w14:paraId="546A9ED5" w14:textId="77777777" w:rsidR="005B36AF" w:rsidRPr="00177B6D" w:rsidRDefault="005B36AF" w:rsidP="005B36AF">
      <w:pPr>
        <w:pStyle w:val="subsection"/>
      </w:pPr>
      <w:r w:rsidRPr="00177B6D">
        <w:tab/>
        <w:t>(3AA)</w:t>
      </w:r>
      <w:r w:rsidRPr="00177B6D">
        <w:tab/>
        <w:t>If:</w:t>
      </w:r>
    </w:p>
    <w:p w14:paraId="195C2F31" w14:textId="77777777" w:rsidR="005B36AF" w:rsidRPr="00177B6D" w:rsidRDefault="005B36AF" w:rsidP="005B36AF">
      <w:pPr>
        <w:pStyle w:val="paragraph"/>
      </w:pPr>
      <w:r w:rsidRPr="00177B6D">
        <w:tab/>
        <w:t>(a)</w:t>
      </w:r>
      <w:r w:rsidRPr="00177B6D">
        <w:tab/>
        <w:t xml:space="preserve">a designated relevant employer is required to prepare a public report for a reporting period (the </w:t>
      </w:r>
      <w:r w:rsidRPr="00177B6D">
        <w:rPr>
          <w:b/>
          <w:i/>
        </w:rPr>
        <w:t>relevant period</w:t>
      </w:r>
      <w:r w:rsidRPr="00177B6D">
        <w:t>); and</w:t>
      </w:r>
    </w:p>
    <w:p w14:paraId="008B2E2A" w14:textId="77777777" w:rsidR="005B36AF" w:rsidRPr="00177B6D" w:rsidRDefault="005B36AF" w:rsidP="005B36AF">
      <w:pPr>
        <w:pStyle w:val="paragraph"/>
        <w:rPr>
          <w:b/>
          <w:i/>
        </w:rPr>
      </w:pPr>
      <w:r w:rsidRPr="00177B6D">
        <w:tab/>
        <w:t>(b)</w:t>
      </w:r>
      <w:r w:rsidRPr="00177B6D">
        <w:tab/>
        <w:t>the employer made a public report for the reporting period that ended immediately before the start of the relevant period; and</w:t>
      </w:r>
    </w:p>
    <w:p w14:paraId="7676C00B" w14:textId="77777777" w:rsidR="005B36AF" w:rsidRPr="00177B6D" w:rsidRDefault="005B36AF" w:rsidP="005B36AF">
      <w:pPr>
        <w:pStyle w:val="paragraph"/>
      </w:pPr>
      <w:r w:rsidRPr="00177B6D">
        <w:tab/>
        <w:t>(c)</w:t>
      </w:r>
      <w:r w:rsidRPr="00177B6D">
        <w:tab/>
        <w:t>either:</w:t>
      </w:r>
    </w:p>
    <w:p w14:paraId="44B26E71" w14:textId="77777777" w:rsidR="005B36AF" w:rsidRPr="00177B6D" w:rsidRDefault="005B36AF" w:rsidP="005B36AF">
      <w:pPr>
        <w:pStyle w:val="paragraphsub"/>
      </w:pPr>
      <w:r w:rsidRPr="00177B6D">
        <w:tab/>
        <w:t>(i)</w:t>
      </w:r>
      <w:r w:rsidRPr="00177B6D">
        <w:tab/>
        <w:t>the relevant period ends at the same time as a target cycle for the employer; or</w:t>
      </w:r>
    </w:p>
    <w:p w14:paraId="0C43C197" w14:textId="77777777" w:rsidR="005B36AF" w:rsidRPr="00177B6D" w:rsidRDefault="005B36AF" w:rsidP="005B36AF">
      <w:pPr>
        <w:pStyle w:val="paragraphsub"/>
      </w:pPr>
      <w:r w:rsidRPr="00177B6D">
        <w:tab/>
        <w:t>(ii)</w:t>
      </w:r>
      <w:r w:rsidRPr="00177B6D">
        <w:tab/>
        <w:t xml:space="preserve">the employer did not have a target cycle in the relevant period and it is at least 12 months since the day the </w:t>
      </w:r>
      <w:r w:rsidRPr="00177B6D">
        <w:lastRenderedPageBreak/>
        <w:t>employer became (or became again) a designated relevant employer;</w:t>
      </w:r>
    </w:p>
    <w:p w14:paraId="1E667DD9" w14:textId="77777777" w:rsidR="005B36AF" w:rsidRPr="00177B6D" w:rsidRDefault="005B36AF" w:rsidP="005B36AF">
      <w:pPr>
        <w:pStyle w:val="subsection2"/>
      </w:pPr>
      <w:r w:rsidRPr="00177B6D">
        <w:t>the employer must, in the public report for the relevant period, select gender equality targets that the employer commits to achieving in the target cycle that begins immediately after the end of the relevant period.</w:t>
      </w:r>
    </w:p>
    <w:p w14:paraId="5CF6A5F4" w14:textId="77777777" w:rsidR="005B36AF" w:rsidRPr="00177B6D" w:rsidRDefault="005B36AF" w:rsidP="005B36AF">
      <w:pPr>
        <w:pStyle w:val="subsection"/>
      </w:pPr>
      <w:r w:rsidRPr="00177B6D">
        <w:tab/>
        <w:t>(3AB)</w:t>
      </w:r>
      <w:r w:rsidRPr="00177B6D">
        <w:tab/>
        <w:t xml:space="preserve">The public report mentioned in (3AA)(b) is the </w:t>
      </w:r>
      <w:r w:rsidRPr="00177B6D">
        <w:rPr>
          <w:b/>
          <w:i/>
        </w:rPr>
        <w:t>baseline report</w:t>
      </w:r>
      <w:r w:rsidRPr="00177B6D">
        <w:t xml:space="preserve"> for the target cycle that begins immediately after the end of the relevant period.</w:t>
      </w:r>
    </w:p>
    <w:p w14:paraId="7D495D59" w14:textId="77777777" w:rsidR="005B36AF" w:rsidRPr="00177B6D" w:rsidRDefault="005B36AF" w:rsidP="005B36AF">
      <w:pPr>
        <w:pStyle w:val="subsection"/>
      </w:pPr>
      <w:r w:rsidRPr="00177B6D">
        <w:tab/>
        <w:t>(3AC)</w:t>
      </w:r>
      <w:r w:rsidRPr="00177B6D">
        <w:tab/>
        <w:t>A designated relevant employer’s selection of targets under subsection (3AA) must be done in accordance with any rules made under paragraph 17B(1)(b).</w:t>
      </w:r>
    </w:p>
    <w:p w14:paraId="49F28A3A" w14:textId="77777777" w:rsidR="00160A95" w:rsidRPr="00177B6D" w:rsidRDefault="00160A95" w:rsidP="00160A95">
      <w:pPr>
        <w:pStyle w:val="SubsectionHead"/>
      </w:pPr>
      <w:r w:rsidRPr="00177B6D">
        <w:t>Exclusion of operationally sensitive information etc.</w:t>
      </w:r>
    </w:p>
    <w:p w14:paraId="78ADB107" w14:textId="77777777" w:rsidR="00160A95" w:rsidRPr="00177B6D" w:rsidRDefault="00160A95" w:rsidP="00160A95">
      <w:pPr>
        <w:pStyle w:val="subsection"/>
      </w:pPr>
      <w:r w:rsidRPr="00177B6D">
        <w:tab/>
        <w:t>(3A)</w:t>
      </w:r>
      <w:r w:rsidRPr="00177B6D">
        <w:tab/>
        <w:t xml:space="preserve">Subsection (3B) applies to a relevant employer that is a law enforcement or security agency (within the meaning of the </w:t>
      </w:r>
      <w:r w:rsidRPr="00177B6D">
        <w:rPr>
          <w:i/>
        </w:rPr>
        <w:t>Independent National Security Legislation Monitor Act 2010</w:t>
      </w:r>
      <w:r w:rsidRPr="00177B6D">
        <w:t>).</w:t>
      </w:r>
    </w:p>
    <w:p w14:paraId="3A6D5134" w14:textId="77777777" w:rsidR="00160A95" w:rsidRPr="00177B6D" w:rsidRDefault="00160A95" w:rsidP="00160A95">
      <w:pPr>
        <w:pStyle w:val="subsection"/>
      </w:pPr>
      <w:r w:rsidRPr="00177B6D">
        <w:tab/>
        <w:t>(3B)</w:t>
      </w:r>
      <w:r w:rsidRPr="00177B6D">
        <w:tab/>
        <w:t>The relevant employer is not required to include in a public report any information:</w:t>
      </w:r>
    </w:p>
    <w:p w14:paraId="0ED114E1" w14:textId="77777777" w:rsidR="00160A95" w:rsidRPr="00177B6D" w:rsidRDefault="00160A95" w:rsidP="00160A95">
      <w:pPr>
        <w:pStyle w:val="paragraph"/>
      </w:pPr>
      <w:r w:rsidRPr="00177B6D">
        <w:tab/>
        <w:t>(a)</w:t>
      </w:r>
      <w:r w:rsidRPr="00177B6D">
        <w:tab/>
        <w:t xml:space="preserve">that is operationally sensitive information (within the meaning of the </w:t>
      </w:r>
      <w:r w:rsidRPr="00177B6D">
        <w:rPr>
          <w:i/>
        </w:rPr>
        <w:t>Independent National Security Legislation Monitor Act 2010</w:t>
      </w:r>
      <w:r w:rsidRPr="00177B6D">
        <w:t>); or</w:t>
      </w:r>
    </w:p>
    <w:p w14:paraId="061ABF2D" w14:textId="77777777" w:rsidR="00160A95" w:rsidRPr="00177B6D" w:rsidRDefault="00160A95" w:rsidP="00160A95">
      <w:pPr>
        <w:pStyle w:val="paragraph"/>
      </w:pPr>
      <w:r w:rsidRPr="00177B6D">
        <w:tab/>
        <w:t>(b)</w:t>
      </w:r>
      <w:r w:rsidRPr="00177B6D">
        <w:tab/>
        <w:t>the publication of which could prejudice the security, defence or international relations of Australia.</w:t>
      </w:r>
    </w:p>
    <w:p w14:paraId="4B24E71B" w14:textId="77777777" w:rsidR="00466B12" w:rsidRPr="00177B6D" w:rsidRDefault="00466B12" w:rsidP="00466B12">
      <w:pPr>
        <w:pStyle w:val="SubsectionHead"/>
      </w:pPr>
      <w:r w:rsidRPr="00177B6D">
        <w:t>Timing of instrument</w:t>
      </w:r>
    </w:p>
    <w:p w14:paraId="61C2D4C4" w14:textId="77777777" w:rsidR="00466B12" w:rsidRPr="00177B6D" w:rsidRDefault="00466B12" w:rsidP="00466B12">
      <w:pPr>
        <w:pStyle w:val="subsection"/>
      </w:pPr>
      <w:r w:rsidRPr="00177B6D">
        <w:tab/>
        <w:t>(4)</w:t>
      </w:r>
      <w:r w:rsidRPr="00177B6D">
        <w:tab/>
        <w:t xml:space="preserve">An instrument under </w:t>
      </w:r>
      <w:r w:rsidR="00CC4F01" w:rsidRPr="00177B6D">
        <w:t>subsection (</w:t>
      </w:r>
      <w:r w:rsidRPr="00177B6D">
        <w:t>3) has no effect in relation to a reporting period unless it is made before the first day of that period.</w:t>
      </w:r>
    </w:p>
    <w:p w14:paraId="0A695ADE" w14:textId="77777777" w:rsidR="00466B12" w:rsidRPr="00177B6D" w:rsidRDefault="00466B12" w:rsidP="00466B12">
      <w:pPr>
        <w:pStyle w:val="SubsectionHead"/>
      </w:pPr>
      <w:r w:rsidRPr="00177B6D">
        <w:t>Reports to be signed</w:t>
      </w:r>
    </w:p>
    <w:p w14:paraId="06CFAD33" w14:textId="77777777" w:rsidR="00160A95" w:rsidRPr="00177B6D" w:rsidRDefault="00160A95" w:rsidP="00160A95">
      <w:pPr>
        <w:pStyle w:val="subsection"/>
      </w:pPr>
      <w:r w:rsidRPr="00177B6D">
        <w:tab/>
        <w:t>(5)</w:t>
      </w:r>
      <w:r w:rsidRPr="00177B6D">
        <w:tab/>
        <w:t>The public report must be signed by:</w:t>
      </w:r>
    </w:p>
    <w:p w14:paraId="683439FE" w14:textId="31AAF019" w:rsidR="00160A95" w:rsidRPr="00177B6D" w:rsidRDefault="00160A95" w:rsidP="00160A95">
      <w:pPr>
        <w:pStyle w:val="paragraph"/>
      </w:pPr>
      <w:r w:rsidRPr="00177B6D">
        <w:lastRenderedPageBreak/>
        <w:tab/>
        <w:t>(a)</w:t>
      </w:r>
      <w:r w:rsidRPr="00177B6D">
        <w:tab/>
        <w:t>if the relevant employer is a Commonwealth entity—the accountable authority of the Commonwealth entity; and</w:t>
      </w:r>
    </w:p>
    <w:p w14:paraId="36A1B584" w14:textId="77777777" w:rsidR="00160A95" w:rsidRPr="00177B6D" w:rsidRDefault="00160A95" w:rsidP="00160A95">
      <w:pPr>
        <w:pStyle w:val="paragraph"/>
        <w:rPr>
          <w:highlight w:val="yellow"/>
        </w:rPr>
      </w:pPr>
      <w:r w:rsidRPr="00177B6D">
        <w:tab/>
        <w:t>(b)</w:t>
      </w:r>
      <w:r w:rsidRPr="00177B6D">
        <w:tab/>
        <w:t xml:space="preserve">otherwise—the </w:t>
      </w:r>
      <w:r w:rsidR="00C34586" w:rsidRPr="00177B6D">
        <w:t>CEO</w:t>
      </w:r>
      <w:r w:rsidRPr="00177B6D">
        <w:t xml:space="preserve"> of the relevant employer.</w:t>
      </w:r>
    </w:p>
    <w:p w14:paraId="74BD6689" w14:textId="77777777" w:rsidR="005B0542" w:rsidRPr="00177B6D" w:rsidRDefault="005B0542" w:rsidP="005B0542">
      <w:pPr>
        <w:pStyle w:val="ActHead5"/>
      </w:pPr>
      <w:bookmarkStart w:id="19" w:name="_Toc195097027"/>
      <w:r w:rsidRPr="004A520A">
        <w:rPr>
          <w:rStyle w:val="CharSectno"/>
        </w:rPr>
        <w:t>13A</w:t>
      </w:r>
      <w:r w:rsidRPr="00177B6D">
        <w:t xml:space="preserve">  Reporting periods for reports</w:t>
      </w:r>
      <w:bookmarkEnd w:id="19"/>
    </w:p>
    <w:p w14:paraId="211390F4" w14:textId="77777777" w:rsidR="005B0542" w:rsidRPr="00177B6D" w:rsidRDefault="005B0542" w:rsidP="005B0542">
      <w:pPr>
        <w:pStyle w:val="subsection"/>
      </w:pPr>
      <w:r w:rsidRPr="00177B6D">
        <w:tab/>
        <w:t>(1)</w:t>
      </w:r>
      <w:r w:rsidRPr="00177B6D">
        <w:tab/>
        <w:t xml:space="preserve">A relevant employer must lodge with the Agency public reports in respect of each of the periods set out in this section unless </w:t>
      </w:r>
      <w:r w:rsidR="00CC4F01" w:rsidRPr="00177B6D">
        <w:t>subsection (</w:t>
      </w:r>
      <w:r w:rsidRPr="00177B6D">
        <w:t>3) applies to the employer in respect of a reporting period.</w:t>
      </w:r>
    </w:p>
    <w:p w14:paraId="06ACABCC" w14:textId="77777777" w:rsidR="002B2A6D" w:rsidRPr="00177B6D" w:rsidRDefault="002B2A6D" w:rsidP="002B2A6D">
      <w:pPr>
        <w:pStyle w:val="notetext"/>
      </w:pPr>
      <w:r w:rsidRPr="00177B6D">
        <w:t>Note:</w:t>
      </w:r>
      <w:r w:rsidRPr="00177B6D">
        <w:tab/>
        <w:t>Sections</w:t>
      </w:r>
      <w:r w:rsidR="00CC4F01" w:rsidRPr="00177B6D">
        <w:t> </w:t>
      </w:r>
      <w:r w:rsidRPr="00177B6D">
        <w:t xml:space="preserve">137.1 and 137.2 of the </w:t>
      </w:r>
      <w:r w:rsidRPr="00177B6D">
        <w:rPr>
          <w:i/>
        </w:rPr>
        <w:t>Criminal Code</w:t>
      </w:r>
      <w:r w:rsidRPr="00177B6D">
        <w:t xml:space="preserve"> create offences for providing false or misleading information or documents.</w:t>
      </w:r>
    </w:p>
    <w:p w14:paraId="29476BB4" w14:textId="77777777" w:rsidR="005B0542" w:rsidRPr="00177B6D" w:rsidRDefault="005B0542" w:rsidP="005B0542">
      <w:pPr>
        <w:pStyle w:val="subsection"/>
      </w:pPr>
      <w:r w:rsidRPr="00177B6D">
        <w:tab/>
        <w:t>(2)</w:t>
      </w:r>
      <w:r w:rsidRPr="00177B6D">
        <w:tab/>
        <w:t>A relevant employer</w:t>
      </w:r>
      <w:r w:rsidR="00160A95" w:rsidRPr="00177B6D">
        <w:t>, other than a Commonwealth company or Commonwealth entity,</w:t>
      </w:r>
      <w:r w:rsidRPr="00177B6D">
        <w:t xml:space="preserve"> must prepare a public report in respect of the period of 12 months commencing on 1</w:t>
      </w:r>
      <w:r w:rsidR="00CC4F01" w:rsidRPr="00177B6D">
        <w:t> </w:t>
      </w:r>
      <w:r w:rsidRPr="00177B6D">
        <w:t>April 2000 and after that, in respect of each consecutive period of 12 months.</w:t>
      </w:r>
    </w:p>
    <w:p w14:paraId="33FBB3E1" w14:textId="77777777" w:rsidR="00160A95" w:rsidRPr="00177B6D" w:rsidRDefault="00160A95" w:rsidP="00160A95">
      <w:pPr>
        <w:pStyle w:val="subsection"/>
      </w:pPr>
      <w:r w:rsidRPr="00177B6D">
        <w:tab/>
        <w:t>(2A)</w:t>
      </w:r>
      <w:r w:rsidRPr="00177B6D">
        <w:tab/>
        <w:t>A relevant employer that is a Commonwealth company or Commonwealth entity</w:t>
      </w:r>
      <w:r w:rsidRPr="00177B6D">
        <w:rPr>
          <w:i/>
        </w:rPr>
        <w:t xml:space="preserve"> </w:t>
      </w:r>
      <w:r w:rsidRPr="00177B6D">
        <w:t xml:space="preserve">must prepare a public report in respect of the period of 12 months commencing on </w:t>
      </w:r>
      <w:r w:rsidR="000C556C" w:rsidRPr="00177B6D">
        <w:t>1 January</w:t>
      </w:r>
      <w:r w:rsidRPr="00177B6D">
        <w:t xml:space="preserve"> 2022 and after that, in respect of each consecutive period of 12 months.</w:t>
      </w:r>
    </w:p>
    <w:p w14:paraId="5A309042" w14:textId="77777777" w:rsidR="005B0542" w:rsidRPr="00177B6D" w:rsidRDefault="005B0542" w:rsidP="005B0542">
      <w:pPr>
        <w:pStyle w:val="subsection"/>
      </w:pPr>
      <w:r w:rsidRPr="00177B6D">
        <w:tab/>
        <w:t>(3)</w:t>
      </w:r>
      <w:r w:rsidRPr="00177B6D">
        <w:tab/>
        <w:t>If the relevant employer had the status of relevant employer for less than 6 months of a particular reporting period, the employer does not have to comply with an obligation under this section to report in respect of that particular period.</w:t>
      </w:r>
    </w:p>
    <w:p w14:paraId="141B25CC" w14:textId="77777777" w:rsidR="00160A95" w:rsidRPr="00177B6D" w:rsidRDefault="00160A95" w:rsidP="00160A95">
      <w:pPr>
        <w:pStyle w:val="ActHead5"/>
      </w:pPr>
      <w:bookmarkStart w:id="20" w:name="_Toc195097028"/>
      <w:r w:rsidRPr="004A520A">
        <w:rPr>
          <w:rStyle w:val="CharSectno"/>
          <w:rFonts w:eastAsiaTheme="minorHAnsi"/>
        </w:rPr>
        <w:t>13B</w:t>
      </w:r>
      <w:r w:rsidRPr="00177B6D">
        <w:t xml:space="preserve">  When public reports are due</w:t>
      </w:r>
      <w:bookmarkEnd w:id="20"/>
    </w:p>
    <w:p w14:paraId="7085B336" w14:textId="5F677A16" w:rsidR="00160A95" w:rsidRPr="00177B6D" w:rsidRDefault="00160A95" w:rsidP="00160A95">
      <w:pPr>
        <w:pStyle w:val="subsection"/>
      </w:pPr>
      <w:r w:rsidRPr="00177B6D">
        <w:tab/>
      </w:r>
      <w:r w:rsidRPr="00177B6D">
        <w:tab/>
        <w:t xml:space="preserve">Unless a relevant employer has received an extension of time in which to lodge a report under </w:t>
      </w:r>
      <w:r w:rsidR="004A520A">
        <w:t>section 1</w:t>
      </w:r>
      <w:r w:rsidRPr="00177B6D">
        <w:t>7:</w:t>
      </w:r>
    </w:p>
    <w:p w14:paraId="54390FFC" w14:textId="2BE6D4E0" w:rsidR="00160A95" w:rsidRPr="00177B6D" w:rsidRDefault="00160A95" w:rsidP="00160A95">
      <w:pPr>
        <w:pStyle w:val="paragraph"/>
      </w:pPr>
      <w:r w:rsidRPr="00177B6D">
        <w:tab/>
        <w:t>(a)</w:t>
      </w:r>
      <w:r w:rsidRPr="00177B6D">
        <w:tab/>
        <w:t xml:space="preserve">if the relevant employer is a Commonwealth company or Commonwealth entity—the employer must lodge a public report under </w:t>
      </w:r>
      <w:r w:rsidR="004A520A">
        <w:t>section 1</w:t>
      </w:r>
      <w:r w:rsidRPr="00177B6D">
        <w:t>3A within 2 months after the day determined by the Agency for the purposes of this paragraph; and</w:t>
      </w:r>
    </w:p>
    <w:p w14:paraId="2C2709A5" w14:textId="6C4131E9" w:rsidR="00160A95" w:rsidRPr="00177B6D" w:rsidRDefault="00160A95" w:rsidP="00160A95">
      <w:pPr>
        <w:pStyle w:val="paragraph"/>
      </w:pPr>
      <w:r w:rsidRPr="00177B6D">
        <w:lastRenderedPageBreak/>
        <w:tab/>
        <w:t>(b)</w:t>
      </w:r>
      <w:r w:rsidRPr="00177B6D">
        <w:tab/>
        <w:t xml:space="preserve">otherwise—the relevant employer must lodge a public report under </w:t>
      </w:r>
      <w:r w:rsidR="004A520A">
        <w:t>section 1</w:t>
      </w:r>
      <w:r w:rsidRPr="00177B6D">
        <w:t>3A within 2 months after the end of the period to which the report relates.</w:t>
      </w:r>
    </w:p>
    <w:p w14:paraId="70A9C346" w14:textId="77777777" w:rsidR="0063092A" w:rsidRPr="00177B6D" w:rsidRDefault="0063092A" w:rsidP="0063092A">
      <w:pPr>
        <w:pStyle w:val="ActHead5"/>
      </w:pPr>
      <w:bookmarkStart w:id="21" w:name="_Toc195097029"/>
      <w:r w:rsidRPr="004A520A">
        <w:rPr>
          <w:rStyle w:val="CharSectno"/>
        </w:rPr>
        <w:t>13C</w:t>
      </w:r>
      <w:r w:rsidRPr="00177B6D">
        <w:t xml:space="preserve">  Personal information</w:t>
      </w:r>
      <w:bookmarkEnd w:id="21"/>
    </w:p>
    <w:p w14:paraId="3BB54772" w14:textId="45BF67D3" w:rsidR="0063092A" w:rsidRPr="00177B6D" w:rsidRDefault="0063092A" w:rsidP="0063092A">
      <w:pPr>
        <w:pStyle w:val="subsection"/>
      </w:pPr>
      <w:r w:rsidRPr="00177B6D">
        <w:tab/>
        <w:t>(1)</w:t>
      </w:r>
      <w:r w:rsidRPr="00177B6D">
        <w:tab/>
        <w:t xml:space="preserve">At the time of lodging a public report under </w:t>
      </w:r>
      <w:r w:rsidR="004A520A">
        <w:t>section 1</w:t>
      </w:r>
      <w:r w:rsidRPr="00177B6D">
        <w:t>3A, a relevant employer must, in writing (either in the report or otherwise), inform the Agency of the information included in the report that is personal information.</w:t>
      </w:r>
    </w:p>
    <w:p w14:paraId="3482B35C" w14:textId="77777777" w:rsidR="0063092A" w:rsidRPr="00177B6D" w:rsidRDefault="0063092A" w:rsidP="0063092A">
      <w:pPr>
        <w:pStyle w:val="subsection"/>
      </w:pPr>
      <w:r w:rsidRPr="00177B6D">
        <w:tab/>
        <w:t>(2)</w:t>
      </w:r>
      <w:r w:rsidRPr="00177B6D">
        <w:tab/>
        <w:t xml:space="preserve">Subject to </w:t>
      </w:r>
      <w:r w:rsidR="00CC4F01" w:rsidRPr="00177B6D">
        <w:t>subsection (</w:t>
      </w:r>
      <w:r w:rsidRPr="00177B6D">
        <w:t>3), that personal information:</w:t>
      </w:r>
    </w:p>
    <w:p w14:paraId="1527AD30" w14:textId="7D61E1DA" w:rsidR="0063092A" w:rsidRPr="00177B6D" w:rsidRDefault="0063092A" w:rsidP="0063092A">
      <w:pPr>
        <w:pStyle w:val="paragraph"/>
      </w:pPr>
      <w:r w:rsidRPr="00177B6D">
        <w:tab/>
        <w:t>(a)</w:t>
      </w:r>
      <w:r w:rsidRPr="00177B6D">
        <w:tab/>
        <w:t xml:space="preserve">must not be published under </w:t>
      </w:r>
      <w:r w:rsidR="004A520A">
        <w:t>section 1</w:t>
      </w:r>
      <w:r w:rsidRPr="00177B6D">
        <w:t>5; and</w:t>
      </w:r>
    </w:p>
    <w:p w14:paraId="2E2BB8F8" w14:textId="77777777" w:rsidR="00F177E6" w:rsidRPr="00177B6D" w:rsidRDefault="00F177E6" w:rsidP="00F177E6">
      <w:pPr>
        <w:pStyle w:val="paragraph"/>
      </w:pPr>
      <w:r w:rsidRPr="00177B6D">
        <w:tab/>
        <w:t>(b)</w:t>
      </w:r>
      <w:r w:rsidRPr="00177B6D">
        <w:tab/>
        <w:t>must not be used in a report under:</w:t>
      </w:r>
    </w:p>
    <w:p w14:paraId="5E63D437" w14:textId="52C7685C" w:rsidR="00F177E6" w:rsidRPr="00177B6D" w:rsidRDefault="00F177E6" w:rsidP="00F177E6">
      <w:pPr>
        <w:pStyle w:val="paragraphsub"/>
      </w:pPr>
      <w:r w:rsidRPr="00177B6D">
        <w:tab/>
        <w:t>(i)</w:t>
      </w:r>
      <w:r w:rsidRPr="00177B6D">
        <w:tab/>
      </w:r>
      <w:r w:rsidR="004A520A">
        <w:t>section 1</w:t>
      </w:r>
      <w:r w:rsidRPr="00177B6D">
        <w:t>2; or</w:t>
      </w:r>
    </w:p>
    <w:p w14:paraId="36D11ED1" w14:textId="77777777" w:rsidR="00F177E6" w:rsidRPr="00177B6D" w:rsidRDefault="00F177E6" w:rsidP="00F177E6">
      <w:pPr>
        <w:pStyle w:val="paragraphsub"/>
      </w:pPr>
      <w:r w:rsidRPr="00177B6D">
        <w:tab/>
        <w:t>(ii)</w:t>
      </w:r>
      <w:r w:rsidRPr="00177B6D">
        <w:tab/>
        <w:t>section</w:t>
      </w:r>
      <w:r w:rsidR="00CC4F01" w:rsidRPr="00177B6D">
        <w:t> </w:t>
      </w:r>
      <w:r w:rsidRPr="00177B6D">
        <w:t xml:space="preserve">46 of the </w:t>
      </w:r>
      <w:r w:rsidRPr="00177B6D">
        <w:rPr>
          <w:i/>
        </w:rPr>
        <w:t>Public Governance, Performance and Accountability Act 2013</w:t>
      </w:r>
      <w:r w:rsidRPr="00177B6D">
        <w:t>.</w:t>
      </w:r>
    </w:p>
    <w:p w14:paraId="0F9813CB" w14:textId="5BF07022" w:rsidR="00DA5CFA" w:rsidRPr="00177B6D" w:rsidRDefault="00DA5CFA" w:rsidP="00DA5CFA">
      <w:pPr>
        <w:pStyle w:val="notetext"/>
      </w:pPr>
      <w:r w:rsidRPr="00177B6D">
        <w:t>Note:</w:t>
      </w:r>
      <w:r w:rsidRPr="00177B6D">
        <w:tab/>
        <w:t>However, such information may be used for the purposes of publishing information under sub</w:t>
      </w:r>
      <w:r w:rsidR="004A520A">
        <w:t>section 1</w:t>
      </w:r>
      <w:r w:rsidRPr="00177B6D">
        <w:t>5A(1) (see sub</w:t>
      </w:r>
      <w:r w:rsidR="004A520A">
        <w:t>section 1</w:t>
      </w:r>
      <w:r w:rsidRPr="00177B6D">
        <w:t>5A(3)). The publishing of information under sub</w:t>
      </w:r>
      <w:r w:rsidR="004A520A">
        <w:t>section 1</w:t>
      </w:r>
      <w:r w:rsidRPr="00177B6D">
        <w:t>5A(1) is subject to certain protections (see sub</w:t>
      </w:r>
      <w:r w:rsidR="004A520A">
        <w:t>section 1</w:t>
      </w:r>
      <w:r w:rsidRPr="00177B6D">
        <w:t>5A(4)).</w:t>
      </w:r>
    </w:p>
    <w:p w14:paraId="583BFA62" w14:textId="77777777" w:rsidR="0063092A" w:rsidRPr="00177B6D" w:rsidRDefault="0063092A" w:rsidP="0063092A">
      <w:pPr>
        <w:pStyle w:val="subsection"/>
      </w:pPr>
      <w:r w:rsidRPr="00177B6D">
        <w:tab/>
        <w:t>(3)</w:t>
      </w:r>
      <w:r w:rsidRPr="00177B6D">
        <w:tab/>
        <w:t>Particular personal information may be so published or used if the individual to whom the information relates consents in writing to the publication or use.</w:t>
      </w:r>
    </w:p>
    <w:p w14:paraId="10015ED1" w14:textId="77777777" w:rsidR="0063092A" w:rsidRPr="00177B6D" w:rsidRDefault="0063092A" w:rsidP="0063092A">
      <w:pPr>
        <w:pStyle w:val="ActHead5"/>
      </w:pPr>
      <w:bookmarkStart w:id="22" w:name="_Toc195097030"/>
      <w:r w:rsidRPr="004A520A">
        <w:rPr>
          <w:rStyle w:val="CharSectno"/>
        </w:rPr>
        <w:t>14</w:t>
      </w:r>
      <w:r w:rsidRPr="00177B6D">
        <w:t xml:space="preserve">  Information relating to remuneration</w:t>
      </w:r>
      <w:bookmarkEnd w:id="22"/>
    </w:p>
    <w:p w14:paraId="1F9F29E8" w14:textId="61BCECC4" w:rsidR="0063092A" w:rsidRPr="00177B6D" w:rsidRDefault="0063092A" w:rsidP="0063092A">
      <w:pPr>
        <w:pStyle w:val="subsection"/>
      </w:pPr>
      <w:r w:rsidRPr="00177B6D">
        <w:tab/>
        <w:t>(1)</w:t>
      </w:r>
      <w:r w:rsidRPr="00177B6D">
        <w:tab/>
        <w:t xml:space="preserve">Subject to this section, any information relating to remuneration that is included in a public report lodged by a relevant employer under </w:t>
      </w:r>
      <w:r w:rsidR="004A520A">
        <w:t>section 1</w:t>
      </w:r>
      <w:r w:rsidRPr="00177B6D">
        <w:t>3A:</w:t>
      </w:r>
    </w:p>
    <w:p w14:paraId="381762AD" w14:textId="0C943455" w:rsidR="0063092A" w:rsidRPr="00177B6D" w:rsidRDefault="0063092A" w:rsidP="0063092A">
      <w:pPr>
        <w:pStyle w:val="paragraph"/>
      </w:pPr>
      <w:r w:rsidRPr="00177B6D">
        <w:tab/>
        <w:t>(a)</w:t>
      </w:r>
      <w:r w:rsidRPr="00177B6D">
        <w:tab/>
        <w:t xml:space="preserve">must not be published under </w:t>
      </w:r>
      <w:r w:rsidR="004A520A">
        <w:t>section 1</w:t>
      </w:r>
      <w:r w:rsidRPr="00177B6D">
        <w:t>5; and</w:t>
      </w:r>
    </w:p>
    <w:p w14:paraId="743165EE" w14:textId="77777777" w:rsidR="00F177E6" w:rsidRPr="00177B6D" w:rsidRDefault="00F177E6" w:rsidP="00F177E6">
      <w:pPr>
        <w:pStyle w:val="paragraph"/>
      </w:pPr>
      <w:r w:rsidRPr="00177B6D">
        <w:tab/>
        <w:t>(b)</w:t>
      </w:r>
      <w:r w:rsidRPr="00177B6D">
        <w:tab/>
        <w:t>must not be used in a report under:</w:t>
      </w:r>
    </w:p>
    <w:p w14:paraId="2620488F" w14:textId="4F96A5CB" w:rsidR="00F177E6" w:rsidRPr="00177B6D" w:rsidRDefault="00F177E6" w:rsidP="00F177E6">
      <w:pPr>
        <w:pStyle w:val="paragraphsub"/>
      </w:pPr>
      <w:r w:rsidRPr="00177B6D">
        <w:tab/>
        <w:t>(i)</w:t>
      </w:r>
      <w:r w:rsidRPr="00177B6D">
        <w:tab/>
      </w:r>
      <w:r w:rsidR="004A520A">
        <w:t>section 1</w:t>
      </w:r>
      <w:r w:rsidRPr="00177B6D">
        <w:t>2; or</w:t>
      </w:r>
    </w:p>
    <w:p w14:paraId="3F8C5B68" w14:textId="77777777" w:rsidR="00F177E6" w:rsidRPr="00177B6D" w:rsidRDefault="00F177E6" w:rsidP="00F177E6">
      <w:pPr>
        <w:pStyle w:val="paragraphsub"/>
      </w:pPr>
      <w:r w:rsidRPr="00177B6D">
        <w:tab/>
        <w:t>(ii)</w:t>
      </w:r>
      <w:r w:rsidRPr="00177B6D">
        <w:tab/>
        <w:t>section</w:t>
      </w:r>
      <w:r w:rsidR="00CC4F01" w:rsidRPr="00177B6D">
        <w:t> </w:t>
      </w:r>
      <w:r w:rsidRPr="00177B6D">
        <w:t xml:space="preserve">46 of the </w:t>
      </w:r>
      <w:r w:rsidRPr="00177B6D">
        <w:rPr>
          <w:i/>
        </w:rPr>
        <w:t>Public Governance, Performance and Accountability Act 2013</w:t>
      </w:r>
      <w:r w:rsidRPr="00177B6D">
        <w:t>.</w:t>
      </w:r>
    </w:p>
    <w:p w14:paraId="069B8D3C" w14:textId="7323314B" w:rsidR="00DA5CFA" w:rsidRPr="00177B6D" w:rsidRDefault="00DA5CFA" w:rsidP="00DA5CFA">
      <w:pPr>
        <w:pStyle w:val="notetext"/>
      </w:pPr>
      <w:r w:rsidRPr="00177B6D">
        <w:lastRenderedPageBreak/>
        <w:t>Note:</w:t>
      </w:r>
      <w:r w:rsidRPr="00177B6D">
        <w:tab/>
        <w:t>However, such information may be used for the purposes of publishing information under sub</w:t>
      </w:r>
      <w:r w:rsidR="004A520A">
        <w:t>section 1</w:t>
      </w:r>
      <w:r w:rsidRPr="00177B6D">
        <w:t>5A(1) (see sub</w:t>
      </w:r>
      <w:r w:rsidR="004A520A">
        <w:t>section 1</w:t>
      </w:r>
      <w:r w:rsidRPr="00177B6D">
        <w:t>5A(3)). The publishing of information under sub</w:t>
      </w:r>
      <w:r w:rsidR="004A520A">
        <w:t>section 1</w:t>
      </w:r>
      <w:r w:rsidRPr="00177B6D">
        <w:t>5A(1) is subject to certain protections (see sub</w:t>
      </w:r>
      <w:r w:rsidR="004A520A">
        <w:t>section 1</w:t>
      </w:r>
      <w:r w:rsidRPr="00177B6D">
        <w:t>5A(4)).</w:t>
      </w:r>
    </w:p>
    <w:p w14:paraId="1885F238" w14:textId="77777777" w:rsidR="0063092A" w:rsidRPr="00177B6D" w:rsidRDefault="0063092A" w:rsidP="0063092A">
      <w:pPr>
        <w:pStyle w:val="subsection"/>
      </w:pPr>
      <w:r w:rsidRPr="00177B6D">
        <w:tab/>
        <w:t>(2)</w:t>
      </w:r>
      <w:r w:rsidRPr="00177B6D">
        <w:tab/>
        <w:t xml:space="preserve">Information referred to in </w:t>
      </w:r>
      <w:r w:rsidR="00CC4F01" w:rsidRPr="00177B6D">
        <w:t>subsection (</w:t>
      </w:r>
      <w:r w:rsidRPr="00177B6D">
        <w:t>1) (except personal information) may be so published or used if the relevant employer has, by written notice given to the Agency, agreed to that information being so published or used.</w:t>
      </w:r>
    </w:p>
    <w:p w14:paraId="65AA0364" w14:textId="77777777" w:rsidR="0063092A" w:rsidRPr="00177B6D" w:rsidRDefault="0063092A" w:rsidP="0063092A">
      <w:pPr>
        <w:pStyle w:val="notetext"/>
      </w:pPr>
      <w:r w:rsidRPr="00177B6D">
        <w:t>Note:</w:t>
      </w:r>
      <w:r w:rsidRPr="00177B6D">
        <w:tab/>
        <w:t>Section</w:t>
      </w:r>
      <w:r w:rsidR="00CC4F01" w:rsidRPr="00177B6D">
        <w:t> </w:t>
      </w:r>
      <w:r w:rsidRPr="00177B6D">
        <w:t>13C deals with personal information.</w:t>
      </w:r>
    </w:p>
    <w:p w14:paraId="4651043F" w14:textId="77777777" w:rsidR="0063092A" w:rsidRPr="00177B6D" w:rsidRDefault="0063092A" w:rsidP="0063092A">
      <w:pPr>
        <w:pStyle w:val="subsection"/>
      </w:pPr>
      <w:r w:rsidRPr="00177B6D">
        <w:tab/>
        <w:t>(3)</w:t>
      </w:r>
      <w:r w:rsidRPr="00177B6D">
        <w:tab/>
        <w:t xml:space="preserve">Information referred to in </w:t>
      </w:r>
      <w:r w:rsidR="00CC4F01" w:rsidRPr="00177B6D">
        <w:t>subsection (</w:t>
      </w:r>
      <w:r w:rsidRPr="00177B6D">
        <w:t>1) may be so published or used if the information is in an aggregated form that does not disclose, either directly or indirectly, information about a specific relevant employer or another specific person.</w:t>
      </w:r>
    </w:p>
    <w:p w14:paraId="2D1CB476" w14:textId="77777777" w:rsidR="0063092A" w:rsidRPr="00177B6D" w:rsidRDefault="0063092A" w:rsidP="0063092A">
      <w:pPr>
        <w:pStyle w:val="ActHead5"/>
      </w:pPr>
      <w:bookmarkStart w:id="23" w:name="_Toc195097031"/>
      <w:r w:rsidRPr="004A520A">
        <w:rPr>
          <w:rStyle w:val="CharSectno"/>
        </w:rPr>
        <w:t>14A</w:t>
      </w:r>
      <w:r w:rsidRPr="00177B6D">
        <w:t xml:space="preserve">  Information of a kind specified by the Minister</w:t>
      </w:r>
      <w:bookmarkEnd w:id="23"/>
    </w:p>
    <w:p w14:paraId="4143E8F6" w14:textId="77777777" w:rsidR="0063092A" w:rsidRPr="00177B6D" w:rsidRDefault="0063092A" w:rsidP="0063092A">
      <w:pPr>
        <w:pStyle w:val="subsection"/>
      </w:pPr>
      <w:r w:rsidRPr="00177B6D">
        <w:tab/>
        <w:t>(1)</w:t>
      </w:r>
      <w:r w:rsidRPr="00177B6D">
        <w:tab/>
        <w:t xml:space="preserve">Subject to this section, information of a kind specified in an instrument under </w:t>
      </w:r>
      <w:r w:rsidR="00CC4F01" w:rsidRPr="00177B6D">
        <w:t>subsection (</w:t>
      </w:r>
      <w:r w:rsidRPr="00177B6D">
        <w:t>2):</w:t>
      </w:r>
    </w:p>
    <w:p w14:paraId="654CF3E4" w14:textId="7B0E0370" w:rsidR="0063092A" w:rsidRPr="00177B6D" w:rsidRDefault="0063092A" w:rsidP="0063092A">
      <w:pPr>
        <w:pStyle w:val="paragraph"/>
      </w:pPr>
      <w:r w:rsidRPr="00177B6D">
        <w:tab/>
        <w:t>(a)</w:t>
      </w:r>
      <w:r w:rsidRPr="00177B6D">
        <w:tab/>
        <w:t xml:space="preserve">must not be published under </w:t>
      </w:r>
      <w:r w:rsidR="004A520A">
        <w:t>section 1</w:t>
      </w:r>
      <w:r w:rsidRPr="00177B6D">
        <w:t>5; and</w:t>
      </w:r>
    </w:p>
    <w:p w14:paraId="54355974" w14:textId="77777777" w:rsidR="00F177E6" w:rsidRPr="00177B6D" w:rsidRDefault="00F177E6" w:rsidP="00F177E6">
      <w:pPr>
        <w:pStyle w:val="paragraph"/>
      </w:pPr>
      <w:r w:rsidRPr="00177B6D">
        <w:tab/>
        <w:t>(b)</w:t>
      </w:r>
      <w:r w:rsidRPr="00177B6D">
        <w:tab/>
        <w:t>must not be used in a report under:</w:t>
      </w:r>
    </w:p>
    <w:p w14:paraId="1DB59900" w14:textId="12417284" w:rsidR="00F177E6" w:rsidRPr="00177B6D" w:rsidRDefault="00F177E6" w:rsidP="00F177E6">
      <w:pPr>
        <w:pStyle w:val="paragraphsub"/>
      </w:pPr>
      <w:r w:rsidRPr="00177B6D">
        <w:tab/>
        <w:t>(i)</w:t>
      </w:r>
      <w:r w:rsidRPr="00177B6D">
        <w:tab/>
      </w:r>
      <w:r w:rsidR="004A520A">
        <w:t>section 1</w:t>
      </w:r>
      <w:r w:rsidRPr="00177B6D">
        <w:t>2; or</w:t>
      </w:r>
    </w:p>
    <w:p w14:paraId="5ABB5104" w14:textId="77777777" w:rsidR="00F177E6" w:rsidRPr="00177B6D" w:rsidRDefault="00F177E6" w:rsidP="00F177E6">
      <w:pPr>
        <w:pStyle w:val="paragraphsub"/>
      </w:pPr>
      <w:r w:rsidRPr="00177B6D">
        <w:tab/>
        <w:t>(ii)</w:t>
      </w:r>
      <w:r w:rsidRPr="00177B6D">
        <w:tab/>
        <w:t>section</w:t>
      </w:r>
      <w:r w:rsidR="00CC4F01" w:rsidRPr="00177B6D">
        <w:t> </w:t>
      </w:r>
      <w:r w:rsidRPr="00177B6D">
        <w:t xml:space="preserve">46 of the </w:t>
      </w:r>
      <w:r w:rsidRPr="00177B6D">
        <w:rPr>
          <w:i/>
        </w:rPr>
        <w:t>Public Governance, Performance and Accountability Act 2013</w:t>
      </w:r>
      <w:r w:rsidRPr="00177B6D">
        <w:t>.</w:t>
      </w:r>
    </w:p>
    <w:p w14:paraId="5F1FF33F" w14:textId="7125B764" w:rsidR="00DA5CFA" w:rsidRPr="00177B6D" w:rsidRDefault="00DA5CFA" w:rsidP="00DA5CFA">
      <w:pPr>
        <w:pStyle w:val="notetext"/>
      </w:pPr>
      <w:r w:rsidRPr="00177B6D">
        <w:t>Note:</w:t>
      </w:r>
      <w:r w:rsidRPr="00177B6D">
        <w:tab/>
        <w:t>However, such information may be used for the purposes of publishing information under sub</w:t>
      </w:r>
      <w:r w:rsidR="004A520A">
        <w:t>section 1</w:t>
      </w:r>
      <w:r w:rsidRPr="00177B6D">
        <w:t>5A(1) (see sub</w:t>
      </w:r>
      <w:r w:rsidR="004A520A">
        <w:t>section 1</w:t>
      </w:r>
      <w:r w:rsidRPr="00177B6D">
        <w:t>5A(3)). The publishing of information under sub</w:t>
      </w:r>
      <w:r w:rsidR="004A520A">
        <w:t>section 1</w:t>
      </w:r>
      <w:r w:rsidRPr="00177B6D">
        <w:t>5A(1) is subject to certain protections (see sub</w:t>
      </w:r>
      <w:r w:rsidR="004A520A">
        <w:t>section 1</w:t>
      </w:r>
      <w:r w:rsidRPr="00177B6D">
        <w:t>5A(4)).</w:t>
      </w:r>
    </w:p>
    <w:p w14:paraId="67C3AE32" w14:textId="77777777" w:rsidR="0063092A" w:rsidRPr="00177B6D" w:rsidRDefault="0063092A" w:rsidP="0063092A">
      <w:pPr>
        <w:pStyle w:val="subsection"/>
      </w:pPr>
      <w:r w:rsidRPr="00177B6D">
        <w:tab/>
        <w:t>(2)</w:t>
      </w:r>
      <w:r w:rsidRPr="00177B6D">
        <w:tab/>
        <w:t xml:space="preserve">The Minister may, by legislative instrument, specify kinds of information for the purposes of </w:t>
      </w:r>
      <w:r w:rsidR="00CC4F01" w:rsidRPr="00177B6D">
        <w:t>subsection (</w:t>
      </w:r>
      <w:r w:rsidRPr="00177B6D">
        <w:t>1).</w:t>
      </w:r>
    </w:p>
    <w:p w14:paraId="58FEAD19" w14:textId="77777777" w:rsidR="0063092A" w:rsidRPr="00177B6D" w:rsidRDefault="0063092A" w:rsidP="0063092A">
      <w:pPr>
        <w:pStyle w:val="notetext"/>
      </w:pPr>
      <w:r w:rsidRPr="00177B6D">
        <w:t>Note:</w:t>
      </w:r>
      <w:r w:rsidRPr="00177B6D">
        <w:tab/>
        <w:t>See also section</w:t>
      </w:r>
      <w:r w:rsidR="00CC4F01" w:rsidRPr="00177B6D">
        <w:t> </w:t>
      </w:r>
      <w:r w:rsidRPr="00177B6D">
        <w:t>33A.</w:t>
      </w:r>
    </w:p>
    <w:p w14:paraId="3D43785E" w14:textId="77777777" w:rsidR="0063092A" w:rsidRPr="00177B6D" w:rsidRDefault="0063092A" w:rsidP="00484D56">
      <w:pPr>
        <w:pStyle w:val="subsection"/>
        <w:keepNext/>
        <w:keepLines/>
      </w:pPr>
      <w:r w:rsidRPr="00177B6D">
        <w:lastRenderedPageBreak/>
        <w:tab/>
        <w:t>(3)</w:t>
      </w:r>
      <w:r w:rsidRPr="00177B6D">
        <w:tab/>
        <w:t xml:space="preserve">Information referred to in </w:t>
      </w:r>
      <w:r w:rsidR="00CC4F01" w:rsidRPr="00177B6D">
        <w:t>subsection (</w:t>
      </w:r>
      <w:r w:rsidRPr="00177B6D">
        <w:t>1) may be so published or used if the information is in an aggregated form that does not disclose, either directly or indirectly, information about a specific relevant employer or another specific person.</w:t>
      </w:r>
    </w:p>
    <w:p w14:paraId="606D7148" w14:textId="77777777" w:rsidR="0068369E" w:rsidRPr="00177B6D" w:rsidRDefault="0068369E" w:rsidP="0068369E">
      <w:pPr>
        <w:pStyle w:val="ActHead5"/>
      </w:pPr>
      <w:bookmarkStart w:id="24" w:name="_Toc195097032"/>
      <w:r w:rsidRPr="004A520A">
        <w:rPr>
          <w:rStyle w:val="CharSectno"/>
        </w:rPr>
        <w:t>15</w:t>
      </w:r>
      <w:r w:rsidRPr="00177B6D">
        <w:t xml:space="preserve">  Agency’s use of public report</w:t>
      </w:r>
      <w:bookmarkEnd w:id="24"/>
    </w:p>
    <w:p w14:paraId="619FCDC4" w14:textId="77777777" w:rsidR="005B0542" w:rsidRPr="00177B6D" w:rsidRDefault="005B0542" w:rsidP="005B0542">
      <w:pPr>
        <w:pStyle w:val="subsection"/>
      </w:pPr>
      <w:r w:rsidRPr="00177B6D">
        <w:tab/>
      </w:r>
      <w:r w:rsidR="001A2B15" w:rsidRPr="00177B6D">
        <w:t>(1)</w:t>
      </w:r>
      <w:r w:rsidRPr="00177B6D">
        <w:tab/>
      </w:r>
      <w:r w:rsidR="001A2B15" w:rsidRPr="00177B6D">
        <w:t>Subject to sections</w:t>
      </w:r>
      <w:r w:rsidR="00CC4F01" w:rsidRPr="00177B6D">
        <w:t> </w:t>
      </w:r>
      <w:r w:rsidR="001A2B15" w:rsidRPr="00177B6D">
        <w:t>13C, 14 and 14A, a</w:t>
      </w:r>
      <w:r w:rsidRPr="00177B6D">
        <w:t xml:space="preserve"> public report, or a part of a public report (including a copy of the report or part of the report):</w:t>
      </w:r>
    </w:p>
    <w:p w14:paraId="4AA5C6A6" w14:textId="77777777" w:rsidR="006D7C9E" w:rsidRPr="00177B6D" w:rsidRDefault="006D7C9E" w:rsidP="006D7C9E">
      <w:pPr>
        <w:pStyle w:val="paragraph"/>
      </w:pPr>
      <w:r w:rsidRPr="00177B6D">
        <w:tab/>
        <w:t>(a)</w:t>
      </w:r>
      <w:r w:rsidRPr="00177B6D">
        <w:tab/>
        <w:t>may be published by the Agency by electronic or other means; and</w:t>
      </w:r>
    </w:p>
    <w:p w14:paraId="54C29E1A" w14:textId="77777777" w:rsidR="00F177E6" w:rsidRPr="00177B6D" w:rsidRDefault="00F177E6" w:rsidP="00F177E6">
      <w:pPr>
        <w:pStyle w:val="paragraph"/>
      </w:pPr>
      <w:r w:rsidRPr="00177B6D">
        <w:tab/>
        <w:t>(b)</w:t>
      </w:r>
      <w:r w:rsidRPr="00177B6D">
        <w:tab/>
        <w:t>may be used, either in whole or in part, in a report under:</w:t>
      </w:r>
    </w:p>
    <w:p w14:paraId="49383671" w14:textId="52AAD6BE" w:rsidR="00F177E6" w:rsidRPr="00177B6D" w:rsidRDefault="00F177E6" w:rsidP="00F177E6">
      <w:pPr>
        <w:pStyle w:val="paragraphsub"/>
      </w:pPr>
      <w:r w:rsidRPr="00177B6D">
        <w:tab/>
        <w:t>(i)</w:t>
      </w:r>
      <w:r w:rsidRPr="00177B6D">
        <w:tab/>
      </w:r>
      <w:r w:rsidR="004A520A">
        <w:t>section 1</w:t>
      </w:r>
      <w:r w:rsidRPr="00177B6D">
        <w:t>2; or</w:t>
      </w:r>
    </w:p>
    <w:p w14:paraId="0C8D7594" w14:textId="77777777" w:rsidR="00F177E6" w:rsidRPr="00177B6D" w:rsidRDefault="00F177E6" w:rsidP="00F177E6">
      <w:pPr>
        <w:pStyle w:val="paragraphsub"/>
      </w:pPr>
      <w:r w:rsidRPr="00177B6D">
        <w:tab/>
        <w:t>(ii)</w:t>
      </w:r>
      <w:r w:rsidRPr="00177B6D">
        <w:tab/>
        <w:t>section</w:t>
      </w:r>
      <w:r w:rsidR="00CC4F01" w:rsidRPr="00177B6D">
        <w:t> </w:t>
      </w:r>
      <w:r w:rsidRPr="00177B6D">
        <w:t xml:space="preserve">46 of the </w:t>
      </w:r>
      <w:r w:rsidRPr="00177B6D">
        <w:rPr>
          <w:i/>
        </w:rPr>
        <w:t>Public Governance, Performance and Accountability Act 2013</w:t>
      </w:r>
      <w:r w:rsidRPr="00177B6D">
        <w:t>.</w:t>
      </w:r>
    </w:p>
    <w:p w14:paraId="29E47127" w14:textId="77777777" w:rsidR="00F36138" w:rsidRPr="00177B6D" w:rsidRDefault="00F36138" w:rsidP="00F36138">
      <w:pPr>
        <w:pStyle w:val="subsection"/>
      </w:pPr>
      <w:r w:rsidRPr="00177B6D">
        <w:tab/>
        <w:t>(2)</w:t>
      </w:r>
      <w:r w:rsidRPr="00177B6D">
        <w:tab/>
        <w:t>If:</w:t>
      </w:r>
    </w:p>
    <w:p w14:paraId="3BD5BC76" w14:textId="4E8DD3AC" w:rsidR="00F36138" w:rsidRPr="00177B6D" w:rsidRDefault="00F36138" w:rsidP="00F36138">
      <w:pPr>
        <w:pStyle w:val="paragraph"/>
      </w:pPr>
      <w:r w:rsidRPr="00177B6D">
        <w:tab/>
        <w:t>(a)</w:t>
      </w:r>
      <w:r w:rsidRPr="00177B6D">
        <w:tab/>
        <w:t xml:space="preserve">a relevant employer lodges a public report under </w:t>
      </w:r>
      <w:r w:rsidR="004A520A">
        <w:t>section 1</w:t>
      </w:r>
      <w:r w:rsidRPr="00177B6D">
        <w:t>3A in respect of a reporting period; and</w:t>
      </w:r>
    </w:p>
    <w:p w14:paraId="11ABC5CC" w14:textId="01C6DB0E" w:rsidR="00F36138" w:rsidRPr="00177B6D" w:rsidRDefault="00F36138" w:rsidP="00F36138">
      <w:pPr>
        <w:pStyle w:val="paragraph"/>
      </w:pPr>
      <w:r w:rsidRPr="00177B6D">
        <w:tab/>
        <w:t>(b)</w:t>
      </w:r>
      <w:r w:rsidRPr="00177B6D">
        <w:tab/>
        <w:t xml:space="preserve">the report is lodged within the time allowed by </w:t>
      </w:r>
      <w:r w:rsidR="004A520A">
        <w:t>section 1</w:t>
      </w:r>
      <w:r w:rsidRPr="00177B6D">
        <w:t>3B or 17;</w:t>
      </w:r>
    </w:p>
    <w:p w14:paraId="05CFEF2A" w14:textId="77777777" w:rsidR="00F36138" w:rsidRPr="00177B6D" w:rsidRDefault="00F36138" w:rsidP="00F36138">
      <w:pPr>
        <w:pStyle w:val="subsection2"/>
      </w:pPr>
      <w:r w:rsidRPr="00177B6D">
        <w:t xml:space="preserve">then, during the period of 28 days beginning on the day the report is lodged, </w:t>
      </w:r>
      <w:r w:rsidR="00CC4F01" w:rsidRPr="00177B6D">
        <w:t>subsection (</w:t>
      </w:r>
      <w:r w:rsidRPr="00177B6D">
        <w:t>1) of this section does not apply in relation to the report.</w:t>
      </w:r>
    </w:p>
    <w:p w14:paraId="1516DFC0" w14:textId="77777777" w:rsidR="00DA5CFA" w:rsidRPr="00177B6D" w:rsidRDefault="00DA5CFA" w:rsidP="00DA5CFA">
      <w:pPr>
        <w:pStyle w:val="ActHead5"/>
      </w:pPr>
      <w:bookmarkStart w:id="25" w:name="_Toc195097033"/>
      <w:r w:rsidRPr="004A520A">
        <w:rPr>
          <w:rStyle w:val="CharSectno"/>
          <w:rFonts w:eastAsiaTheme="minorHAnsi"/>
        </w:rPr>
        <w:t>15A</w:t>
      </w:r>
      <w:r w:rsidRPr="00177B6D">
        <w:t xml:space="preserve">  Agency must publish information for relevant employers—achieving gender equality in relation to remuneration</w:t>
      </w:r>
      <w:bookmarkEnd w:id="25"/>
    </w:p>
    <w:p w14:paraId="299272C9" w14:textId="77777777" w:rsidR="00DA5CFA" w:rsidRPr="00177B6D" w:rsidRDefault="00DA5CFA" w:rsidP="00DA5CFA">
      <w:pPr>
        <w:pStyle w:val="subsection"/>
      </w:pPr>
      <w:r w:rsidRPr="00177B6D">
        <w:tab/>
        <w:t>(1)</w:t>
      </w:r>
      <w:r w:rsidRPr="00177B6D">
        <w:tab/>
        <w:t>The Agency must publish aggregate information, for each relevant employer for each reporting period, for the purpose of showing the employer’s performance and progress in achieving gender equality in relation to remuneration for the employer’s workforce.</w:t>
      </w:r>
    </w:p>
    <w:p w14:paraId="724A5F09" w14:textId="77777777" w:rsidR="00DA5CFA" w:rsidRPr="00177B6D" w:rsidRDefault="00DA5CFA" w:rsidP="00DA5CFA">
      <w:pPr>
        <w:pStyle w:val="subsection"/>
      </w:pPr>
      <w:r w:rsidRPr="00177B6D">
        <w:tab/>
        <w:t>(2)</w:t>
      </w:r>
      <w:r w:rsidRPr="00177B6D">
        <w:tab/>
        <w:t>The information may be published by electronic or other means.</w:t>
      </w:r>
    </w:p>
    <w:p w14:paraId="2A2CCA31" w14:textId="77777777" w:rsidR="00DA5CFA" w:rsidRPr="00177B6D" w:rsidRDefault="00DA5CFA" w:rsidP="00DA5CFA">
      <w:pPr>
        <w:pStyle w:val="subsection"/>
      </w:pPr>
      <w:r w:rsidRPr="00177B6D">
        <w:tab/>
        <w:t>(3)</w:t>
      </w:r>
      <w:r w:rsidRPr="00177B6D">
        <w:tab/>
        <w:t>The Agency may use information in a public report for the purposes of subsection (1).</w:t>
      </w:r>
    </w:p>
    <w:p w14:paraId="13557F43" w14:textId="77777777" w:rsidR="00DA5CFA" w:rsidRPr="00177B6D" w:rsidRDefault="00DA5CFA" w:rsidP="00DA5CFA">
      <w:pPr>
        <w:pStyle w:val="subsection"/>
      </w:pPr>
      <w:r w:rsidRPr="00177B6D">
        <w:lastRenderedPageBreak/>
        <w:tab/>
        <w:t>(4)</w:t>
      </w:r>
      <w:r w:rsidRPr="00177B6D">
        <w:tab/>
        <w:t>However, the Agency must not publish information under subsection (1) that discloses, either directly or indirectly:</w:t>
      </w:r>
    </w:p>
    <w:p w14:paraId="51FFEF6D" w14:textId="77777777" w:rsidR="00DA5CFA" w:rsidRPr="00177B6D" w:rsidRDefault="00DA5CFA" w:rsidP="00DA5CFA">
      <w:pPr>
        <w:pStyle w:val="paragraph"/>
      </w:pPr>
      <w:r w:rsidRPr="00177B6D">
        <w:tab/>
        <w:t>(a)</w:t>
      </w:r>
      <w:r w:rsidRPr="00177B6D">
        <w:tab/>
        <w:t>personal information; or</w:t>
      </w:r>
    </w:p>
    <w:p w14:paraId="62910A61" w14:textId="77777777" w:rsidR="00DA5CFA" w:rsidRPr="00177B6D" w:rsidRDefault="00DA5CFA" w:rsidP="00DA5CFA">
      <w:pPr>
        <w:pStyle w:val="paragraph"/>
      </w:pPr>
      <w:r w:rsidRPr="00177B6D">
        <w:tab/>
        <w:t>(b)</w:t>
      </w:r>
      <w:r w:rsidRPr="00177B6D">
        <w:tab/>
        <w:t>other information about the remuneration paid to a specific individual.</w:t>
      </w:r>
    </w:p>
    <w:p w14:paraId="714806A6" w14:textId="77777777" w:rsidR="001E3862" w:rsidRPr="00177B6D" w:rsidRDefault="001E3862" w:rsidP="001E3862">
      <w:pPr>
        <w:pStyle w:val="ActHead5"/>
      </w:pPr>
      <w:bookmarkStart w:id="26" w:name="_Toc195097034"/>
      <w:r w:rsidRPr="004A520A">
        <w:rPr>
          <w:rStyle w:val="CharSectno"/>
        </w:rPr>
        <w:t>16</w:t>
      </w:r>
      <w:r w:rsidRPr="00177B6D">
        <w:t xml:space="preserve">  Relevant employer to make public reports accessible to employees and shareholders etc.</w:t>
      </w:r>
      <w:bookmarkEnd w:id="26"/>
    </w:p>
    <w:p w14:paraId="7333FF38" w14:textId="3A7C01EC" w:rsidR="001E3862" w:rsidRPr="00177B6D" w:rsidRDefault="001E3862" w:rsidP="001E3862">
      <w:pPr>
        <w:pStyle w:val="subsection"/>
      </w:pPr>
      <w:r w:rsidRPr="00177B6D">
        <w:tab/>
        <w:t>(1)</w:t>
      </w:r>
      <w:r w:rsidRPr="00177B6D">
        <w:tab/>
        <w:t xml:space="preserve">A relevant employer must, </w:t>
      </w:r>
      <w:r w:rsidRPr="00177B6D">
        <w:rPr>
          <w:szCs w:val="22"/>
        </w:rPr>
        <w:t>as soon as reasonably practicable after</w:t>
      </w:r>
      <w:r w:rsidRPr="00177B6D">
        <w:t xml:space="preserve"> lodging a public report under </w:t>
      </w:r>
      <w:r w:rsidR="004A520A">
        <w:t>section 1</w:t>
      </w:r>
      <w:r w:rsidRPr="00177B6D">
        <w:t>3A, inform:</w:t>
      </w:r>
    </w:p>
    <w:p w14:paraId="2CD2FD5B" w14:textId="77777777" w:rsidR="001E3862" w:rsidRPr="00177B6D" w:rsidRDefault="001E3862" w:rsidP="001E3862">
      <w:pPr>
        <w:pStyle w:val="paragraph"/>
      </w:pPr>
      <w:r w:rsidRPr="00177B6D">
        <w:tab/>
        <w:t>(a)</w:t>
      </w:r>
      <w:r w:rsidRPr="00177B6D">
        <w:tab/>
        <w:t>the employees of the employer; and</w:t>
      </w:r>
    </w:p>
    <w:p w14:paraId="354E6932" w14:textId="77777777" w:rsidR="001E3862" w:rsidRPr="00177B6D" w:rsidRDefault="001E3862" w:rsidP="001E3862">
      <w:pPr>
        <w:pStyle w:val="paragraph"/>
      </w:pPr>
      <w:r w:rsidRPr="00177B6D">
        <w:tab/>
        <w:t>(b)</w:t>
      </w:r>
      <w:r w:rsidRPr="00177B6D">
        <w:tab/>
        <w:t>any shareholders or members of the employer;</w:t>
      </w:r>
    </w:p>
    <w:p w14:paraId="1C26748A" w14:textId="77777777" w:rsidR="001E3862" w:rsidRPr="00177B6D" w:rsidRDefault="001E3862" w:rsidP="001E3862">
      <w:pPr>
        <w:pStyle w:val="subsection2"/>
      </w:pPr>
      <w:r w:rsidRPr="00177B6D">
        <w:t>that the employer has lodged the report and of the way in which the report may be accessed (whether electronic or otherwise).</w:t>
      </w:r>
    </w:p>
    <w:p w14:paraId="0A518FA7" w14:textId="77777777" w:rsidR="001E3862" w:rsidRPr="00177B6D" w:rsidRDefault="001E3862" w:rsidP="00484D56">
      <w:pPr>
        <w:pStyle w:val="subsection"/>
        <w:keepNext/>
        <w:keepLines/>
      </w:pPr>
      <w:r w:rsidRPr="00177B6D">
        <w:tab/>
        <w:t>(2)</w:t>
      </w:r>
      <w:r w:rsidRPr="00177B6D">
        <w:tab/>
        <w:t xml:space="preserve">The relevant employer must, </w:t>
      </w:r>
      <w:r w:rsidRPr="00177B6D">
        <w:rPr>
          <w:szCs w:val="22"/>
        </w:rPr>
        <w:t>as soon as reasonably practicable after</w:t>
      </w:r>
      <w:r w:rsidRPr="00177B6D">
        <w:t xml:space="preserve"> that lodgement, provide those employees and shareholders or members with access (whether electronic or otherwise) to the public report (excluding information to which </w:t>
      </w:r>
      <w:r w:rsidR="00CC4F01" w:rsidRPr="00177B6D">
        <w:t>subsection (</w:t>
      </w:r>
      <w:r w:rsidRPr="00177B6D">
        <w:t>3) applies).</w:t>
      </w:r>
    </w:p>
    <w:p w14:paraId="7600B203" w14:textId="77777777" w:rsidR="001E3862" w:rsidRPr="00177B6D" w:rsidRDefault="001E3862" w:rsidP="001E3862">
      <w:pPr>
        <w:pStyle w:val="subsection"/>
      </w:pPr>
      <w:r w:rsidRPr="00177B6D">
        <w:tab/>
        <w:t>(3)</w:t>
      </w:r>
      <w:r w:rsidRPr="00177B6D">
        <w:tab/>
        <w:t>This subsection applies to the following information:</w:t>
      </w:r>
    </w:p>
    <w:p w14:paraId="13BA0DB6" w14:textId="77777777" w:rsidR="001E3862" w:rsidRPr="00177B6D" w:rsidRDefault="001E3862" w:rsidP="001E3862">
      <w:pPr>
        <w:pStyle w:val="paragraph"/>
      </w:pPr>
      <w:r w:rsidRPr="00177B6D">
        <w:tab/>
        <w:t>(a)</w:t>
      </w:r>
      <w:r w:rsidRPr="00177B6D">
        <w:tab/>
        <w:t>personal information;</w:t>
      </w:r>
    </w:p>
    <w:p w14:paraId="63ACB2E4" w14:textId="77777777" w:rsidR="001E3862" w:rsidRPr="00177B6D" w:rsidRDefault="001E3862" w:rsidP="001E3862">
      <w:pPr>
        <w:pStyle w:val="paragraph"/>
      </w:pPr>
      <w:r w:rsidRPr="00177B6D">
        <w:tab/>
        <w:t>(b)</w:t>
      </w:r>
      <w:r w:rsidRPr="00177B6D">
        <w:tab/>
        <w:t xml:space="preserve">information relating to remuneration that the relevant employer considers should not be subject to the requirement in </w:t>
      </w:r>
      <w:r w:rsidR="00CC4F01" w:rsidRPr="00177B6D">
        <w:t>subsection (</w:t>
      </w:r>
      <w:r w:rsidRPr="00177B6D">
        <w:t>2);</w:t>
      </w:r>
    </w:p>
    <w:p w14:paraId="7357C25F" w14:textId="5710A96F" w:rsidR="001E3862" w:rsidRPr="00177B6D" w:rsidRDefault="001E3862" w:rsidP="001E3862">
      <w:pPr>
        <w:pStyle w:val="paragraph"/>
      </w:pPr>
      <w:r w:rsidRPr="00177B6D">
        <w:tab/>
        <w:t>(c)</w:t>
      </w:r>
      <w:r w:rsidRPr="00177B6D">
        <w:tab/>
        <w:t xml:space="preserve">information of a kind specified in an instrument under </w:t>
      </w:r>
      <w:r w:rsidR="004A520A">
        <w:t>section 1</w:t>
      </w:r>
      <w:r w:rsidRPr="00177B6D">
        <w:t>4A.</w:t>
      </w:r>
    </w:p>
    <w:p w14:paraId="08C8A5C9" w14:textId="77777777" w:rsidR="001E3862" w:rsidRPr="00177B6D" w:rsidRDefault="001E3862" w:rsidP="001E3862">
      <w:pPr>
        <w:pStyle w:val="subsection"/>
      </w:pPr>
      <w:r w:rsidRPr="00177B6D">
        <w:tab/>
        <w:t>(4)</w:t>
      </w:r>
      <w:r w:rsidRPr="00177B6D">
        <w:tab/>
      </w:r>
      <w:r w:rsidR="00CC4F01" w:rsidRPr="00177B6D">
        <w:t>Paragraph (</w:t>
      </w:r>
      <w:r w:rsidRPr="00177B6D">
        <w:t xml:space="preserve">3)(a) does not apply in relation to particular information if the individual to whom the information relates consents in writing to the information being subject to the requirement in </w:t>
      </w:r>
      <w:r w:rsidR="00CC4F01" w:rsidRPr="00177B6D">
        <w:t>subsection (</w:t>
      </w:r>
      <w:r w:rsidRPr="00177B6D">
        <w:t>2).</w:t>
      </w:r>
    </w:p>
    <w:p w14:paraId="148CB975" w14:textId="77777777" w:rsidR="001E3862" w:rsidRPr="00177B6D" w:rsidRDefault="001E3862" w:rsidP="001E3862">
      <w:pPr>
        <w:pStyle w:val="ActHead5"/>
      </w:pPr>
      <w:bookmarkStart w:id="27" w:name="_Toc195097035"/>
      <w:r w:rsidRPr="004A520A">
        <w:rPr>
          <w:rStyle w:val="CharSectno"/>
        </w:rPr>
        <w:lastRenderedPageBreak/>
        <w:t>16A</w:t>
      </w:r>
      <w:r w:rsidRPr="00177B6D">
        <w:t xml:space="preserve">  Relevant employer to inform employee organisations of lodgement of public report</w:t>
      </w:r>
      <w:bookmarkEnd w:id="27"/>
    </w:p>
    <w:p w14:paraId="75B38223" w14:textId="141684ED" w:rsidR="001E3862" w:rsidRPr="00177B6D" w:rsidRDefault="001E3862" w:rsidP="001E3862">
      <w:pPr>
        <w:pStyle w:val="subsection"/>
      </w:pPr>
      <w:r w:rsidRPr="00177B6D">
        <w:tab/>
      </w:r>
      <w:r w:rsidRPr="00177B6D">
        <w:tab/>
        <w:t xml:space="preserve">A relevant employer must, </w:t>
      </w:r>
      <w:r w:rsidRPr="00177B6D">
        <w:rPr>
          <w:szCs w:val="22"/>
        </w:rPr>
        <w:t>within 7 days after</w:t>
      </w:r>
      <w:r w:rsidRPr="00177B6D">
        <w:t xml:space="preserve"> lodging a public report under </w:t>
      </w:r>
      <w:r w:rsidR="004A520A">
        <w:t>section 1</w:t>
      </w:r>
      <w:r w:rsidRPr="00177B6D">
        <w:t>3A, take all reasonable steps to inform each employee organisation, that has members who are employees of the employer, that the employer has lodged the report.</w:t>
      </w:r>
    </w:p>
    <w:p w14:paraId="0294613E" w14:textId="77777777" w:rsidR="001E3862" w:rsidRPr="00177B6D" w:rsidRDefault="001E3862" w:rsidP="001E3862">
      <w:pPr>
        <w:pStyle w:val="ActHead5"/>
      </w:pPr>
      <w:bookmarkStart w:id="28" w:name="_Toc195097036"/>
      <w:r w:rsidRPr="004A520A">
        <w:rPr>
          <w:rStyle w:val="CharSectno"/>
        </w:rPr>
        <w:t>16B</w:t>
      </w:r>
      <w:r w:rsidRPr="00177B6D">
        <w:t xml:space="preserve">  Relevant employer to inform employees and employee organisations of the opportunity to comment</w:t>
      </w:r>
      <w:bookmarkEnd w:id="28"/>
    </w:p>
    <w:p w14:paraId="116349FD" w14:textId="7A5F09D6" w:rsidR="001E3862" w:rsidRPr="00177B6D" w:rsidRDefault="001E3862" w:rsidP="001E3862">
      <w:pPr>
        <w:pStyle w:val="subsection"/>
      </w:pPr>
      <w:r w:rsidRPr="00177B6D">
        <w:tab/>
      </w:r>
      <w:r w:rsidRPr="00177B6D">
        <w:tab/>
        <w:t xml:space="preserve">A relevant employer must, when informing employees under </w:t>
      </w:r>
      <w:r w:rsidR="004A520A">
        <w:t>section 1</w:t>
      </w:r>
      <w:r w:rsidRPr="00177B6D">
        <w:t xml:space="preserve">6 or an employee organisation under </w:t>
      </w:r>
      <w:r w:rsidR="004A520A">
        <w:t>section 1</w:t>
      </w:r>
      <w:r w:rsidRPr="00177B6D">
        <w:t>6A, advise the employees or employee organisation that comments on the report may be given to the employer or to the Agency.</w:t>
      </w:r>
    </w:p>
    <w:p w14:paraId="291A26D0" w14:textId="77777777" w:rsidR="00C34586" w:rsidRPr="00177B6D" w:rsidRDefault="00C34586" w:rsidP="00C34586">
      <w:pPr>
        <w:pStyle w:val="ActHead5"/>
      </w:pPr>
      <w:bookmarkStart w:id="29" w:name="_Toc195097037"/>
      <w:r w:rsidRPr="004A520A">
        <w:rPr>
          <w:rStyle w:val="CharSectno"/>
          <w:rFonts w:eastAsiaTheme="minorHAnsi"/>
        </w:rPr>
        <w:t>16C</w:t>
      </w:r>
      <w:r w:rsidRPr="00177B6D">
        <w:t xml:space="preserve">  Certain reports to be given to relevant employer’s governing body</w:t>
      </w:r>
      <w:bookmarkEnd w:id="29"/>
    </w:p>
    <w:p w14:paraId="6B4FB102" w14:textId="77777777" w:rsidR="00C34586" w:rsidRPr="00177B6D" w:rsidRDefault="00C34586" w:rsidP="00C34586">
      <w:pPr>
        <w:pStyle w:val="SubsectionHead"/>
      </w:pPr>
      <w:r w:rsidRPr="00177B6D">
        <w:t>Executive summary reports</w:t>
      </w:r>
    </w:p>
    <w:p w14:paraId="6B468373" w14:textId="77777777" w:rsidR="00C34586" w:rsidRPr="00177B6D" w:rsidRDefault="00C34586" w:rsidP="00C34586">
      <w:pPr>
        <w:pStyle w:val="subsection"/>
      </w:pPr>
      <w:r w:rsidRPr="00177B6D">
        <w:tab/>
        <w:t>(1)</w:t>
      </w:r>
      <w:r w:rsidRPr="00177B6D">
        <w:tab/>
        <w:t>The CEO of a relevant employer must, after receiving from the Agency an executive summary report for the employer for a reporting period, cause a copy of the report to be given to each member of the employer’s governing body (if any).</w:t>
      </w:r>
    </w:p>
    <w:p w14:paraId="0B2DB802" w14:textId="77777777" w:rsidR="00C34586" w:rsidRPr="00177B6D" w:rsidRDefault="00C34586" w:rsidP="00C34586">
      <w:pPr>
        <w:pStyle w:val="SubsectionHead"/>
      </w:pPr>
      <w:r w:rsidRPr="00177B6D">
        <w:t>Industry benchmark reports</w:t>
      </w:r>
    </w:p>
    <w:p w14:paraId="73F8E77C" w14:textId="77777777" w:rsidR="00C34586" w:rsidRPr="00177B6D" w:rsidRDefault="00C34586" w:rsidP="00C34586">
      <w:pPr>
        <w:pStyle w:val="subsection"/>
      </w:pPr>
      <w:r w:rsidRPr="00177B6D">
        <w:tab/>
        <w:t>(2)</w:t>
      </w:r>
      <w:r w:rsidRPr="00177B6D">
        <w:tab/>
        <w:t>The CEO of a relevant employer must, as soon as reasonably practicable after receiving from the Agency an industry benchmark report for the employer for a reporting period, cause a copy of the report to be given to each member of the employer’s governing body (if any).</w:t>
      </w:r>
    </w:p>
    <w:p w14:paraId="2ED57A2E" w14:textId="77777777" w:rsidR="00C34586" w:rsidRPr="00177B6D" w:rsidRDefault="00C34586" w:rsidP="00C34586">
      <w:pPr>
        <w:pStyle w:val="SubsectionHead"/>
      </w:pPr>
      <w:r w:rsidRPr="00177B6D">
        <w:t>Giving reports together</w:t>
      </w:r>
    </w:p>
    <w:p w14:paraId="4EBD138C" w14:textId="77777777" w:rsidR="00C34586" w:rsidRPr="00177B6D" w:rsidRDefault="00C34586" w:rsidP="00C34586">
      <w:pPr>
        <w:pStyle w:val="subsection"/>
      </w:pPr>
      <w:r w:rsidRPr="00177B6D">
        <w:tab/>
        <w:t>(3)</w:t>
      </w:r>
      <w:r w:rsidRPr="00177B6D">
        <w:tab/>
        <w:t>If, as at the time a relevant employer receives an industry benchmark report for the employer for a reporting period from the Agency:</w:t>
      </w:r>
    </w:p>
    <w:p w14:paraId="46A3BDB9" w14:textId="77777777" w:rsidR="00C34586" w:rsidRPr="00177B6D" w:rsidRDefault="00C34586" w:rsidP="00C34586">
      <w:pPr>
        <w:pStyle w:val="paragraph"/>
      </w:pPr>
      <w:r w:rsidRPr="00177B6D">
        <w:lastRenderedPageBreak/>
        <w:tab/>
        <w:t>(a)</w:t>
      </w:r>
      <w:r w:rsidRPr="00177B6D">
        <w:tab/>
        <w:t>the employer has received from the Agency an executive summary report for the employer for the period; but</w:t>
      </w:r>
    </w:p>
    <w:p w14:paraId="12B23036" w14:textId="77777777" w:rsidR="00C34586" w:rsidRPr="00177B6D" w:rsidRDefault="00C34586" w:rsidP="00C34586">
      <w:pPr>
        <w:pStyle w:val="paragraph"/>
      </w:pPr>
      <w:r w:rsidRPr="00177B6D">
        <w:tab/>
        <w:t>(b)</w:t>
      </w:r>
      <w:r w:rsidRPr="00177B6D">
        <w:tab/>
        <w:t>copies of the executive summary report have not been given to members of the employer’s governing body as mentioned in subsection (1);</w:t>
      </w:r>
    </w:p>
    <w:p w14:paraId="58F03E77" w14:textId="77777777" w:rsidR="00C34586" w:rsidRPr="00177B6D" w:rsidRDefault="00C34586" w:rsidP="00C34586">
      <w:pPr>
        <w:pStyle w:val="subsection2"/>
      </w:pPr>
      <w:r w:rsidRPr="00177B6D">
        <w:t>then the CEO of the employer must cause the copies of the executive summary report to be given to the members of the governing body together with the copies of the industry benchmark report.</w:t>
      </w:r>
    </w:p>
    <w:p w14:paraId="69D5F7FD" w14:textId="77777777" w:rsidR="005B36AF" w:rsidRPr="00177B6D" w:rsidRDefault="005B36AF" w:rsidP="005B36AF">
      <w:pPr>
        <w:pStyle w:val="SubsectionHead"/>
      </w:pPr>
      <w:r w:rsidRPr="00177B6D">
        <w:t>Commonwealth entities</w:t>
      </w:r>
    </w:p>
    <w:p w14:paraId="509790CE" w14:textId="77777777" w:rsidR="005B36AF" w:rsidRPr="00177B6D" w:rsidRDefault="005B36AF" w:rsidP="005B36AF">
      <w:pPr>
        <w:pStyle w:val="subsection"/>
      </w:pPr>
      <w:r w:rsidRPr="00177B6D">
        <w:tab/>
        <w:t>(4)</w:t>
      </w:r>
      <w:r w:rsidRPr="00177B6D">
        <w:tab/>
        <w:t>If the relevant employer is a Commonwealth entity, a reference in this section to the CEO of the relevant employer is taken to be a reference to the accountable authority of the Commonwealth entity.</w:t>
      </w:r>
    </w:p>
    <w:p w14:paraId="13993393" w14:textId="77777777" w:rsidR="005B0542" w:rsidRPr="00177B6D" w:rsidRDefault="005B0542" w:rsidP="005B0542">
      <w:pPr>
        <w:pStyle w:val="ActHead5"/>
      </w:pPr>
      <w:bookmarkStart w:id="30" w:name="_Toc195097038"/>
      <w:r w:rsidRPr="004A520A">
        <w:rPr>
          <w:rStyle w:val="CharSectno"/>
        </w:rPr>
        <w:t>17</w:t>
      </w:r>
      <w:r w:rsidRPr="00177B6D">
        <w:t xml:space="preserve">  Agency may grant extensions</w:t>
      </w:r>
      <w:bookmarkEnd w:id="30"/>
    </w:p>
    <w:p w14:paraId="775C47CB" w14:textId="208A3164" w:rsidR="005B0542" w:rsidRPr="00177B6D" w:rsidRDefault="005B0542" w:rsidP="005B0542">
      <w:pPr>
        <w:pStyle w:val="subsection"/>
      </w:pPr>
      <w:r w:rsidRPr="00177B6D">
        <w:tab/>
        <w:t>(1)</w:t>
      </w:r>
      <w:r w:rsidRPr="00177B6D">
        <w:tab/>
        <w:t xml:space="preserve">A relevant employer may, before the end of the </w:t>
      </w:r>
      <w:r w:rsidR="00160A95" w:rsidRPr="00177B6D">
        <w:t>relevant period</w:t>
      </w:r>
      <w:r w:rsidRPr="00177B6D">
        <w:t xml:space="preserve"> within which the relevant employer is required to lodge with the Agency a public report under </w:t>
      </w:r>
      <w:r w:rsidR="004A520A">
        <w:t>section 1</w:t>
      </w:r>
      <w:r w:rsidRPr="00177B6D">
        <w:t>3B, apply to the Agency to extend the period for a further period to enable the employer to lodge the public report.</w:t>
      </w:r>
    </w:p>
    <w:p w14:paraId="2A3B3C32" w14:textId="77777777" w:rsidR="005B0542" w:rsidRPr="00177B6D" w:rsidRDefault="005B0542" w:rsidP="005B0542">
      <w:pPr>
        <w:pStyle w:val="subsection"/>
      </w:pPr>
      <w:r w:rsidRPr="00177B6D">
        <w:tab/>
        <w:t>(2)</w:t>
      </w:r>
      <w:r w:rsidRPr="00177B6D">
        <w:tab/>
        <w:t>Where the Agency:</w:t>
      </w:r>
    </w:p>
    <w:p w14:paraId="3D8110F9" w14:textId="77777777" w:rsidR="005B0542" w:rsidRPr="00177B6D" w:rsidRDefault="005B0542" w:rsidP="005B0542">
      <w:pPr>
        <w:pStyle w:val="paragraph"/>
      </w:pPr>
      <w:r w:rsidRPr="00177B6D">
        <w:tab/>
        <w:t>(a)</w:t>
      </w:r>
      <w:r w:rsidRPr="00177B6D">
        <w:tab/>
        <w:t xml:space="preserve">has received a request under </w:t>
      </w:r>
      <w:r w:rsidR="00CC4F01" w:rsidRPr="00177B6D">
        <w:t>subsection (</w:t>
      </w:r>
      <w:r w:rsidRPr="00177B6D">
        <w:t>1) to extend a period in respect of a report; and</w:t>
      </w:r>
    </w:p>
    <w:p w14:paraId="1B74ECE3" w14:textId="77777777" w:rsidR="005B0542" w:rsidRPr="00177B6D" w:rsidRDefault="005B0542" w:rsidP="005B0542">
      <w:pPr>
        <w:pStyle w:val="paragraph"/>
        <w:keepNext/>
      </w:pPr>
      <w:r w:rsidRPr="00177B6D">
        <w:tab/>
        <w:t>(b)</w:t>
      </w:r>
      <w:r w:rsidRPr="00177B6D">
        <w:tab/>
        <w:t>considers that there are reasonable grounds for extending the period;</w:t>
      </w:r>
    </w:p>
    <w:p w14:paraId="6FB07E6E" w14:textId="77777777" w:rsidR="005B0542" w:rsidRPr="00177B6D" w:rsidRDefault="005B0542" w:rsidP="005B0542">
      <w:pPr>
        <w:pStyle w:val="subsection2"/>
      </w:pPr>
      <w:r w:rsidRPr="00177B6D">
        <w:t>the Agency may grant an extension in respect of the report for such period, not exceeding 6 months, as the Agency thinks fit.</w:t>
      </w:r>
    </w:p>
    <w:p w14:paraId="58B6BB15" w14:textId="6B62CC0A" w:rsidR="00C45869" w:rsidRPr="00177B6D" w:rsidRDefault="004A520A" w:rsidP="00C45869">
      <w:pPr>
        <w:pStyle w:val="ActHead3"/>
      </w:pPr>
      <w:bookmarkStart w:id="31" w:name="_Toc195097039"/>
      <w:r w:rsidRPr="004A520A">
        <w:rPr>
          <w:rStyle w:val="CharDivNo"/>
        </w:rPr>
        <w:lastRenderedPageBreak/>
        <w:t>Division 2</w:t>
      </w:r>
      <w:r w:rsidR="00C45869" w:rsidRPr="00177B6D">
        <w:t>—</w:t>
      </w:r>
      <w:r w:rsidR="00C45869" w:rsidRPr="004A520A">
        <w:rPr>
          <w:rStyle w:val="CharDivText"/>
        </w:rPr>
        <w:t>Gender equality targets</w:t>
      </w:r>
      <w:bookmarkEnd w:id="31"/>
    </w:p>
    <w:p w14:paraId="7533F32F" w14:textId="77777777" w:rsidR="00C45869" w:rsidRPr="00177B6D" w:rsidRDefault="00C45869" w:rsidP="00C45869">
      <w:pPr>
        <w:pStyle w:val="ActHead5"/>
      </w:pPr>
      <w:bookmarkStart w:id="32" w:name="_Toc195097040"/>
      <w:r w:rsidRPr="004A520A">
        <w:rPr>
          <w:rStyle w:val="CharSectno"/>
          <w:rFonts w:eastAsiaTheme="minorHAnsi"/>
        </w:rPr>
        <w:t>17A</w:t>
      </w:r>
      <w:r w:rsidRPr="00177B6D">
        <w:t xml:space="preserve">  Target cycles</w:t>
      </w:r>
      <w:bookmarkEnd w:id="32"/>
    </w:p>
    <w:p w14:paraId="65055B1E" w14:textId="32D051C6" w:rsidR="00C45869" w:rsidRPr="00177B6D" w:rsidRDefault="00C45869" w:rsidP="00C45869">
      <w:pPr>
        <w:pStyle w:val="subsection"/>
      </w:pPr>
      <w:r w:rsidRPr="00177B6D">
        <w:tab/>
        <w:t>(1)</w:t>
      </w:r>
      <w:r w:rsidRPr="00177B6D">
        <w:tab/>
        <w:t xml:space="preserve">A </w:t>
      </w:r>
      <w:r w:rsidRPr="00177B6D">
        <w:rPr>
          <w:b/>
          <w:i/>
        </w:rPr>
        <w:t>target cycle</w:t>
      </w:r>
      <w:r w:rsidRPr="00177B6D">
        <w:t xml:space="preserve"> for a designated relevant employer is a 3</w:t>
      </w:r>
      <w:r w:rsidR="004A520A">
        <w:noBreakHyphen/>
      </w:r>
      <w:r w:rsidRPr="00177B6D">
        <w:t>year period that begins on the same day as the next reporting period following a reporting period for a public report in which the employer has selected gender equality targets in accordance with sub</w:t>
      </w:r>
      <w:r w:rsidR="004A520A">
        <w:t>section 1</w:t>
      </w:r>
      <w:r w:rsidRPr="00177B6D">
        <w:t>3(3AA).</w:t>
      </w:r>
    </w:p>
    <w:p w14:paraId="19857048" w14:textId="77777777" w:rsidR="00C45869" w:rsidRPr="00177B6D" w:rsidRDefault="00C45869" w:rsidP="00C45869">
      <w:pPr>
        <w:pStyle w:val="subsection"/>
      </w:pPr>
      <w:r w:rsidRPr="00177B6D">
        <w:tab/>
        <w:t>(2)</w:t>
      </w:r>
      <w:r w:rsidRPr="00177B6D">
        <w:tab/>
        <w:t>If an employer ceases, in accordance with subsection 4A(2), to be a designated relevant employer:</w:t>
      </w:r>
    </w:p>
    <w:p w14:paraId="2F314097" w14:textId="77777777" w:rsidR="00C45869" w:rsidRPr="00177B6D" w:rsidRDefault="00C45869" w:rsidP="00C45869">
      <w:pPr>
        <w:pStyle w:val="paragraph"/>
      </w:pPr>
      <w:r w:rsidRPr="00177B6D">
        <w:tab/>
        <w:t>(a)</w:t>
      </w:r>
      <w:r w:rsidRPr="00177B6D">
        <w:tab/>
        <w:t>the employer does not have a target cycle; and</w:t>
      </w:r>
    </w:p>
    <w:p w14:paraId="0F87B0CF" w14:textId="6A247C52" w:rsidR="00C45869" w:rsidRPr="00177B6D" w:rsidRDefault="00C45869" w:rsidP="00C45869">
      <w:pPr>
        <w:pStyle w:val="paragraph"/>
      </w:pPr>
      <w:r w:rsidRPr="00177B6D">
        <w:tab/>
        <w:t>(b)</w:t>
      </w:r>
      <w:r w:rsidRPr="00177B6D">
        <w:tab/>
      </w:r>
      <w:r w:rsidR="004A520A">
        <w:t>section 1</w:t>
      </w:r>
      <w:r w:rsidRPr="00177B6D">
        <w:t>7C does not apply to the employer in relation to a target cycle that the employer had immediately before ceasing to be a designated relevant employer.</w:t>
      </w:r>
    </w:p>
    <w:p w14:paraId="6396A168" w14:textId="77777777" w:rsidR="00C45869" w:rsidRPr="00177B6D" w:rsidRDefault="00C45869" w:rsidP="00C45869">
      <w:pPr>
        <w:pStyle w:val="notetext"/>
      </w:pPr>
      <w:r w:rsidRPr="00177B6D">
        <w:t>Note:</w:t>
      </w:r>
      <w:r w:rsidRPr="00177B6D">
        <w:tab/>
        <w:t>If the employer later becomes a designated relevant employer again, the employer’s new target cycle will be worked out in accordance with subsection (1) of this section.</w:t>
      </w:r>
    </w:p>
    <w:p w14:paraId="24BAF311" w14:textId="77777777" w:rsidR="00C45869" w:rsidRPr="00177B6D" w:rsidRDefault="00C45869" w:rsidP="00C45869">
      <w:pPr>
        <w:pStyle w:val="ActHead5"/>
      </w:pPr>
      <w:bookmarkStart w:id="33" w:name="_Toc195097041"/>
      <w:r w:rsidRPr="004A520A">
        <w:rPr>
          <w:rStyle w:val="CharSectno"/>
          <w:rFonts w:eastAsiaTheme="minorHAnsi"/>
        </w:rPr>
        <w:t>17B</w:t>
      </w:r>
      <w:r w:rsidRPr="00177B6D">
        <w:t xml:space="preserve">  Minister to set gender equality targets and selection rules</w:t>
      </w:r>
      <w:bookmarkEnd w:id="33"/>
    </w:p>
    <w:p w14:paraId="330B9650" w14:textId="77777777" w:rsidR="00C45869" w:rsidRPr="00177B6D" w:rsidRDefault="00C45869" w:rsidP="00C45869">
      <w:pPr>
        <w:pStyle w:val="subsection"/>
      </w:pPr>
      <w:r w:rsidRPr="00177B6D">
        <w:tab/>
        <w:t>(1)</w:t>
      </w:r>
      <w:r w:rsidRPr="00177B6D">
        <w:tab/>
        <w:t>The Minister must, by legislative instrument:</w:t>
      </w:r>
    </w:p>
    <w:p w14:paraId="5E924B4F" w14:textId="77777777" w:rsidR="00C45869" w:rsidRPr="00177B6D" w:rsidRDefault="00C45869" w:rsidP="00C45869">
      <w:pPr>
        <w:pStyle w:val="paragraph"/>
      </w:pPr>
      <w:r w:rsidRPr="00177B6D">
        <w:tab/>
        <w:t>(a)</w:t>
      </w:r>
      <w:r w:rsidRPr="00177B6D">
        <w:tab/>
        <w:t>set targets in relation to specified gender equality indicators and specified target cycles; and</w:t>
      </w:r>
    </w:p>
    <w:p w14:paraId="2D600425" w14:textId="77777777" w:rsidR="00C45869" w:rsidRPr="00177B6D" w:rsidRDefault="00C45869" w:rsidP="00C45869">
      <w:pPr>
        <w:pStyle w:val="paragraph"/>
      </w:pPr>
      <w:r w:rsidRPr="00177B6D">
        <w:tab/>
        <w:t>(b)</w:t>
      </w:r>
      <w:r w:rsidRPr="00177B6D">
        <w:tab/>
        <w:t>specify rules for the selection of targets by designated relevant employers in specified target cycles.</w:t>
      </w:r>
    </w:p>
    <w:p w14:paraId="578BCF3D" w14:textId="77777777" w:rsidR="00C45869" w:rsidRPr="00177B6D" w:rsidRDefault="00C45869" w:rsidP="00C45869">
      <w:pPr>
        <w:pStyle w:val="notetext"/>
      </w:pPr>
      <w:r w:rsidRPr="00177B6D">
        <w:t>Note 1:</w:t>
      </w:r>
      <w:r w:rsidRPr="00177B6D">
        <w:tab/>
        <w:t>The Minister must consult the Agency before making legislative instruments under this Act (see section 33A).</w:t>
      </w:r>
    </w:p>
    <w:p w14:paraId="299A4229" w14:textId="7DDFC926" w:rsidR="00C45869" w:rsidRPr="00177B6D" w:rsidRDefault="00C45869" w:rsidP="00C45869">
      <w:pPr>
        <w:pStyle w:val="notetext"/>
      </w:pPr>
      <w:r w:rsidRPr="00177B6D">
        <w:t>Note 2:</w:t>
      </w:r>
      <w:r w:rsidRPr="00177B6D">
        <w:tab/>
        <w:t>For specification by class, see sub</w:t>
      </w:r>
      <w:r w:rsidR="004A520A">
        <w:t>section 1</w:t>
      </w:r>
      <w:r w:rsidRPr="00177B6D">
        <w:t xml:space="preserve">3(3) of the </w:t>
      </w:r>
      <w:r w:rsidRPr="00177B6D">
        <w:rPr>
          <w:i/>
        </w:rPr>
        <w:t>Legislation Act 2003</w:t>
      </w:r>
      <w:r w:rsidRPr="00177B6D">
        <w:t>.</w:t>
      </w:r>
    </w:p>
    <w:p w14:paraId="1DE8E10F" w14:textId="77777777" w:rsidR="00C45869" w:rsidRPr="00177B6D" w:rsidRDefault="00C45869" w:rsidP="00C45869">
      <w:pPr>
        <w:pStyle w:val="subsection"/>
      </w:pPr>
      <w:r w:rsidRPr="00177B6D">
        <w:tab/>
        <w:t>(2)</w:t>
      </w:r>
      <w:r w:rsidRPr="00177B6D">
        <w:tab/>
        <w:t xml:space="preserve">A target set by an instrument in force under subsection (1) is a </w:t>
      </w:r>
      <w:r w:rsidRPr="00177B6D">
        <w:rPr>
          <w:b/>
          <w:i/>
        </w:rPr>
        <w:t>gender equality target</w:t>
      </w:r>
      <w:r w:rsidRPr="00177B6D">
        <w:t>.</w:t>
      </w:r>
    </w:p>
    <w:p w14:paraId="0A0EBED7" w14:textId="77777777" w:rsidR="00C45869" w:rsidRPr="00177B6D" w:rsidRDefault="00C45869" w:rsidP="00C45869">
      <w:pPr>
        <w:pStyle w:val="subsection"/>
      </w:pPr>
      <w:r w:rsidRPr="00177B6D">
        <w:tab/>
        <w:t>(3)</w:t>
      </w:r>
      <w:r w:rsidRPr="00177B6D">
        <w:tab/>
        <w:t>Rules specified in accordance with paragraph (1)(b) may (without limiting that paragraph) include rules that do any of the following:</w:t>
      </w:r>
    </w:p>
    <w:p w14:paraId="72BBEF08" w14:textId="77777777" w:rsidR="00C45869" w:rsidRPr="00177B6D" w:rsidRDefault="00C45869" w:rsidP="00C45869">
      <w:pPr>
        <w:pStyle w:val="paragraph"/>
      </w:pPr>
      <w:r w:rsidRPr="00177B6D">
        <w:tab/>
        <w:t>(a)</w:t>
      </w:r>
      <w:r w:rsidRPr="00177B6D">
        <w:tab/>
        <w:t>provide for classes of targets;</w:t>
      </w:r>
    </w:p>
    <w:p w14:paraId="2ECDF733" w14:textId="77777777" w:rsidR="00C45869" w:rsidRPr="00177B6D" w:rsidRDefault="00C45869" w:rsidP="00C45869">
      <w:pPr>
        <w:pStyle w:val="paragraph"/>
      </w:pPr>
      <w:r w:rsidRPr="00177B6D">
        <w:lastRenderedPageBreak/>
        <w:tab/>
        <w:t>(b)</w:t>
      </w:r>
      <w:r w:rsidRPr="00177B6D">
        <w:tab/>
        <w:t>require the selection of a specified number of targets;</w:t>
      </w:r>
    </w:p>
    <w:p w14:paraId="2E912B95" w14:textId="77777777" w:rsidR="00C45869" w:rsidRPr="00177B6D" w:rsidRDefault="00C45869" w:rsidP="00C45869">
      <w:pPr>
        <w:pStyle w:val="paragraph"/>
      </w:pPr>
      <w:r w:rsidRPr="00177B6D">
        <w:tab/>
        <w:t>(c)</w:t>
      </w:r>
      <w:r w:rsidRPr="00177B6D">
        <w:tab/>
        <w:t>require the selection of a specified number of targets of a specified class;</w:t>
      </w:r>
    </w:p>
    <w:p w14:paraId="1241B49F" w14:textId="77777777" w:rsidR="00C45869" w:rsidRPr="00177B6D" w:rsidRDefault="00C45869" w:rsidP="00C45869">
      <w:pPr>
        <w:pStyle w:val="paragraph"/>
      </w:pPr>
      <w:r w:rsidRPr="00177B6D">
        <w:tab/>
        <w:t>(d)</w:t>
      </w:r>
      <w:r w:rsidRPr="00177B6D">
        <w:tab/>
        <w:t>require a designated relevant employer to nominate the level of improvement against a specific target that is required for the employer to have met the target.</w:t>
      </w:r>
    </w:p>
    <w:p w14:paraId="7DBAE1CB" w14:textId="77777777" w:rsidR="00C45869" w:rsidRPr="00177B6D" w:rsidRDefault="00C45869" w:rsidP="00C45869">
      <w:pPr>
        <w:pStyle w:val="subsection"/>
      </w:pPr>
      <w:r w:rsidRPr="00177B6D">
        <w:tab/>
        <w:t>(4)</w:t>
      </w:r>
      <w:r w:rsidRPr="00177B6D">
        <w:tab/>
        <w:t>An instrument under subsection (1) has no effect in relation to a target cycle unless it is made before the first day of that cycle.</w:t>
      </w:r>
    </w:p>
    <w:p w14:paraId="05752522" w14:textId="77777777" w:rsidR="00C45869" w:rsidRPr="00177B6D" w:rsidRDefault="00C45869" w:rsidP="00C45869">
      <w:pPr>
        <w:pStyle w:val="ActHead5"/>
      </w:pPr>
      <w:bookmarkStart w:id="34" w:name="_Toc195097042"/>
      <w:r w:rsidRPr="004A520A">
        <w:rPr>
          <w:rStyle w:val="CharSectno"/>
          <w:rFonts w:eastAsiaTheme="minorHAnsi"/>
        </w:rPr>
        <w:t>17C</w:t>
      </w:r>
      <w:r w:rsidRPr="00177B6D">
        <w:t xml:space="preserve">  Failure to comply with gender equality targets</w:t>
      </w:r>
      <w:bookmarkEnd w:id="34"/>
    </w:p>
    <w:p w14:paraId="7A1E2A8B" w14:textId="3B324FE7" w:rsidR="00C45869" w:rsidRPr="00177B6D" w:rsidRDefault="00C45869" w:rsidP="00C45869">
      <w:pPr>
        <w:pStyle w:val="subsection"/>
      </w:pPr>
      <w:r w:rsidRPr="00177B6D">
        <w:tab/>
      </w:r>
      <w:r w:rsidRPr="00177B6D">
        <w:tab/>
        <w:t xml:space="preserve">For the purposes of </w:t>
      </w:r>
      <w:r w:rsidR="004A520A">
        <w:t>section 1</w:t>
      </w:r>
      <w:r w:rsidRPr="00177B6D">
        <w:t>9D, a designated relevant employer is taken to fail to comply with this Act if, at the end of a target cycle for the employer, the employer has not, without reasonable excuse, in respect of each gender equality target selected by the employer for the target cycle, either:</w:t>
      </w:r>
    </w:p>
    <w:p w14:paraId="7253023E" w14:textId="77777777" w:rsidR="00C45869" w:rsidRPr="00177B6D" w:rsidRDefault="00C45869" w:rsidP="00C45869">
      <w:pPr>
        <w:pStyle w:val="paragraph"/>
      </w:pPr>
      <w:r w:rsidRPr="00177B6D">
        <w:tab/>
        <w:t>(a)</w:t>
      </w:r>
      <w:r w:rsidRPr="00177B6D">
        <w:tab/>
        <w:t>met the target; or</w:t>
      </w:r>
    </w:p>
    <w:p w14:paraId="7589E627" w14:textId="77777777" w:rsidR="00C45869" w:rsidRPr="00177B6D" w:rsidRDefault="00C45869" w:rsidP="00C45869">
      <w:pPr>
        <w:pStyle w:val="paragraph"/>
      </w:pPr>
      <w:r w:rsidRPr="00177B6D">
        <w:tab/>
        <w:t>(b)</w:t>
      </w:r>
      <w:r w:rsidRPr="00177B6D">
        <w:tab/>
        <w:t>demonstrated improvement against the target in the public report for the final year of the target cycle, as compared to the baseline report for the target cycle.</w:t>
      </w:r>
    </w:p>
    <w:p w14:paraId="464F5A15" w14:textId="1829F78A" w:rsidR="00C45869" w:rsidRPr="00177B6D" w:rsidRDefault="00C45869" w:rsidP="00C45869">
      <w:pPr>
        <w:pStyle w:val="notetext"/>
      </w:pPr>
      <w:r w:rsidRPr="00177B6D">
        <w:t>Note:</w:t>
      </w:r>
      <w:r w:rsidRPr="00177B6D">
        <w:tab/>
        <w:t xml:space="preserve">If the employer does not have a reasonable excuse for the failure, the Agency may name the employer in a report given to the Minister or by electronic or other means: see </w:t>
      </w:r>
      <w:r w:rsidR="004A520A">
        <w:t>section 1</w:t>
      </w:r>
      <w:r w:rsidRPr="00177B6D">
        <w:t>9D.</w:t>
      </w:r>
    </w:p>
    <w:p w14:paraId="60EF241E" w14:textId="2E3BF24D" w:rsidR="008027D8" w:rsidRPr="00177B6D" w:rsidRDefault="008027D8" w:rsidP="002774D6">
      <w:pPr>
        <w:pStyle w:val="ActHead2"/>
        <w:pageBreakBefore/>
      </w:pPr>
      <w:bookmarkStart w:id="35" w:name="_Toc195097043"/>
      <w:r w:rsidRPr="004A520A">
        <w:rPr>
          <w:rStyle w:val="CharPartNo"/>
        </w:rPr>
        <w:lastRenderedPageBreak/>
        <w:t>Part IVA</w:t>
      </w:r>
      <w:r w:rsidRPr="00177B6D">
        <w:t>—</w:t>
      </w:r>
      <w:r w:rsidRPr="004A520A">
        <w:rPr>
          <w:rStyle w:val="CharPartText"/>
        </w:rPr>
        <w:t>Reviewing compliance with this Act and consequences of non</w:t>
      </w:r>
      <w:r w:rsidR="004A520A" w:rsidRPr="004A520A">
        <w:rPr>
          <w:rStyle w:val="CharPartText"/>
        </w:rPr>
        <w:noBreakHyphen/>
      </w:r>
      <w:r w:rsidRPr="004A520A">
        <w:rPr>
          <w:rStyle w:val="CharPartText"/>
        </w:rPr>
        <w:t>compliance</w:t>
      </w:r>
      <w:bookmarkEnd w:id="35"/>
    </w:p>
    <w:p w14:paraId="51496AF0" w14:textId="77777777" w:rsidR="008027D8" w:rsidRPr="00177B6D" w:rsidRDefault="004E0D3F" w:rsidP="008027D8">
      <w:pPr>
        <w:pStyle w:val="Header"/>
      </w:pPr>
      <w:r w:rsidRPr="004A520A">
        <w:rPr>
          <w:rStyle w:val="CharDivNo"/>
        </w:rPr>
        <w:t xml:space="preserve"> </w:t>
      </w:r>
      <w:r w:rsidRPr="004A520A">
        <w:rPr>
          <w:rStyle w:val="CharDivText"/>
        </w:rPr>
        <w:t xml:space="preserve"> </w:t>
      </w:r>
    </w:p>
    <w:p w14:paraId="08986371" w14:textId="77777777" w:rsidR="008027D8" w:rsidRPr="00177B6D" w:rsidRDefault="008027D8" w:rsidP="008027D8">
      <w:pPr>
        <w:pStyle w:val="ActHead5"/>
      </w:pPr>
      <w:bookmarkStart w:id="36" w:name="_Toc195097044"/>
      <w:r w:rsidRPr="004A520A">
        <w:rPr>
          <w:rStyle w:val="CharSectno"/>
        </w:rPr>
        <w:t>18</w:t>
      </w:r>
      <w:r w:rsidRPr="00177B6D">
        <w:t xml:space="preserve">  Simplified outline</w:t>
      </w:r>
      <w:bookmarkEnd w:id="36"/>
    </w:p>
    <w:p w14:paraId="592B88E4" w14:textId="77777777" w:rsidR="008027D8" w:rsidRPr="00177B6D" w:rsidRDefault="008027D8" w:rsidP="008027D8">
      <w:pPr>
        <w:pStyle w:val="subsection"/>
      </w:pPr>
      <w:r w:rsidRPr="00177B6D">
        <w:tab/>
      </w:r>
      <w:r w:rsidRPr="00177B6D">
        <w:tab/>
        <w:t>The following is a simplified outline of this Part:</w:t>
      </w:r>
    </w:p>
    <w:p w14:paraId="762F7E6C" w14:textId="77777777" w:rsidR="008027D8" w:rsidRPr="00177B6D" w:rsidRDefault="008027D8" w:rsidP="008027D8">
      <w:pPr>
        <w:pStyle w:val="BoxList"/>
      </w:pPr>
      <w:r w:rsidRPr="00177B6D">
        <w:t>•</w:t>
      </w:r>
      <w:r w:rsidRPr="00177B6D">
        <w:tab/>
        <w:t xml:space="preserve">The Minister </w:t>
      </w:r>
      <w:r w:rsidR="00DA5CFA" w:rsidRPr="00177B6D">
        <w:t>must set gender equality standards</w:t>
      </w:r>
      <w:r w:rsidRPr="00177B6D">
        <w:t xml:space="preserve"> in relation to gender equality indicators, relevant employers and reporting periods.</w:t>
      </w:r>
    </w:p>
    <w:p w14:paraId="1711EF25" w14:textId="77777777" w:rsidR="008027D8" w:rsidRPr="00177B6D" w:rsidRDefault="008027D8" w:rsidP="008027D8">
      <w:pPr>
        <w:pStyle w:val="BoxList"/>
      </w:pPr>
      <w:r w:rsidRPr="00177B6D">
        <w:t>•</w:t>
      </w:r>
      <w:r w:rsidRPr="00177B6D">
        <w:tab/>
        <w:t>The Agency may review a relevant employer’s compliance with this Act by seeking further information from the employer. The Agency may do this on a random basis.</w:t>
      </w:r>
    </w:p>
    <w:p w14:paraId="2610264D" w14:textId="77777777" w:rsidR="008027D8" w:rsidRPr="00177B6D" w:rsidRDefault="008027D8" w:rsidP="008027D8">
      <w:pPr>
        <w:pStyle w:val="BoxList"/>
      </w:pPr>
      <w:r w:rsidRPr="00177B6D">
        <w:t>•</w:t>
      </w:r>
      <w:r w:rsidRPr="00177B6D">
        <w:tab/>
        <w:t>If a relevant employer fails to comply with this Act, the Agency may name the employer in a report given to the Minister or by electronic or other means (for example, on the Agency’s website or in a newspaper).</w:t>
      </w:r>
    </w:p>
    <w:p w14:paraId="549A12DE" w14:textId="6A37A6A4" w:rsidR="008027D8" w:rsidRPr="00177B6D" w:rsidRDefault="008027D8" w:rsidP="008027D8">
      <w:pPr>
        <w:pStyle w:val="BoxList"/>
      </w:pPr>
      <w:r w:rsidRPr="00177B6D">
        <w:t>•</w:t>
      </w:r>
      <w:r w:rsidRPr="00177B6D">
        <w:tab/>
        <w:t xml:space="preserve">Examples of a failure to comply with this Act are a failure by a relevant employer to lodge a public report on time or to give the Agency information under </w:t>
      </w:r>
      <w:r w:rsidR="004A520A">
        <w:t>section 1</w:t>
      </w:r>
      <w:r w:rsidRPr="00177B6D">
        <w:t>9A.</w:t>
      </w:r>
    </w:p>
    <w:p w14:paraId="35D29FA6" w14:textId="77777777" w:rsidR="008027D8" w:rsidRPr="00177B6D" w:rsidRDefault="008027D8" w:rsidP="008027D8">
      <w:pPr>
        <w:pStyle w:val="BoxList"/>
      </w:pPr>
      <w:r w:rsidRPr="00177B6D">
        <w:t>•</w:t>
      </w:r>
      <w:r w:rsidRPr="00177B6D">
        <w:tab/>
        <w:t>If the Agency proposes to name a relevant employer, the Agency must give the employer notice in writing of the proposal and the reasons for the proposal.</w:t>
      </w:r>
    </w:p>
    <w:p w14:paraId="6C436457" w14:textId="77777777" w:rsidR="008027D8" w:rsidRPr="00177B6D" w:rsidRDefault="008027D8" w:rsidP="008027D8">
      <w:pPr>
        <w:pStyle w:val="BoxList"/>
      </w:pPr>
      <w:r w:rsidRPr="00177B6D">
        <w:t>•</w:t>
      </w:r>
      <w:r w:rsidRPr="00177B6D">
        <w:tab/>
      </w:r>
      <w:r w:rsidRPr="00177B6D">
        <w:rPr>
          <w:iCs/>
          <w:szCs w:val="22"/>
        </w:rPr>
        <w:t>Relevant employers failing to comply with this Act may not be eligible to compete for contracts under the Commonwealth procurement framework and may not be eligible for Commonwealth grants or other financial assistance</w:t>
      </w:r>
      <w:r w:rsidRPr="00177B6D">
        <w:rPr>
          <w:iCs/>
          <w:color w:val="1F497D"/>
          <w:szCs w:val="22"/>
        </w:rPr>
        <w:t>.</w:t>
      </w:r>
    </w:p>
    <w:p w14:paraId="706D50EB" w14:textId="77777777" w:rsidR="008027D8" w:rsidRPr="00177B6D" w:rsidRDefault="008027D8" w:rsidP="008027D8">
      <w:pPr>
        <w:pStyle w:val="ActHead5"/>
      </w:pPr>
      <w:bookmarkStart w:id="37" w:name="_Toc195097045"/>
      <w:r w:rsidRPr="004A520A">
        <w:rPr>
          <w:rStyle w:val="CharSectno"/>
        </w:rPr>
        <w:lastRenderedPageBreak/>
        <w:t>19</w:t>
      </w:r>
      <w:r w:rsidRPr="00177B6D">
        <w:t xml:space="preserve">  Minister </w:t>
      </w:r>
      <w:r w:rsidR="00DA5CFA" w:rsidRPr="00177B6D">
        <w:t>to set gender equality standards</w:t>
      </w:r>
      <w:r w:rsidRPr="00177B6D">
        <w:t xml:space="preserve"> in relation to gender equality indicators</w:t>
      </w:r>
      <w:bookmarkEnd w:id="37"/>
    </w:p>
    <w:p w14:paraId="2CC63631" w14:textId="77777777" w:rsidR="00DA5CFA" w:rsidRPr="00177B6D" w:rsidRDefault="00DA5CFA" w:rsidP="00DA5CFA">
      <w:pPr>
        <w:pStyle w:val="subsection"/>
      </w:pPr>
      <w:r w:rsidRPr="00177B6D">
        <w:tab/>
        <w:t>(1)</w:t>
      </w:r>
      <w:r w:rsidRPr="00177B6D">
        <w:tab/>
        <w:t>The Minister must, by legislative instrument, set standards in relation to specified gender equality indicators, specified relevant employers and specified reporting periods.</w:t>
      </w:r>
    </w:p>
    <w:p w14:paraId="4B19C227" w14:textId="77777777" w:rsidR="00DA5CFA" w:rsidRPr="00177B6D" w:rsidRDefault="00DA5CFA" w:rsidP="00DA5CFA">
      <w:pPr>
        <w:pStyle w:val="notetext"/>
      </w:pPr>
      <w:r w:rsidRPr="00177B6D">
        <w:t>Note 1:</w:t>
      </w:r>
      <w:r w:rsidRPr="00177B6D">
        <w:tab/>
        <w:t>The Minister must consult the Agency before making legislative instruments under this Act (see section 33A).</w:t>
      </w:r>
    </w:p>
    <w:p w14:paraId="363A2F88" w14:textId="60DCC796" w:rsidR="00DA5CFA" w:rsidRPr="00177B6D" w:rsidRDefault="00DA5CFA" w:rsidP="00DA5CFA">
      <w:pPr>
        <w:pStyle w:val="notetext"/>
      </w:pPr>
      <w:r w:rsidRPr="00177B6D">
        <w:t>Note 2:</w:t>
      </w:r>
      <w:r w:rsidRPr="00177B6D">
        <w:tab/>
        <w:t>For specification by class, see sub</w:t>
      </w:r>
      <w:r w:rsidR="004A520A">
        <w:t>section 1</w:t>
      </w:r>
      <w:r w:rsidRPr="00177B6D">
        <w:t xml:space="preserve">3(3) of the </w:t>
      </w:r>
      <w:r w:rsidRPr="00177B6D">
        <w:rPr>
          <w:i/>
        </w:rPr>
        <w:t>Legislation Act 2003</w:t>
      </w:r>
      <w:r w:rsidRPr="00177B6D">
        <w:t>.</w:t>
      </w:r>
    </w:p>
    <w:p w14:paraId="713E3451" w14:textId="77777777" w:rsidR="00DA5CFA" w:rsidRPr="00177B6D" w:rsidRDefault="00DA5CFA" w:rsidP="00DA5CFA">
      <w:pPr>
        <w:pStyle w:val="notetext"/>
        <w:spacing w:before="240"/>
      </w:pPr>
      <w:r w:rsidRPr="00177B6D">
        <w:t>Note 3:</w:t>
      </w:r>
      <w:r w:rsidRPr="00177B6D">
        <w:tab/>
        <w:t xml:space="preserve">An instrument under subsection (1) may make different provision with respect to different relevant employers and different reporting periods (see subsection 33(3A) of the </w:t>
      </w:r>
      <w:r w:rsidRPr="00177B6D">
        <w:rPr>
          <w:i/>
        </w:rPr>
        <w:t>Acts Interpretation Act 1901</w:t>
      </w:r>
      <w:r w:rsidRPr="00177B6D">
        <w:t>).</w:t>
      </w:r>
    </w:p>
    <w:p w14:paraId="7A6A054D" w14:textId="77777777" w:rsidR="00DA5CFA" w:rsidRPr="00177B6D" w:rsidRDefault="00DA5CFA" w:rsidP="00DA5CFA">
      <w:pPr>
        <w:pStyle w:val="subsection"/>
      </w:pPr>
      <w:r w:rsidRPr="00177B6D">
        <w:tab/>
        <w:t>(1A)</w:t>
      </w:r>
      <w:r w:rsidRPr="00177B6D">
        <w:tab/>
        <w:t xml:space="preserve">A standard set by an instrument in force under subsection (1) is to be known as a </w:t>
      </w:r>
      <w:r w:rsidRPr="00177B6D">
        <w:rPr>
          <w:b/>
          <w:i/>
        </w:rPr>
        <w:t>gender equality standard</w:t>
      </w:r>
      <w:r w:rsidRPr="00177B6D">
        <w:t>.</w:t>
      </w:r>
    </w:p>
    <w:p w14:paraId="505A612B" w14:textId="77777777" w:rsidR="008027D8" w:rsidRPr="00177B6D" w:rsidRDefault="008027D8" w:rsidP="008027D8">
      <w:pPr>
        <w:pStyle w:val="subsection"/>
      </w:pPr>
      <w:r w:rsidRPr="00177B6D">
        <w:tab/>
        <w:t>(2)</w:t>
      </w:r>
      <w:r w:rsidRPr="00177B6D">
        <w:tab/>
        <w:t xml:space="preserve">An instrument under </w:t>
      </w:r>
      <w:r w:rsidR="00CC4F01" w:rsidRPr="00177B6D">
        <w:t>subsection (</w:t>
      </w:r>
      <w:r w:rsidRPr="00177B6D">
        <w:t>1) has no effect in relation to a reporting period unless it is made before the first day of that reporting period.</w:t>
      </w:r>
    </w:p>
    <w:p w14:paraId="364E94C0" w14:textId="77777777" w:rsidR="008027D8" w:rsidRPr="00177B6D" w:rsidRDefault="008027D8" w:rsidP="008027D8">
      <w:pPr>
        <w:pStyle w:val="ActHead5"/>
      </w:pPr>
      <w:bookmarkStart w:id="38" w:name="_Toc195097046"/>
      <w:r w:rsidRPr="004A520A">
        <w:rPr>
          <w:rStyle w:val="CharSectno"/>
        </w:rPr>
        <w:t>19A</w:t>
      </w:r>
      <w:r w:rsidRPr="00177B6D">
        <w:t xml:space="preserve">  Agency may review compliance with Act</w:t>
      </w:r>
      <w:bookmarkEnd w:id="38"/>
    </w:p>
    <w:p w14:paraId="7FAD5353" w14:textId="77777777" w:rsidR="008027D8" w:rsidRPr="00177B6D" w:rsidRDefault="008027D8" w:rsidP="008027D8">
      <w:pPr>
        <w:pStyle w:val="subsection"/>
      </w:pPr>
      <w:r w:rsidRPr="00177B6D">
        <w:tab/>
        <w:t>(1)</w:t>
      </w:r>
      <w:r w:rsidRPr="00177B6D">
        <w:tab/>
        <w:t>The Agency may, by written notice, require a relevant employer to give the Agency information:</w:t>
      </w:r>
    </w:p>
    <w:p w14:paraId="3762A598" w14:textId="77777777" w:rsidR="008027D8" w:rsidRPr="00177B6D" w:rsidRDefault="008027D8" w:rsidP="008027D8">
      <w:pPr>
        <w:pStyle w:val="paragraph"/>
      </w:pPr>
      <w:r w:rsidRPr="00177B6D">
        <w:tab/>
        <w:t>(a)</w:t>
      </w:r>
      <w:r w:rsidRPr="00177B6D">
        <w:tab/>
        <w:t xml:space="preserve">that relates to the employer’s compliance with this Act or to the employer’s performance against the </w:t>
      </w:r>
      <w:r w:rsidR="00DA5CFA" w:rsidRPr="00177B6D">
        <w:t>gender equality standards</w:t>
      </w:r>
      <w:r w:rsidRPr="00177B6D">
        <w:t>; and</w:t>
      </w:r>
    </w:p>
    <w:p w14:paraId="5E77773B" w14:textId="77777777" w:rsidR="008027D8" w:rsidRPr="00177B6D" w:rsidRDefault="008027D8" w:rsidP="008027D8">
      <w:pPr>
        <w:pStyle w:val="paragraph"/>
      </w:pPr>
      <w:r w:rsidRPr="00177B6D">
        <w:tab/>
        <w:t>(b)</w:t>
      </w:r>
      <w:r w:rsidRPr="00177B6D">
        <w:tab/>
        <w:t>that is specified in the notice.</w:t>
      </w:r>
    </w:p>
    <w:p w14:paraId="2826096C" w14:textId="77777777" w:rsidR="008027D8" w:rsidRPr="00177B6D" w:rsidRDefault="008027D8" w:rsidP="008027D8">
      <w:pPr>
        <w:pStyle w:val="subsection"/>
      </w:pPr>
      <w:r w:rsidRPr="00177B6D">
        <w:tab/>
        <w:t>(2)</w:t>
      </w:r>
      <w:r w:rsidRPr="00177B6D">
        <w:tab/>
        <w:t>The notice must specify the period within which, and the manner in which, the information must be given.</w:t>
      </w:r>
    </w:p>
    <w:p w14:paraId="564438CB" w14:textId="77777777" w:rsidR="008027D8" w:rsidRPr="00177B6D" w:rsidRDefault="008027D8" w:rsidP="008027D8">
      <w:pPr>
        <w:pStyle w:val="subsection"/>
      </w:pPr>
      <w:r w:rsidRPr="00177B6D">
        <w:tab/>
        <w:t>(3)</w:t>
      </w:r>
      <w:r w:rsidRPr="00177B6D">
        <w:tab/>
        <w:t xml:space="preserve">A period specified in a notice under </w:t>
      </w:r>
      <w:r w:rsidR="00CC4F01" w:rsidRPr="00177B6D">
        <w:t>subsection (</w:t>
      </w:r>
      <w:r w:rsidRPr="00177B6D">
        <w:t>1) must be at least 14 days after the notice is given.</w:t>
      </w:r>
    </w:p>
    <w:p w14:paraId="1243A54E" w14:textId="77777777" w:rsidR="008027D8" w:rsidRPr="00177B6D" w:rsidRDefault="008027D8" w:rsidP="008027D8">
      <w:pPr>
        <w:pStyle w:val="notetext"/>
      </w:pPr>
      <w:r w:rsidRPr="00177B6D">
        <w:t>Note:</w:t>
      </w:r>
      <w:r w:rsidRPr="00177B6D">
        <w:tab/>
        <w:t>Sections</w:t>
      </w:r>
      <w:r w:rsidR="00CC4F01" w:rsidRPr="00177B6D">
        <w:t> </w:t>
      </w:r>
      <w:r w:rsidRPr="00177B6D">
        <w:t xml:space="preserve">137.1 and 137.2 of the </w:t>
      </w:r>
      <w:r w:rsidRPr="00177B6D">
        <w:rPr>
          <w:i/>
        </w:rPr>
        <w:t>Criminal Code</w:t>
      </w:r>
      <w:r w:rsidRPr="00177B6D">
        <w:t xml:space="preserve"> create offences for providing false or misleading information or documents.</w:t>
      </w:r>
    </w:p>
    <w:p w14:paraId="482967D8" w14:textId="77777777" w:rsidR="008027D8" w:rsidRPr="00177B6D" w:rsidRDefault="008027D8" w:rsidP="008027D8">
      <w:pPr>
        <w:pStyle w:val="ActHead5"/>
      </w:pPr>
      <w:bookmarkStart w:id="39" w:name="_Toc195097047"/>
      <w:r w:rsidRPr="004A520A">
        <w:rPr>
          <w:rStyle w:val="CharSectno"/>
        </w:rPr>
        <w:lastRenderedPageBreak/>
        <w:t>19B</w:t>
      </w:r>
      <w:r w:rsidRPr="00177B6D">
        <w:t xml:space="preserve">  Relevant employer fails to comply with Act if employer gives false or misleading information</w:t>
      </w:r>
      <w:bookmarkEnd w:id="39"/>
    </w:p>
    <w:p w14:paraId="7781A062" w14:textId="3BD5441A" w:rsidR="008027D8" w:rsidRPr="00177B6D" w:rsidRDefault="008027D8" w:rsidP="008027D8">
      <w:pPr>
        <w:pStyle w:val="subsection"/>
      </w:pPr>
      <w:r w:rsidRPr="00177B6D">
        <w:tab/>
      </w:r>
      <w:r w:rsidRPr="00177B6D">
        <w:tab/>
        <w:t xml:space="preserve">For the purposes of </w:t>
      </w:r>
      <w:r w:rsidR="004A520A">
        <w:t>section 1</w:t>
      </w:r>
      <w:r w:rsidRPr="00177B6D">
        <w:t>9D, a relevant employer is taken to fail to comply with this Act if:</w:t>
      </w:r>
    </w:p>
    <w:p w14:paraId="42F2C46A" w14:textId="151F555A" w:rsidR="008027D8" w:rsidRPr="00177B6D" w:rsidRDefault="008027D8" w:rsidP="008027D8">
      <w:pPr>
        <w:pStyle w:val="paragraph"/>
      </w:pPr>
      <w:r w:rsidRPr="00177B6D">
        <w:tab/>
        <w:t>(a)</w:t>
      </w:r>
      <w:r w:rsidRPr="00177B6D">
        <w:tab/>
        <w:t xml:space="preserve">the employer lodges a public report under </w:t>
      </w:r>
      <w:r w:rsidR="004A520A">
        <w:t>section 1</w:t>
      </w:r>
      <w:r w:rsidRPr="00177B6D">
        <w:t>3A and any information included in the report is false or misleading; or</w:t>
      </w:r>
    </w:p>
    <w:p w14:paraId="7665F73D" w14:textId="799010F6" w:rsidR="008027D8" w:rsidRPr="00177B6D" w:rsidRDefault="008027D8" w:rsidP="008027D8">
      <w:pPr>
        <w:pStyle w:val="paragraph"/>
      </w:pPr>
      <w:r w:rsidRPr="00177B6D">
        <w:tab/>
        <w:t>(b)</w:t>
      </w:r>
      <w:r w:rsidRPr="00177B6D">
        <w:tab/>
        <w:t xml:space="preserve">the employer gives the Agency information under </w:t>
      </w:r>
      <w:r w:rsidR="004A520A">
        <w:t>section 1</w:t>
      </w:r>
      <w:r w:rsidRPr="00177B6D">
        <w:t>9A and the information is false or misleading.</w:t>
      </w:r>
    </w:p>
    <w:p w14:paraId="40CACC1B" w14:textId="22817A33" w:rsidR="008027D8" w:rsidRPr="00177B6D" w:rsidRDefault="008027D8" w:rsidP="008027D8">
      <w:pPr>
        <w:pStyle w:val="notetext"/>
      </w:pPr>
      <w:r w:rsidRPr="00177B6D">
        <w:t>Note:</w:t>
      </w:r>
      <w:r w:rsidRPr="00177B6D">
        <w:tab/>
        <w:t xml:space="preserve">If the employer does not have a reasonable excuse for the failure, the Agency may name the employer in a report given to the Minister or by electronic or other means: see </w:t>
      </w:r>
      <w:r w:rsidR="004A520A">
        <w:t>section 1</w:t>
      </w:r>
      <w:r w:rsidRPr="00177B6D">
        <w:t>9D.</w:t>
      </w:r>
    </w:p>
    <w:p w14:paraId="3F0505D8" w14:textId="77777777" w:rsidR="008027D8" w:rsidRPr="00177B6D" w:rsidRDefault="008027D8" w:rsidP="008027D8">
      <w:pPr>
        <w:pStyle w:val="ActHead5"/>
      </w:pPr>
      <w:bookmarkStart w:id="40" w:name="_Toc195097048"/>
      <w:r w:rsidRPr="004A520A">
        <w:rPr>
          <w:rStyle w:val="CharSectno"/>
        </w:rPr>
        <w:t>19C</w:t>
      </w:r>
      <w:r w:rsidRPr="00177B6D">
        <w:t xml:space="preserve">  Relevant employer fails to comply with Act if employer fails to improve against </w:t>
      </w:r>
      <w:r w:rsidR="00DA5CFA" w:rsidRPr="00177B6D">
        <w:t>gender equality standard</w:t>
      </w:r>
      <w:bookmarkEnd w:id="40"/>
    </w:p>
    <w:p w14:paraId="3EBE07BC" w14:textId="77777777" w:rsidR="008027D8" w:rsidRPr="00177B6D" w:rsidRDefault="008027D8" w:rsidP="008027D8">
      <w:pPr>
        <w:pStyle w:val="subsection"/>
      </w:pPr>
      <w:r w:rsidRPr="00177B6D">
        <w:tab/>
      </w:r>
      <w:r w:rsidRPr="00177B6D">
        <w:tab/>
        <w:t>If:</w:t>
      </w:r>
    </w:p>
    <w:p w14:paraId="1B3B9017" w14:textId="2E74B4EC" w:rsidR="008027D8" w:rsidRPr="00177B6D" w:rsidRDefault="008027D8" w:rsidP="008027D8">
      <w:pPr>
        <w:pStyle w:val="paragraph"/>
      </w:pPr>
      <w:r w:rsidRPr="00177B6D">
        <w:tab/>
        <w:t>(a)</w:t>
      </w:r>
      <w:r w:rsidRPr="00177B6D">
        <w:tab/>
        <w:t xml:space="preserve">a relevant employer lodges a public report under </w:t>
      </w:r>
      <w:r w:rsidR="004A520A">
        <w:t>section 1</w:t>
      </w:r>
      <w:r w:rsidRPr="00177B6D">
        <w:t xml:space="preserve">3A in respect of a reporting period (the </w:t>
      </w:r>
      <w:r w:rsidRPr="00177B6D">
        <w:rPr>
          <w:b/>
          <w:i/>
        </w:rPr>
        <w:t>base period</w:t>
      </w:r>
      <w:r w:rsidRPr="00177B6D">
        <w:t>); and</w:t>
      </w:r>
    </w:p>
    <w:p w14:paraId="57137F32" w14:textId="77777777" w:rsidR="008027D8" w:rsidRPr="00177B6D" w:rsidRDefault="008027D8" w:rsidP="008027D8">
      <w:pPr>
        <w:pStyle w:val="paragraph"/>
      </w:pPr>
      <w:r w:rsidRPr="00177B6D">
        <w:tab/>
        <w:t>(b)</w:t>
      </w:r>
      <w:r w:rsidRPr="00177B6D">
        <w:tab/>
        <w:t xml:space="preserve">in a case where a </w:t>
      </w:r>
      <w:r w:rsidR="00DA5CFA" w:rsidRPr="00177B6D">
        <w:t>gender equality standard</w:t>
      </w:r>
      <w:r w:rsidRPr="00177B6D">
        <w:t xml:space="preserve"> (the </w:t>
      </w:r>
      <w:r w:rsidRPr="00177B6D">
        <w:rPr>
          <w:b/>
          <w:i/>
        </w:rPr>
        <w:t>base standard</w:t>
      </w:r>
      <w:r w:rsidRPr="00177B6D">
        <w:t>) applies in relation to the employer and the base period—at the end of the base period, the employer fails to meet that standard; and</w:t>
      </w:r>
    </w:p>
    <w:p w14:paraId="22038DE3" w14:textId="0D7F3FD1" w:rsidR="008027D8" w:rsidRPr="00177B6D" w:rsidRDefault="008027D8" w:rsidP="008027D8">
      <w:pPr>
        <w:pStyle w:val="paragraph"/>
      </w:pPr>
      <w:r w:rsidRPr="00177B6D">
        <w:tab/>
        <w:t>(c)</w:t>
      </w:r>
      <w:r w:rsidRPr="00177B6D">
        <w:tab/>
        <w:t xml:space="preserve">the employer lodges a public report under </w:t>
      </w:r>
      <w:r w:rsidR="004A520A">
        <w:t>section 1</w:t>
      </w:r>
      <w:r w:rsidRPr="00177B6D">
        <w:t xml:space="preserve">3A in respect of the second reporting period (the </w:t>
      </w:r>
      <w:r w:rsidRPr="00177B6D">
        <w:rPr>
          <w:b/>
          <w:i/>
        </w:rPr>
        <w:t>comparison period</w:t>
      </w:r>
      <w:r w:rsidRPr="00177B6D">
        <w:t>) after the base period; and</w:t>
      </w:r>
    </w:p>
    <w:p w14:paraId="7D670671" w14:textId="77777777" w:rsidR="008027D8" w:rsidRPr="00177B6D" w:rsidRDefault="008027D8" w:rsidP="008027D8">
      <w:pPr>
        <w:pStyle w:val="paragraph"/>
      </w:pPr>
      <w:r w:rsidRPr="00177B6D">
        <w:tab/>
        <w:t>(d)</w:t>
      </w:r>
      <w:r w:rsidRPr="00177B6D">
        <w:tab/>
        <w:t>at the end of the comparison period, the employer’s performance against the base standard has failed to improve from the employer’s performance against that standard at the end of the base period;</w:t>
      </w:r>
    </w:p>
    <w:p w14:paraId="746F1A1A" w14:textId="0FEA1615" w:rsidR="008027D8" w:rsidRPr="00177B6D" w:rsidRDefault="008027D8" w:rsidP="008027D8">
      <w:pPr>
        <w:pStyle w:val="subsection2"/>
      </w:pPr>
      <w:r w:rsidRPr="00177B6D">
        <w:t xml:space="preserve">then the failure referred to in </w:t>
      </w:r>
      <w:r w:rsidR="00CC4F01" w:rsidRPr="00177B6D">
        <w:t>paragraph (</w:t>
      </w:r>
      <w:r w:rsidRPr="00177B6D">
        <w:t xml:space="preserve">d) is taken, for the purposes of </w:t>
      </w:r>
      <w:r w:rsidR="004A520A">
        <w:t>section 1</w:t>
      </w:r>
      <w:r w:rsidRPr="00177B6D">
        <w:t>9D, to be a failure to comply with this Act.</w:t>
      </w:r>
    </w:p>
    <w:p w14:paraId="65495DCA" w14:textId="06344B6C" w:rsidR="008027D8" w:rsidRPr="00177B6D" w:rsidRDefault="008027D8" w:rsidP="008027D8">
      <w:pPr>
        <w:pStyle w:val="notetext"/>
      </w:pPr>
      <w:r w:rsidRPr="00177B6D">
        <w:t>Note:</w:t>
      </w:r>
      <w:r w:rsidRPr="00177B6D">
        <w:tab/>
        <w:t xml:space="preserve">If the employer does not have a reasonable excuse for the failure referred to in </w:t>
      </w:r>
      <w:r w:rsidR="00CC4F01" w:rsidRPr="00177B6D">
        <w:t>paragraph (</w:t>
      </w:r>
      <w:r w:rsidRPr="00177B6D">
        <w:t xml:space="preserve">d) of this section, the Agency may name the employer in a report given to the Minister or by electronic or other means: see </w:t>
      </w:r>
      <w:r w:rsidR="004A520A">
        <w:t>section 1</w:t>
      </w:r>
      <w:r w:rsidRPr="00177B6D">
        <w:t>9D.</w:t>
      </w:r>
    </w:p>
    <w:p w14:paraId="4AA00272" w14:textId="77777777" w:rsidR="00C34586" w:rsidRPr="00177B6D" w:rsidRDefault="00C34586" w:rsidP="00C34586">
      <w:pPr>
        <w:pStyle w:val="ActHead5"/>
      </w:pPr>
      <w:bookmarkStart w:id="41" w:name="_Toc195097049"/>
      <w:r w:rsidRPr="004A520A">
        <w:rPr>
          <w:rStyle w:val="CharSectno"/>
          <w:rFonts w:eastAsiaTheme="minorHAnsi"/>
        </w:rPr>
        <w:lastRenderedPageBreak/>
        <w:t>19CA</w:t>
      </w:r>
      <w:r w:rsidRPr="00177B6D">
        <w:t xml:space="preserve">  Relevant employer fails to comply with Act if certain reports are not given to governing body</w:t>
      </w:r>
      <w:bookmarkEnd w:id="41"/>
    </w:p>
    <w:p w14:paraId="778AB71D" w14:textId="37E6528D" w:rsidR="00C34586" w:rsidRPr="00177B6D" w:rsidRDefault="00C34586" w:rsidP="00C34586">
      <w:pPr>
        <w:pStyle w:val="subsection"/>
      </w:pPr>
      <w:r w:rsidRPr="00177B6D">
        <w:tab/>
      </w:r>
      <w:r w:rsidR="00C45869" w:rsidRPr="00177B6D">
        <w:t>(1)</w:t>
      </w:r>
      <w:r w:rsidRPr="00177B6D">
        <w:tab/>
        <w:t xml:space="preserve">For the purposes of </w:t>
      </w:r>
      <w:r w:rsidR="004A520A">
        <w:t>section 1</w:t>
      </w:r>
      <w:r w:rsidRPr="00177B6D">
        <w:t>9D, a relevant employer is taken to fail to comply with this Act without reasonable excuse if the CEO of the relevant employer fails, without reasonable excuse, to comply with sub</w:t>
      </w:r>
      <w:r w:rsidR="004A520A">
        <w:t>section 1</w:t>
      </w:r>
      <w:r w:rsidRPr="00177B6D">
        <w:t>6C(1), (2) or (3) (certain reports to be given to relevant employer’s governing body).</w:t>
      </w:r>
    </w:p>
    <w:p w14:paraId="1F9FBC5D" w14:textId="1EB360DB" w:rsidR="00C34586" w:rsidRPr="00177B6D" w:rsidRDefault="00C34586" w:rsidP="00C34586">
      <w:pPr>
        <w:pStyle w:val="notetext"/>
      </w:pPr>
      <w:r w:rsidRPr="00177B6D">
        <w:t>Note:</w:t>
      </w:r>
      <w:r w:rsidRPr="00177B6D">
        <w:tab/>
        <w:t xml:space="preserve">The Agency may name the employer in a report given to the Minister or by electronic or other means: see </w:t>
      </w:r>
      <w:r w:rsidR="004A520A">
        <w:t>section 1</w:t>
      </w:r>
      <w:r w:rsidRPr="00177B6D">
        <w:t>9D.</w:t>
      </w:r>
    </w:p>
    <w:p w14:paraId="067682BE" w14:textId="77777777" w:rsidR="00C45869" w:rsidRPr="00177B6D" w:rsidRDefault="00C45869" w:rsidP="00C45869">
      <w:pPr>
        <w:pStyle w:val="subsection"/>
      </w:pPr>
      <w:r w:rsidRPr="00177B6D">
        <w:tab/>
        <w:t>(2)</w:t>
      </w:r>
      <w:r w:rsidRPr="00177B6D">
        <w:tab/>
        <w:t>If the relevant employer is a Commonwealth entity, a reference in this section to the CEO of the relevant employer is taken to be a reference to the accountable authority of the Commonwealth entity.</w:t>
      </w:r>
    </w:p>
    <w:p w14:paraId="4E09F3C2" w14:textId="08122594" w:rsidR="008027D8" w:rsidRPr="00177B6D" w:rsidRDefault="008027D8" w:rsidP="008027D8">
      <w:pPr>
        <w:pStyle w:val="ActHead5"/>
      </w:pPr>
      <w:bookmarkStart w:id="42" w:name="_Toc195097050"/>
      <w:r w:rsidRPr="004A520A">
        <w:rPr>
          <w:rStyle w:val="CharSectno"/>
        </w:rPr>
        <w:t>19D</w:t>
      </w:r>
      <w:r w:rsidRPr="00177B6D">
        <w:t xml:space="preserve">  Consequences of non</w:t>
      </w:r>
      <w:r w:rsidR="004A520A">
        <w:noBreakHyphen/>
      </w:r>
      <w:r w:rsidRPr="00177B6D">
        <w:t>compliance with Act</w:t>
      </w:r>
      <w:bookmarkEnd w:id="42"/>
    </w:p>
    <w:p w14:paraId="6ED92740" w14:textId="77777777" w:rsidR="008027D8" w:rsidRPr="00177B6D" w:rsidRDefault="008027D8" w:rsidP="008027D8">
      <w:pPr>
        <w:pStyle w:val="subsection"/>
      </w:pPr>
      <w:r w:rsidRPr="00177B6D">
        <w:tab/>
        <w:t>(1)</w:t>
      </w:r>
      <w:r w:rsidRPr="00177B6D">
        <w:tab/>
        <w:t>This section applies if a relevant employer, without reasonable excuse, fails to comply with this Act.</w:t>
      </w:r>
    </w:p>
    <w:p w14:paraId="1BC3B0EC" w14:textId="77777777" w:rsidR="008027D8" w:rsidRPr="00177B6D" w:rsidRDefault="008027D8" w:rsidP="008027D8">
      <w:pPr>
        <w:pStyle w:val="notetext"/>
      </w:pPr>
      <w:r w:rsidRPr="00177B6D">
        <w:t>Note:</w:t>
      </w:r>
      <w:r w:rsidRPr="00177B6D">
        <w:tab/>
        <w:t>Examples of a failure to comply with this Act are:</w:t>
      </w:r>
    </w:p>
    <w:p w14:paraId="3D670C26" w14:textId="77777777" w:rsidR="008027D8" w:rsidRPr="00177B6D" w:rsidRDefault="008027D8" w:rsidP="00081293">
      <w:pPr>
        <w:pStyle w:val="notepara"/>
        <w:ind w:hanging="368"/>
      </w:pPr>
      <w:r w:rsidRPr="00177B6D">
        <w:t>(a)</w:t>
      </w:r>
      <w:r w:rsidRPr="00177B6D">
        <w:tab/>
        <w:t>a relevant employer fails to lodge a public report on time (see sections</w:t>
      </w:r>
      <w:r w:rsidR="00CC4F01" w:rsidRPr="00177B6D">
        <w:t> </w:t>
      </w:r>
      <w:r w:rsidRPr="00177B6D">
        <w:t>13A, 13B and 17); and</w:t>
      </w:r>
    </w:p>
    <w:p w14:paraId="3549F369" w14:textId="68C910E0" w:rsidR="008027D8" w:rsidRPr="00177B6D" w:rsidRDefault="008027D8" w:rsidP="00081293">
      <w:pPr>
        <w:pStyle w:val="notepara"/>
        <w:ind w:hanging="368"/>
      </w:pPr>
      <w:r w:rsidRPr="00177B6D">
        <w:t>(b)</w:t>
      </w:r>
      <w:r w:rsidRPr="00177B6D">
        <w:tab/>
        <w:t xml:space="preserve">a relevant employer fails to inform employees, shareholders or members of the employer that a public report has been lodged (see </w:t>
      </w:r>
      <w:r w:rsidR="004A520A">
        <w:t>section 1</w:t>
      </w:r>
      <w:r w:rsidRPr="00177B6D">
        <w:t>6); and</w:t>
      </w:r>
    </w:p>
    <w:p w14:paraId="710BC24E" w14:textId="77777777" w:rsidR="008027D8" w:rsidRPr="00177B6D" w:rsidRDefault="008027D8" w:rsidP="00081293">
      <w:pPr>
        <w:pStyle w:val="notepara"/>
        <w:ind w:hanging="368"/>
      </w:pPr>
      <w:r w:rsidRPr="00177B6D">
        <w:t>(c)</w:t>
      </w:r>
      <w:r w:rsidRPr="00177B6D">
        <w:tab/>
        <w:t>a relevant employer fails to inform employees and relevant employee organisations as required by sections</w:t>
      </w:r>
      <w:r w:rsidR="00CC4F01" w:rsidRPr="00177B6D">
        <w:t> </w:t>
      </w:r>
      <w:r w:rsidRPr="00177B6D">
        <w:t>16A and 16B; and</w:t>
      </w:r>
    </w:p>
    <w:p w14:paraId="6B2A2F42" w14:textId="06C0904D" w:rsidR="008027D8" w:rsidRPr="00177B6D" w:rsidRDefault="008027D8" w:rsidP="00081293">
      <w:pPr>
        <w:pStyle w:val="notepara"/>
        <w:ind w:hanging="368"/>
      </w:pPr>
      <w:r w:rsidRPr="00177B6D">
        <w:t>(d)</w:t>
      </w:r>
      <w:r w:rsidRPr="00177B6D">
        <w:tab/>
        <w:t xml:space="preserve">a relevant employer fails to give the Agency information under </w:t>
      </w:r>
      <w:r w:rsidR="004A520A">
        <w:t>section 1</w:t>
      </w:r>
      <w:r w:rsidRPr="00177B6D">
        <w:t>9A</w:t>
      </w:r>
      <w:r w:rsidR="00C45869" w:rsidRPr="00177B6D">
        <w:t>; and</w:t>
      </w:r>
    </w:p>
    <w:p w14:paraId="5E403987" w14:textId="73DA222E" w:rsidR="00C45869" w:rsidRPr="00177B6D" w:rsidRDefault="00C45869" w:rsidP="00C45869">
      <w:pPr>
        <w:pStyle w:val="notepara"/>
      </w:pPr>
      <w:r w:rsidRPr="00177B6D">
        <w:t>(e)</w:t>
      </w:r>
      <w:r w:rsidRPr="00177B6D">
        <w:tab/>
        <w:t>a designated relevant employer fails to select gender equality targets for a target cycle (see sub</w:t>
      </w:r>
      <w:r w:rsidR="004A520A">
        <w:t>section 1</w:t>
      </w:r>
      <w:r w:rsidRPr="00177B6D">
        <w:t>3(3AA)).</w:t>
      </w:r>
    </w:p>
    <w:p w14:paraId="4C63D9CE" w14:textId="77777777" w:rsidR="00F177E6" w:rsidRPr="00177B6D" w:rsidRDefault="00F177E6" w:rsidP="00F177E6">
      <w:pPr>
        <w:pStyle w:val="SubsectionHead"/>
      </w:pPr>
      <w:r w:rsidRPr="00177B6D">
        <w:t>Naming employer in Agency report</w:t>
      </w:r>
    </w:p>
    <w:p w14:paraId="2DA7A428" w14:textId="3A41F4DE" w:rsidR="00F177E6" w:rsidRPr="00177B6D" w:rsidRDefault="00F177E6" w:rsidP="00F177E6">
      <w:pPr>
        <w:pStyle w:val="subsection"/>
      </w:pPr>
      <w:r w:rsidRPr="00177B6D">
        <w:tab/>
        <w:t>(2)</w:t>
      </w:r>
      <w:r w:rsidRPr="00177B6D">
        <w:tab/>
        <w:t>The Agency may name the employer as having failed to comply with this Act, and set out details of the non</w:t>
      </w:r>
      <w:r w:rsidR="004A520A">
        <w:noBreakHyphen/>
      </w:r>
      <w:r w:rsidRPr="00177B6D">
        <w:t>compliance, in a report under:</w:t>
      </w:r>
    </w:p>
    <w:p w14:paraId="135150BA" w14:textId="416D2DB0" w:rsidR="00F177E6" w:rsidRPr="00177B6D" w:rsidRDefault="00F177E6" w:rsidP="00F177E6">
      <w:pPr>
        <w:pStyle w:val="paragraph"/>
      </w:pPr>
      <w:r w:rsidRPr="00177B6D">
        <w:tab/>
        <w:t>(a)</w:t>
      </w:r>
      <w:r w:rsidRPr="00177B6D">
        <w:tab/>
        <w:t>sub</w:t>
      </w:r>
      <w:r w:rsidR="004A520A">
        <w:t>section 1</w:t>
      </w:r>
      <w:r w:rsidRPr="00177B6D">
        <w:t>2(2); or</w:t>
      </w:r>
    </w:p>
    <w:p w14:paraId="319299E8" w14:textId="77777777" w:rsidR="00F177E6" w:rsidRPr="00177B6D" w:rsidRDefault="00F177E6" w:rsidP="00F177E6">
      <w:pPr>
        <w:pStyle w:val="paragraph"/>
      </w:pPr>
      <w:r w:rsidRPr="00177B6D">
        <w:lastRenderedPageBreak/>
        <w:tab/>
        <w:t>(b)</w:t>
      </w:r>
      <w:r w:rsidRPr="00177B6D">
        <w:tab/>
        <w:t>section</w:t>
      </w:r>
      <w:r w:rsidR="00CC4F01" w:rsidRPr="00177B6D">
        <w:t> </w:t>
      </w:r>
      <w:r w:rsidRPr="00177B6D">
        <w:t xml:space="preserve">46 of the </w:t>
      </w:r>
      <w:r w:rsidRPr="00177B6D">
        <w:rPr>
          <w:i/>
        </w:rPr>
        <w:t>Public Governance, Performance and Accountability Act 2013</w:t>
      </w:r>
      <w:r w:rsidRPr="00177B6D">
        <w:t>.</w:t>
      </w:r>
    </w:p>
    <w:p w14:paraId="602724CF" w14:textId="77777777" w:rsidR="008027D8" w:rsidRPr="00177B6D" w:rsidRDefault="008027D8" w:rsidP="008027D8">
      <w:pPr>
        <w:pStyle w:val="SubsectionHead"/>
      </w:pPr>
      <w:r w:rsidRPr="00177B6D">
        <w:t>Naming employer in other ways</w:t>
      </w:r>
    </w:p>
    <w:p w14:paraId="58BBF6A2" w14:textId="4AAC1056" w:rsidR="008027D8" w:rsidRPr="00177B6D" w:rsidRDefault="008027D8" w:rsidP="008027D8">
      <w:pPr>
        <w:pStyle w:val="subsection"/>
      </w:pPr>
      <w:r w:rsidRPr="00177B6D">
        <w:tab/>
        <w:t>(3)</w:t>
      </w:r>
      <w:r w:rsidRPr="00177B6D">
        <w:tab/>
        <w:t>The Agency may, by electronic or other means, name the employer as having failed to comply with this Act and set out details of the non</w:t>
      </w:r>
      <w:r w:rsidR="004A520A">
        <w:noBreakHyphen/>
      </w:r>
      <w:r w:rsidRPr="00177B6D">
        <w:t>compliance.</w:t>
      </w:r>
    </w:p>
    <w:p w14:paraId="3DF19219" w14:textId="77777777" w:rsidR="008027D8" w:rsidRPr="00177B6D" w:rsidRDefault="008027D8" w:rsidP="008027D8">
      <w:pPr>
        <w:pStyle w:val="notetext"/>
      </w:pPr>
      <w:r w:rsidRPr="00177B6D">
        <w:t>Note:</w:t>
      </w:r>
      <w:r w:rsidRPr="00177B6D">
        <w:tab/>
        <w:t>For example, the Agency may do this on the Agency’s website or in a newspaper.</w:t>
      </w:r>
    </w:p>
    <w:p w14:paraId="777E9C79" w14:textId="77777777" w:rsidR="008027D8" w:rsidRPr="00177B6D" w:rsidRDefault="008027D8" w:rsidP="008027D8">
      <w:pPr>
        <w:pStyle w:val="SubsectionHead"/>
      </w:pPr>
      <w:r w:rsidRPr="00177B6D">
        <w:t>Prior notice to employer</w:t>
      </w:r>
    </w:p>
    <w:p w14:paraId="4F45D487" w14:textId="77777777" w:rsidR="008027D8" w:rsidRPr="00177B6D" w:rsidRDefault="008027D8" w:rsidP="008027D8">
      <w:pPr>
        <w:pStyle w:val="subsection"/>
      </w:pPr>
      <w:r w:rsidRPr="00177B6D">
        <w:tab/>
        <w:t>(4)</w:t>
      </w:r>
      <w:r w:rsidRPr="00177B6D">
        <w:tab/>
        <w:t>If the Agency proposes to:</w:t>
      </w:r>
    </w:p>
    <w:p w14:paraId="44F72193" w14:textId="77777777" w:rsidR="00F177E6" w:rsidRPr="00177B6D" w:rsidRDefault="00F177E6" w:rsidP="00F177E6">
      <w:pPr>
        <w:pStyle w:val="paragraph"/>
      </w:pPr>
      <w:r w:rsidRPr="00177B6D">
        <w:tab/>
        <w:t>(a)</w:t>
      </w:r>
      <w:r w:rsidRPr="00177B6D">
        <w:tab/>
        <w:t>name an employer in a report under:</w:t>
      </w:r>
    </w:p>
    <w:p w14:paraId="57CFD8C5" w14:textId="56A0D02A" w:rsidR="00F177E6" w:rsidRPr="00177B6D" w:rsidRDefault="00F177E6" w:rsidP="00F177E6">
      <w:pPr>
        <w:pStyle w:val="paragraphsub"/>
      </w:pPr>
      <w:r w:rsidRPr="00177B6D">
        <w:tab/>
        <w:t>(i)</w:t>
      </w:r>
      <w:r w:rsidRPr="00177B6D">
        <w:tab/>
        <w:t>sub</w:t>
      </w:r>
      <w:r w:rsidR="004A520A">
        <w:t>section 1</w:t>
      </w:r>
      <w:r w:rsidRPr="00177B6D">
        <w:t>2(2); or</w:t>
      </w:r>
    </w:p>
    <w:p w14:paraId="5BBBEBA2" w14:textId="77777777" w:rsidR="00F177E6" w:rsidRPr="00177B6D" w:rsidRDefault="00F177E6" w:rsidP="00F177E6">
      <w:pPr>
        <w:pStyle w:val="paragraphsub"/>
      </w:pPr>
      <w:r w:rsidRPr="00177B6D">
        <w:tab/>
        <w:t>(ii)</w:t>
      </w:r>
      <w:r w:rsidRPr="00177B6D">
        <w:tab/>
        <w:t>section</w:t>
      </w:r>
      <w:r w:rsidR="00CC4F01" w:rsidRPr="00177B6D">
        <w:t> </w:t>
      </w:r>
      <w:r w:rsidRPr="00177B6D">
        <w:t xml:space="preserve">46 of the </w:t>
      </w:r>
      <w:r w:rsidRPr="00177B6D">
        <w:rPr>
          <w:i/>
        </w:rPr>
        <w:t>Public Governance, Performance and Accountability Act 2013</w:t>
      </w:r>
      <w:r w:rsidRPr="00177B6D">
        <w:t>; or</w:t>
      </w:r>
    </w:p>
    <w:p w14:paraId="534B9F89" w14:textId="77777777" w:rsidR="008027D8" w:rsidRPr="00177B6D" w:rsidRDefault="008027D8" w:rsidP="008027D8">
      <w:pPr>
        <w:pStyle w:val="paragraph"/>
      </w:pPr>
      <w:r w:rsidRPr="00177B6D">
        <w:tab/>
        <w:t>(b)</w:t>
      </w:r>
      <w:r w:rsidRPr="00177B6D">
        <w:tab/>
        <w:t xml:space="preserve">name an employer under </w:t>
      </w:r>
      <w:r w:rsidR="00CC4F01" w:rsidRPr="00177B6D">
        <w:t>subsection (</w:t>
      </w:r>
      <w:r w:rsidRPr="00177B6D">
        <w:t>3) of this section;</w:t>
      </w:r>
    </w:p>
    <w:p w14:paraId="17342403" w14:textId="77777777" w:rsidR="008027D8" w:rsidRPr="00177B6D" w:rsidRDefault="008027D8" w:rsidP="008027D8">
      <w:pPr>
        <w:pStyle w:val="subsection2"/>
      </w:pPr>
      <w:r w:rsidRPr="00177B6D">
        <w:t>the Agency must:</w:t>
      </w:r>
    </w:p>
    <w:p w14:paraId="46564761" w14:textId="77777777" w:rsidR="008027D8" w:rsidRPr="00177B6D" w:rsidRDefault="008027D8" w:rsidP="008027D8">
      <w:pPr>
        <w:pStyle w:val="paragraph"/>
      </w:pPr>
      <w:r w:rsidRPr="00177B6D">
        <w:tab/>
        <w:t>(c)</w:t>
      </w:r>
      <w:r w:rsidRPr="00177B6D">
        <w:tab/>
        <w:t>give the employer notice in writing of the proposal and the reasons for the proposal; and</w:t>
      </w:r>
    </w:p>
    <w:p w14:paraId="76FD283B" w14:textId="77777777" w:rsidR="008027D8" w:rsidRPr="00177B6D" w:rsidRDefault="008027D8" w:rsidP="008027D8">
      <w:pPr>
        <w:pStyle w:val="paragraph"/>
      </w:pPr>
      <w:r w:rsidRPr="00177B6D">
        <w:tab/>
        <w:t>(d)</w:t>
      </w:r>
      <w:r w:rsidRPr="00177B6D">
        <w:tab/>
        <w:t>invite the employer to make written representations to the Agency about the proposal within the period of 28 days beginning on the day the notice is given; and</w:t>
      </w:r>
    </w:p>
    <w:p w14:paraId="68FD5106" w14:textId="77777777" w:rsidR="008027D8" w:rsidRPr="00177B6D" w:rsidRDefault="008027D8" w:rsidP="008027D8">
      <w:pPr>
        <w:pStyle w:val="paragraph"/>
      </w:pPr>
      <w:r w:rsidRPr="00177B6D">
        <w:tab/>
        <w:t>(e)</w:t>
      </w:r>
      <w:r w:rsidRPr="00177B6D">
        <w:tab/>
        <w:t>have regard to any written representations made by the employer within that period.</w:t>
      </w:r>
    </w:p>
    <w:p w14:paraId="591A3B1B" w14:textId="77777777" w:rsidR="008027D8" w:rsidRPr="00177B6D" w:rsidRDefault="008027D8" w:rsidP="008027D8">
      <w:pPr>
        <w:pStyle w:val="subsection"/>
      </w:pPr>
      <w:r w:rsidRPr="00177B6D">
        <w:tab/>
        <w:t>(5)</w:t>
      </w:r>
      <w:r w:rsidRPr="00177B6D">
        <w:tab/>
        <w:t>If:</w:t>
      </w:r>
    </w:p>
    <w:p w14:paraId="5E5A522C" w14:textId="35453E0A" w:rsidR="008027D8" w:rsidRPr="00177B6D" w:rsidRDefault="008027D8" w:rsidP="008027D8">
      <w:pPr>
        <w:pStyle w:val="paragraph"/>
      </w:pPr>
      <w:r w:rsidRPr="00177B6D">
        <w:tab/>
        <w:t>(a)</w:t>
      </w:r>
      <w:r w:rsidRPr="00177B6D">
        <w:tab/>
        <w:t xml:space="preserve">a relevant employer lodges a public report under </w:t>
      </w:r>
      <w:r w:rsidR="004A520A">
        <w:t>section 1</w:t>
      </w:r>
      <w:r w:rsidRPr="00177B6D">
        <w:t>3A in respect of a reporting period; and</w:t>
      </w:r>
    </w:p>
    <w:p w14:paraId="4A0F5A3E" w14:textId="45CE69B2" w:rsidR="008027D8" w:rsidRPr="00177B6D" w:rsidRDefault="008027D8" w:rsidP="008027D8">
      <w:pPr>
        <w:pStyle w:val="paragraph"/>
      </w:pPr>
      <w:r w:rsidRPr="00177B6D">
        <w:tab/>
        <w:t>(b)</w:t>
      </w:r>
      <w:r w:rsidRPr="00177B6D">
        <w:tab/>
        <w:t xml:space="preserve">the report is lodged within the time allowed by </w:t>
      </w:r>
      <w:r w:rsidR="004A520A">
        <w:t>section 1</w:t>
      </w:r>
      <w:r w:rsidRPr="00177B6D">
        <w:t>3B or 17;</w:t>
      </w:r>
    </w:p>
    <w:p w14:paraId="4A05EAD1" w14:textId="77777777" w:rsidR="008027D8" w:rsidRPr="00177B6D" w:rsidRDefault="008027D8" w:rsidP="008027D8">
      <w:pPr>
        <w:pStyle w:val="subsection2"/>
      </w:pPr>
      <w:r w:rsidRPr="00177B6D">
        <w:t xml:space="preserve">then, during the period of 28 days beginning on the day the report is lodged, the Agency must not give the employer a notice under </w:t>
      </w:r>
      <w:r w:rsidR="00CC4F01" w:rsidRPr="00177B6D">
        <w:t>subsection (</w:t>
      </w:r>
      <w:r w:rsidRPr="00177B6D">
        <w:t>4) of this section in relation to the lodgement of that report.</w:t>
      </w:r>
    </w:p>
    <w:p w14:paraId="600E3C26" w14:textId="77777777" w:rsidR="008027D8" w:rsidRPr="00177B6D" w:rsidRDefault="008027D8" w:rsidP="008027D8">
      <w:pPr>
        <w:pStyle w:val="ActHead5"/>
      </w:pPr>
      <w:bookmarkStart w:id="43" w:name="_Toc195097051"/>
      <w:r w:rsidRPr="004A520A">
        <w:rPr>
          <w:rStyle w:val="CharSectno"/>
        </w:rPr>
        <w:lastRenderedPageBreak/>
        <w:t>19E</w:t>
      </w:r>
      <w:r w:rsidRPr="00177B6D">
        <w:t xml:space="preserve">  Agency to offer relevant employers advice and assistance if employers fail to meet </w:t>
      </w:r>
      <w:r w:rsidR="00DA5CFA" w:rsidRPr="00177B6D">
        <w:t>gender equality standards</w:t>
      </w:r>
      <w:bookmarkEnd w:id="43"/>
    </w:p>
    <w:p w14:paraId="1D26710C" w14:textId="77777777" w:rsidR="008027D8" w:rsidRPr="00177B6D" w:rsidRDefault="008027D8" w:rsidP="008027D8">
      <w:pPr>
        <w:pStyle w:val="subsection"/>
      </w:pPr>
      <w:r w:rsidRPr="00177B6D">
        <w:tab/>
      </w:r>
      <w:r w:rsidRPr="00177B6D">
        <w:tab/>
        <w:t>If:</w:t>
      </w:r>
    </w:p>
    <w:p w14:paraId="66CB9AC5" w14:textId="615F753D" w:rsidR="008027D8" w:rsidRPr="00177B6D" w:rsidRDefault="008027D8" w:rsidP="008027D8">
      <w:pPr>
        <w:pStyle w:val="paragraph"/>
      </w:pPr>
      <w:r w:rsidRPr="00177B6D">
        <w:tab/>
        <w:t>(a)</w:t>
      </w:r>
      <w:r w:rsidRPr="00177B6D">
        <w:tab/>
        <w:t xml:space="preserve">a relevant employer lodges a public report under </w:t>
      </w:r>
      <w:r w:rsidR="004A520A">
        <w:t>section 1</w:t>
      </w:r>
      <w:r w:rsidRPr="00177B6D">
        <w:t>3A in respect of a reporting period; and</w:t>
      </w:r>
    </w:p>
    <w:p w14:paraId="2BFD675C" w14:textId="77777777" w:rsidR="008027D8" w:rsidRPr="00177B6D" w:rsidRDefault="008027D8" w:rsidP="008027D8">
      <w:pPr>
        <w:pStyle w:val="paragraph"/>
      </w:pPr>
      <w:r w:rsidRPr="00177B6D">
        <w:tab/>
        <w:t>(b)</w:t>
      </w:r>
      <w:r w:rsidRPr="00177B6D">
        <w:tab/>
        <w:t xml:space="preserve">in a case where a </w:t>
      </w:r>
      <w:r w:rsidR="00DA5CFA" w:rsidRPr="00177B6D">
        <w:t>gender equality standard</w:t>
      </w:r>
      <w:r w:rsidRPr="00177B6D">
        <w:t xml:space="preserve"> applies in relation to the employer and that reporting period—the Agency becomes aware that, at the end of that reporting period, the employer fails to meet that standard;</w:t>
      </w:r>
    </w:p>
    <w:p w14:paraId="33730E90" w14:textId="77777777" w:rsidR="008027D8" w:rsidRPr="00177B6D" w:rsidRDefault="008027D8" w:rsidP="008027D8">
      <w:pPr>
        <w:pStyle w:val="subsection2"/>
      </w:pPr>
      <w:r w:rsidRPr="00177B6D">
        <w:t>the Agency must offer to provide the employer with advice and assistance in relation to improving the employer’s performance against that standard.</w:t>
      </w:r>
    </w:p>
    <w:p w14:paraId="6002717E" w14:textId="77777777" w:rsidR="003449CF" w:rsidRPr="00177B6D" w:rsidRDefault="003449CF" w:rsidP="002774D6">
      <w:pPr>
        <w:pStyle w:val="ActHead2"/>
        <w:pageBreakBefore/>
      </w:pPr>
      <w:bookmarkStart w:id="44" w:name="_Toc195097052"/>
      <w:r w:rsidRPr="004A520A">
        <w:rPr>
          <w:rStyle w:val="CharPartNo"/>
        </w:rPr>
        <w:lastRenderedPageBreak/>
        <w:t>Part V</w:t>
      </w:r>
      <w:r w:rsidRPr="00177B6D">
        <w:t>—</w:t>
      </w:r>
      <w:r w:rsidR="00C34586" w:rsidRPr="004A520A">
        <w:rPr>
          <w:rStyle w:val="CharPartText"/>
        </w:rPr>
        <w:t>CEO</w:t>
      </w:r>
      <w:bookmarkEnd w:id="44"/>
    </w:p>
    <w:p w14:paraId="58C8DE0A" w14:textId="77777777" w:rsidR="005B0542" w:rsidRPr="00177B6D" w:rsidRDefault="004E0D3F" w:rsidP="005B0542">
      <w:pPr>
        <w:pStyle w:val="Header"/>
      </w:pPr>
      <w:r w:rsidRPr="004A520A">
        <w:rPr>
          <w:rStyle w:val="CharDivNo"/>
        </w:rPr>
        <w:t xml:space="preserve"> </w:t>
      </w:r>
      <w:r w:rsidRPr="004A520A">
        <w:rPr>
          <w:rStyle w:val="CharDivText"/>
        </w:rPr>
        <w:t xml:space="preserve"> </w:t>
      </w:r>
    </w:p>
    <w:p w14:paraId="2CFB1BB9" w14:textId="77777777" w:rsidR="00C34586" w:rsidRPr="00177B6D" w:rsidRDefault="00C34586" w:rsidP="00C34586">
      <w:pPr>
        <w:pStyle w:val="ActHead5"/>
      </w:pPr>
      <w:bookmarkStart w:id="45" w:name="_Toc195097053"/>
      <w:r w:rsidRPr="004A520A">
        <w:rPr>
          <w:rStyle w:val="CharSectno"/>
          <w:rFonts w:eastAsiaTheme="minorHAnsi"/>
        </w:rPr>
        <w:t>20AA</w:t>
      </w:r>
      <w:r w:rsidRPr="00177B6D">
        <w:t xml:space="preserve">  CEO</w:t>
      </w:r>
      <w:bookmarkEnd w:id="45"/>
    </w:p>
    <w:p w14:paraId="386345E0" w14:textId="77777777" w:rsidR="00C34586" w:rsidRPr="00177B6D" w:rsidRDefault="00C34586" w:rsidP="00C34586">
      <w:pPr>
        <w:pStyle w:val="subsection"/>
      </w:pPr>
      <w:r w:rsidRPr="00177B6D">
        <w:tab/>
        <w:t>(1)</w:t>
      </w:r>
      <w:r w:rsidRPr="00177B6D">
        <w:tab/>
        <w:t>There is to be a Chief Executive Officer of the Workplace Gender Equality Agency.</w:t>
      </w:r>
    </w:p>
    <w:p w14:paraId="537C68A8" w14:textId="77777777" w:rsidR="00C34586" w:rsidRPr="00177B6D" w:rsidRDefault="00C34586" w:rsidP="00C34586">
      <w:pPr>
        <w:pStyle w:val="subsection"/>
      </w:pPr>
      <w:r w:rsidRPr="00177B6D">
        <w:tab/>
        <w:t>(2)</w:t>
      </w:r>
      <w:r w:rsidRPr="00177B6D">
        <w:tab/>
        <w:t>The Chief Executive Officer has the management of the Agency.</w:t>
      </w:r>
    </w:p>
    <w:p w14:paraId="66C7DD68" w14:textId="77777777" w:rsidR="00C34586" w:rsidRPr="00177B6D" w:rsidRDefault="00C34586" w:rsidP="00C34586">
      <w:pPr>
        <w:pStyle w:val="subsection"/>
      </w:pPr>
      <w:r w:rsidRPr="00177B6D">
        <w:tab/>
        <w:t>(3)</w:t>
      </w:r>
      <w:r w:rsidRPr="00177B6D">
        <w:tab/>
        <w:t>The office of Chief Executive Officer of the Workplace Gender Equality Agency is, for all purposes, a continuation under that name of the office of Director of Workplace Gender Equality established under section 9 of this Act as in force immediately before the commencement of this section.</w:t>
      </w:r>
    </w:p>
    <w:p w14:paraId="1C85B999" w14:textId="77777777" w:rsidR="00C34586" w:rsidRPr="00177B6D" w:rsidRDefault="00C34586" w:rsidP="00C34586">
      <w:pPr>
        <w:pStyle w:val="notetext"/>
      </w:pPr>
      <w:r w:rsidRPr="00177B6D">
        <w:t>Note:</w:t>
      </w:r>
      <w:r w:rsidRPr="00177B6D">
        <w:tab/>
        <w:t xml:space="preserve">See also section 25B of the </w:t>
      </w:r>
      <w:r w:rsidRPr="00177B6D">
        <w:rPr>
          <w:i/>
        </w:rPr>
        <w:t>Acts Interpretation Act 1901</w:t>
      </w:r>
      <w:r w:rsidRPr="00177B6D">
        <w:t>.</w:t>
      </w:r>
    </w:p>
    <w:p w14:paraId="512DDBC0" w14:textId="77777777" w:rsidR="005B0542" w:rsidRPr="00177B6D" w:rsidRDefault="005B0542" w:rsidP="005B0542">
      <w:pPr>
        <w:pStyle w:val="ActHead5"/>
      </w:pPr>
      <w:bookmarkStart w:id="46" w:name="_Toc195097054"/>
      <w:r w:rsidRPr="004A520A">
        <w:rPr>
          <w:rStyle w:val="CharSectno"/>
        </w:rPr>
        <w:t>20</w:t>
      </w:r>
      <w:r w:rsidRPr="00177B6D">
        <w:t xml:space="preserve">  Appointment of </w:t>
      </w:r>
      <w:r w:rsidR="00C34586" w:rsidRPr="00177B6D">
        <w:t>CEO</w:t>
      </w:r>
      <w:bookmarkEnd w:id="46"/>
    </w:p>
    <w:p w14:paraId="6754454A" w14:textId="5FD8BF5C" w:rsidR="005B0542" w:rsidRPr="00177B6D" w:rsidRDefault="005B0542" w:rsidP="005B0542">
      <w:pPr>
        <w:pStyle w:val="subsection"/>
      </w:pPr>
      <w:r w:rsidRPr="00177B6D">
        <w:tab/>
        <w:t>(1)</w:t>
      </w:r>
      <w:r w:rsidRPr="00177B6D">
        <w:tab/>
        <w:t xml:space="preserve">The </w:t>
      </w:r>
      <w:r w:rsidR="00C34586" w:rsidRPr="00177B6D">
        <w:t>CEO</w:t>
      </w:r>
      <w:r w:rsidRPr="00177B6D">
        <w:t xml:space="preserve"> shall be appointed by the Governor</w:t>
      </w:r>
      <w:r w:rsidR="004A520A">
        <w:noBreakHyphen/>
      </w:r>
      <w:r w:rsidRPr="00177B6D">
        <w:t>General.</w:t>
      </w:r>
    </w:p>
    <w:p w14:paraId="26F32158" w14:textId="77777777" w:rsidR="005B0542" w:rsidRPr="00177B6D" w:rsidRDefault="005B0542" w:rsidP="005B0542">
      <w:pPr>
        <w:pStyle w:val="ActHead5"/>
      </w:pPr>
      <w:bookmarkStart w:id="47" w:name="_Toc195097055"/>
      <w:r w:rsidRPr="004A520A">
        <w:rPr>
          <w:rStyle w:val="CharSectno"/>
        </w:rPr>
        <w:t>21</w:t>
      </w:r>
      <w:r w:rsidRPr="00177B6D">
        <w:t xml:space="preserve">  Tenure of </w:t>
      </w:r>
      <w:r w:rsidR="00C34586" w:rsidRPr="00177B6D">
        <w:t>CEO</w:t>
      </w:r>
      <w:bookmarkEnd w:id="47"/>
    </w:p>
    <w:p w14:paraId="5852F14D" w14:textId="2EAB6F93" w:rsidR="005B0542" w:rsidRPr="00177B6D" w:rsidRDefault="005B0542" w:rsidP="005B0542">
      <w:pPr>
        <w:pStyle w:val="subsection"/>
      </w:pPr>
      <w:r w:rsidRPr="00177B6D">
        <w:tab/>
        <w:t>(1)</w:t>
      </w:r>
      <w:r w:rsidRPr="00177B6D">
        <w:tab/>
        <w:t xml:space="preserve">The </w:t>
      </w:r>
      <w:r w:rsidR="00C34586" w:rsidRPr="00177B6D">
        <w:t>CEO</w:t>
      </w:r>
      <w:r w:rsidRPr="00177B6D">
        <w:t xml:space="preserve"> holds office for such period, not exceeding 5 years, as is specified in the instrument of appointment, but is eligible for re</w:t>
      </w:r>
      <w:r w:rsidR="004A520A">
        <w:noBreakHyphen/>
      </w:r>
      <w:r w:rsidRPr="00177B6D">
        <w:t>appointment.</w:t>
      </w:r>
    </w:p>
    <w:p w14:paraId="010009FE" w14:textId="28733A31" w:rsidR="005B0542" w:rsidRPr="00177B6D" w:rsidRDefault="005B0542" w:rsidP="005B0542">
      <w:pPr>
        <w:pStyle w:val="subsection"/>
      </w:pPr>
      <w:r w:rsidRPr="00177B6D">
        <w:tab/>
        <w:t>(2)</w:t>
      </w:r>
      <w:r w:rsidRPr="00177B6D">
        <w:tab/>
        <w:t xml:space="preserve">The </w:t>
      </w:r>
      <w:r w:rsidR="00C34586" w:rsidRPr="00177B6D">
        <w:t>CEO</w:t>
      </w:r>
      <w:r w:rsidRPr="00177B6D">
        <w:t xml:space="preserve"> holds office, subject to this Part, on such terms and conditions as are determined by the Governor</w:t>
      </w:r>
      <w:r w:rsidR="004A520A">
        <w:noBreakHyphen/>
      </w:r>
      <w:r w:rsidRPr="00177B6D">
        <w:t>General.</w:t>
      </w:r>
    </w:p>
    <w:p w14:paraId="798C01C7" w14:textId="77777777" w:rsidR="005B0542" w:rsidRPr="00177B6D" w:rsidRDefault="005B0542" w:rsidP="005B0542">
      <w:pPr>
        <w:pStyle w:val="ActHead5"/>
      </w:pPr>
      <w:bookmarkStart w:id="48" w:name="_Toc195097056"/>
      <w:r w:rsidRPr="004A520A">
        <w:rPr>
          <w:rStyle w:val="CharSectno"/>
        </w:rPr>
        <w:t>22</w:t>
      </w:r>
      <w:r w:rsidRPr="00177B6D">
        <w:t xml:space="preserve">  Remuneration and allowances</w:t>
      </w:r>
      <w:bookmarkEnd w:id="48"/>
    </w:p>
    <w:p w14:paraId="0B2D2B74" w14:textId="77777777" w:rsidR="005B0542" w:rsidRPr="00177B6D" w:rsidRDefault="005B0542" w:rsidP="005B0542">
      <w:pPr>
        <w:pStyle w:val="subsection"/>
      </w:pPr>
      <w:r w:rsidRPr="00177B6D">
        <w:tab/>
        <w:t>(1)</w:t>
      </w:r>
      <w:r w:rsidRPr="00177B6D">
        <w:tab/>
        <w:t xml:space="preserve">The </w:t>
      </w:r>
      <w:r w:rsidR="00C34586" w:rsidRPr="00177B6D">
        <w:t>CEO</w:t>
      </w:r>
      <w:r w:rsidRPr="00177B6D">
        <w:t xml:space="preserve"> shall be paid:</w:t>
      </w:r>
    </w:p>
    <w:p w14:paraId="5EE8BF68" w14:textId="77777777" w:rsidR="005B0542" w:rsidRPr="00177B6D" w:rsidRDefault="005B0542" w:rsidP="005B0542">
      <w:pPr>
        <w:pStyle w:val="paragraph"/>
      </w:pPr>
      <w:r w:rsidRPr="00177B6D">
        <w:tab/>
        <w:t>(a)</w:t>
      </w:r>
      <w:r w:rsidRPr="00177B6D">
        <w:tab/>
        <w:t>such remuneration as is determined by the Remuneration Tribunal; and</w:t>
      </w:r>
    </w:p>
    <w:p w14:paraId="2203D073" w14:textId="77777777" w:rsidR="005B0542" w:rsidRPr="00177B6D" w:rsidRDefault="005B0542" w:rsidP="005B0542">
      <w:pPr>
        <w:pStyle w:val="paragraph"/>
      </w:pPr>
      <w:r w:rsidRPr="00177B6D">
        <w:tab/>
        <w:t>(b)</w:t>
      </w:r>
      <w:r w:rsidRPr="00177B6D">
        <w:tab/>
        <w:t>such allowances as are prescribed.</w:t>
      </w:r>
    </w:p>
    <w:p w14:paraId="07609330" w14:textId="77777777" w:rsidR="005B0542" w:rsidRPr="00177B6D" w:rsidRDefault="005B0542" w:rsidP="005B0542">
      <w:pPr>
        <w:pStyle w:val="subsection"/>
      </w:pPr>
      <w:r w:rsidRPr="00177B6D">
        <w:lastRenderedPageBreak/>
        <w:tab/>
        <w:t>(2)</w:t>
      </w:r>
      <w:r w:rsidRPr="00177B6D">
        <w:tab/>
        <w:t>This section has effect subject to the</w:t>
      </w:r>
      <w:r w:rsidRPr="00177B6D">
        <w:rPr>
          <w:i/>
        </w:rPr>
        <w:t xml:space="preserve"> Remuneration Tribunal Act 1973</w:t>
      </w:r>
      <w:r w:rsidRPr="00177B6D">
        <w:t>.</w:t>
      </w:r>
    </w:p>
    <w:p w14:paraId="1EFB4FE3" w14:textId="77777777" w:rsidR="005B0542" w:rsidRPr="00177B6D" w:rsidRDefault="005B0542" w:rsidP="005B0542">
      <w:pPr>
        <w:pStyle w:val="ActHead5"/>
      </w:pPr>
      <w:bookmarkStart w:id="49" w:name="_Toc195097057"/>
      <w:r w:rsidRPr="004A520A">
        <w:rPr>
          <w:rStyle w:val="CharSectno"/>
        </w:rPr>
        <w:t>23</w:t>
      </w:r>
      <w:r w:rsidRPr="00177B6D">
        <w:t xml:space="preserve">  Leave of absence</w:t>
      </w:r>
      <w:bookmarkEnd w:id="49"/>
    </w:p>
    <w:p w14:paraId="2A347AD4" w14:textId="77777777" w:rsidR="005B0542" w:rsidRPr="00177B6D" w:rsidRDefault="005B0542" w:rsidP="005B0542">
      <w:pPr>
        <w:pStyle w:val="subsection"/>
      </w:pPr>
      <w:r w:rsidRPr="00177B6D">
        <w:tab/>
      </w:r>
      <w:r w:rsidRPr="00177B6D">
        <w:tab/>
        <w:t xml:space="preserve">The Minister may grant leave of absence to the </w:t>
      </w:r>
      <w:r w:rsidR="00C34586" w:rsidRPr="00177B6D">
        <w:t>CEO</w:t>
      </w:r>
      <w:r w:rsidRPr="00177B6D">
        <w:t xml:space="preserve"> upon such terms and conditions as to remuneration or otherwise as the Minister determines.</w:t>
      </w:r>
    </w:p>
    <w:p w14:paraId="3A58D5CE" w14:textId="77777777" w:rsidR="005B0542" w:rsidRPr="00177B6D" w:rsidRDefault="005B0542" w:rsidP="005B0542">
      <w:pPr>
        <w:pStyle w:val="ActHead5"/>
      </w:pPr>
      <w:bookmarkStart w:id="50" w:name="_Toc195097058"/>
      <w:r w:rsidRPr="004A520A">
        <w:rPr>
          <w:rStyle w:val="CharSectno"/>
        </w:rPr>
        <w:t>24</w:t>
      </w:r>
      <w:r w:rsidRPr="00177B6D">
        <w:t xml:space="preserve">  Outside employment</w:t>
      </w:r>
      <w:bookmarkEnd w:id="50"/>
    </w:p>
    <w:p w14:paraId="7D0F21EA" w14:textId="77777777" w:rsidR="005B0542" w:rsidRPr="00177B6D" w:rsidRDefault="005B0542" w:rsidP="005B0542">
      <w:pPr>
        <w:pStyle w:val="subsection"/>
      </w:pPr>
      <w:r w:rsidRPr="00177B6D">
        <w:tab/>
      </w:r>
      <w:r w:rsidRPr="00177B6D">
        <w:tab/>
        <w:t xml:space="preserve">The </w:t>
      </w:r>
      <w:r w:rsidR="00C34586" w:rsidRPr="00177B6D">
        <w:t>CEO</w:t>
      </w:r>
      <w:r w:rsidRPr="00177B6D">
        <w:t xml:space="preserve"> shall not engage in paid employment outside the duties of the office of </w:t>
      </w:r>
      <w:r w:rsidR="00C34586" w:rsidRPr="00177B6D">
        <w:t>CEO</w:t>
      </w:r>
      <w:r w:rsidRPr="00177B6D">
        <w:t xml:space="preserve"> except with the approval of the Minister.</w:t>
      </w:r>
    </w:p>
    <w:p w14:paraId="4895054B" w14:textId="77777777" w:rsidR="005B0542" w:rsidRPr="00177B6D" w:rsidRDefault="005B0542" w:rsidP="00484D56">
      <w:pPr>
        <w:pStyle w:val="ActHead5"/>
      </w:pPr>
      <w:bookmarkStart w:id="51" w:name="_Toc195097059"/>
      <w:r w:rsidRPr="004A520A">
        <w:rPr>
          <w:rStyle w:val="CharSectno"/>
        </w:rPr>
        <w:t>25</w:t>
      </w:r>
      <w:r w:rsidRPr="00177B6D">
        <w:t xml:space="preserve">  Resignation</w:t>
      </w:r>
      <w:bookmarkEnd w:id="51"/>
    </w:p>
    <w:p w14:paraId="17F8EEAE" w14:textId="08A1CF10" w:rsidR="005B0542" w:rsidRPr="00177B6D" w:rsidRDefault="005B0542" w:rsidP="00484D56">
      <w:pPr>
        <w:pStyle w:val="subsection"/>
        <w:keepLines/>
      </w:pPr>
      <w:r w:rsidRPr="00177B6D">
        <w:tab/>
      </w:r>
      <w:r w:rsidRPr="00177B6D">
        <w:tab/>
        <w:t xml:space="preserve">The </w:t>
      </w:r>
      <w:r w:rsidR="00C34586" w:rsidRPr="00177B6D">
        <w:t>CEO</w:t>
      </w:r>
      <w:r w:rsidRPr="00177B6D">
        <w:t xml:space="preserve"> may resign the office of </w:t>
      </w:r>
      <w:r w:rsidR="00C34586" w:rsidRPr="00177B6D">
        <w:t>CEO</w:t>
      </w:r>
      <w:r w:rsidRPr="00177B6D">
        <w:t xml:space="preserve"> by writing signed and delivered to the Governor</w:t>
      </w:r>
      <w:r w:rsidR="004A520A">
        <w:noBreakHyphen/>
      </w:r>
      <w:r w:rsidRPr="00177B6D">
        <w:t>General.</w:t>
      </w:r>
    </w:p>
    <w:p w14:paraId="43E95A49" w14:textId="77777777" w:rsidR="005B0542" w:rsidRPr="00177B6D" w:rsidRDefault="005B0542" w:rsidP="005B0542">
      <w:pPr>
        <w:pStyle w:val="ActHead5"/>
      </w:pPr>
      <w:bookmarkStart w:id="52" w:name="_Toc195097060"/>
      <w:r w:rsidRPr="004A520A">
        <w:rPr>
          <w:rStyle w:val="CharSectno"/>
        </w:rPr>
        <w:t>26</w:t>
      </w:r>
      <w:r w:rsidRPr="00177B6D">
        <w:t xml:space="preserve">  Termination of appointment</w:t>
      </w:r>
      <w:bookmarkEnd w:id="52"/>
    </w:p>
    <w:p w14:paraId="6A396A86" w14:textId="5A484EA4" w:rsidR="005B0542" w:rsidRPr="00177B6D" w:rsidRDefault="005B0542" w:rsidP="005B0542">
      <w:pPr>
        <w:pStyle w:val="subsection"/>
      </w:pPr>
      <w:r w:rsidRPr="00177B6D">
        <w:tab/>
        <w:t>(1)</w:t>
      </w:r>
      <w:r w:rsidRPr="00177B6D">
        <w:tab/>
        <w:t>The Governor</w:t>
      </w:r>
      <w:r w:rsidR="004A520A">
        <w:noBreakHyphen/>
      </w:r>
      <w:r w:rsidRPr="00177B6D">
        <w:t xml:space="preserve">General may terminate the appointment of the </w:t>
      </w:r>
      <w:r w:rsidR="00C34586" w:rsidRPr="00177B6D">
        <w:t>CEO</w:t>
      </w:r>
      <w:r w:rsidRPr="00177B6D">
        <w:t xml:space="preserve"> for misbehaviour or physical or mental incapacity.</w:t>
      </w:r>
    </w:p>
    <w:p w14:paraId="37B885E0" w14:textId="77777777" w:rsidR="005B0542" w:rsidRPr="00177B6D" w:rsidRDefault="005B0542" w:rsidP="005B0542">
      <w:pPr>
        <w:pStyle w:val="subsection"/>
      </w:pPr>
      <w:r w:rsidRPr="00177B6D">
        <w:tab/>
        <w:t>(2)</w:t>
      </w:r>
      <w:r w:rsidRPr="00177B6D">
        <w:tab/>
        <w:t xml:space="preserve">If the </w:t>
      </w:r>
      <w:r w:rsidR="00C34586" w:rsidRPr="00177B6D">
        <w:t>CEO</w:t>
      </w:r>
      <w:r w:rsidRPr="00177B6D">
        <w:t>:</w:t>
      </w:r>
    </w:p>
    <w:p w14:paraId="3CF4AB22" w14:textId="77777777" w:rsidR="005B0542" w:rsidRPr="00177B6D" w:rsidRDefault="005B0542" w:rsidP="005B0542">
      <w:pPr>
        <w:pStyle w:val="paragraph"/>
      </w:pPr>
      <w:r w:rsidRPr="00177B6D">
        <w:tab/>
        <w:t>(a)</w:t>
      </w:r>
      <w:r w:rsidRPr="00177B6D">
        <w:tab/>
        <w:t>becomes bankrupt, applies to take the benefit of any law for the relief of bankrupt or insolvent debtors, compounds with creditors or makes an assignment of remuneration for their benefit;</w:t>
      </w:r>
    </w:p>
    <w:p w14:paraId="1155F924" w14:textId="77777777" w:rsidR="005B0542" w:rsidRPr="00177B6D" w:rsidRDefault="005B0542" w:rsidP="005B0542">
      <w:pPr>
        <w:pStyle w:val="paragraph"/>
      </w:pPr>
      <w:r w:rsidRPr="00177B6D">
        <w:tab/>
        <w:t>(b)</w:t>
      </w:r>
      <w:r w:rsidRPr="00177B6D">
        <w:tab/>
        <w:t xml:space="preserve">engages, except with the approval of the Minister, in paid employment outside the duties of the office of </w:t>
      </w:r>
      <w:r w:rsidR="00C34586" w:rsidRPr="00177B6D">
        <w:t>CEO</w:t>
      </w:r>
      <w:r w:rsidRPr="00177B6D">
        <w:t>;</w:t>
      </w:r>
    </w:p>
    <w:p w14:paraId="2A439FFD" w14:textId="77777777" w:rsidR="005B0542" w:rsidRPr="00177B6D" w:rsidRDefault="005B0542" w:rsidP="005B0542">
      <w:pPr>
        <w:pStyle w:val="paragraph"/>
      </w:pPr>
      <w:r w:rsidRPr="00177B6D">
        <w:tab/>
        <w:t>(c)</w:t>
      </w:r>
      <w:r w:rsidRPr="00177B6D">
        <w:tab/>
        <w:t>is absent from duty, except on leave of absence granted by the Minister, for 14 consecutive days or 28 days in any 12 months; or</w:t>
      </w:r>
    </w:p>
    <w:p w14:paraId="7F5D7271" w14:textId="77777777" w:rsidR="00F177E6" w:rsidRPr="00177B6D" w:rsidRDefault="00F177E6" w:rsidP="00F177E6">
      <w:pPr>
        <w:pStyle w:val="paragraph"/>
      </w:pPr>
      <w:r w:rsidRPr="00177B6D">
        <w:tab/>
        <w:t>(d)</w:t>
      </w:r>
      <w:r w:rsidRPr="00177B6D">
        <w:tab/>
        <w:t>without reasonable excuse, contravenes:</w:t>
      </w:r>
    </w:p>
    <w:p w14:paraId="3EFC4878" w14:textId="77777777" w:rsidR="00F177E6" w:rsidRPr="00177B6D" w:rsidRDefault="00F177E6" w:rsidP="00F177E6">
      <w:pPr>
        <w:pStyle w:val="paragraphsub"/>
      </w:pPr>
      <w:r w:rsidRPr="00177B6D">
        <w:tab/>
        <w:t>(i)</w:t>
      </w:r>
      <w:r w:rsidRPr="00177B6D">
        <w:tab/>
        <w:t>section</w:t>
      </w:r>
      <w:r w:rsidR="00CC4F01" w:rsidRPr="00177B6D">
        <w:t> </w:t>
      </w:r>
      <w:r w:rsidRPr="00177B6D">
        <w:t>27; or</w:t>
      </w:r>
    </w:p>
    <w:p w14:paraId="6F750154" w14:textId="77777777" w:rsidR="00F177E6" w:rsidRPr="00177B6D" w:rsidRDefault="00F177E6" w:rsidP="00F177E6">
      <w:pPr>
        <w:pStyle w:val="paragraphsub"/>
      </w:pPr>
      <w:r w:rsidRPr="00177B6D">
        <w:tab/>
        <w:t>(ii)</w:t>
      </w:r>
      <w:r w:rsidRPr="00177B6D">
        <w:tab/>
        <w:t>section</w:t>
      </w:r>
      <w:r w:rsidR="00CC4F01" w:rsidRPr="00177B6D">
        <w:t> </w:t>
      </w:r>
      <w:r w:rsidRPr="00177B6D">
        <w:t xml:space="preserve">29 of the </w:t>
      </w:r>
      <w:r w:rsidRPr="00177B6D">
        <w:rPr>
          <w:i/>
        </w:rPr>
        <w:t xml:space="preserve">Public Governance, Performance and Accountability Act 2013 </w:t>
      </w:r>
      <w:r w:rsidRPr="00177B6D">
        <w:t xml:space="preserve">(which deals with the duty to </w:t>
      </w:r>
      <w:r w:rsidRPr="00177B6D">
        <w:lastRenderedPageBreak/>
        <w:t>disclose interests) or rules made for the purposes of that section;</w:t>
      </w:r>
    </w:p>
    <w:p w14:paraId="76C0D645" w14:textId="7E5B193A" w:rsidR="00726570" w:rsidRPr="00177B6D" w:rsidRDefault="00726570" w:rsidP="00726570">
      <w:pPr>
        <w:pStyle w:val="subsection2"/>
      </w:pPr>
      <w:r w:rsidRPr="00177B6D">
        <w:t>the Governor</w:t>
      </w:r>
      <w:r w:rsidR="004A520A">
        <w:noBreakHyphen/>
      </w:r>
      <w:r w:rsidRPr="00177B6D">
        <w:t xml:space="preserve">General shall terminate the appointment of the </w:t>
      </w:r>
      <w:r w:rsidR="00C34586" w:rsidRPr="00177B6D">
        <w:t>CEO</w:t>
      </w:r>
      <w:r w:rsidRPr="00177B6D">
        <w:t>.</w:t>
      </w:r>
    </w:p>
    <w:p w14:paraId="5EE8FE7D" w14:textId="77777777" w:rsidR="005B0542" w:rsidRPr="00177B6D" w:rsidRDefault="005B0542" w:rsidP="005B0542">
      <w:pPr>
        <w:pStyle w:val="ActHead5"/>
      </w:pPr>
      <w:bookmarkStart w:id="53" w:name="_Toc195097061"/>
      <w:r w:rsidRPr="004A520A">
        <w:rPr>
          <w:rStyle w:val="CharSectno"/>
        </w:rPr>
        <w:t>27</w:t>
      </w:r>
      <w:r w:rsidRPr="00177B6D">
        <w:t xml:space="preserve">  Disclosure of interest</w:t>
      </w:r>
      <w:bookmarkEnd w:id="53"/>
    </w:p>
    <w:p w14:paraId="2B77F121" w14:textId="77777777" w:rsidR="005B0542" w:rsidRPr="00177B6D" w:rsidRDefault="005B0542" w:rsidP="005B0542">
      <w:pPr>
        <w:pStyle w:val="subsection"/>
      </w:pPr>
      <w:r w:rsidRPr="00177B6D">
        <w:tab/>
      </w:r>
      <w:r w:rsidR="00F177E6" w:rsidRPr="00177B6D">
        <w:t>(1)</w:t>
      </w:r>
      <w:r w:rsidRPr="00177B6D">
        <w:tab/>
        <w:t xml:space="preserve">The </w:t>
      </w:r>
      <w:r w:rsidR="00C34586" w:rsidRPr="00177B6D">
        <w:t>CEO</w:t>
      </w:r>
      <w:r w:rsidRPr="00177B6D">
        <w:t xml:space="preserve"> shall give written notice to the Minister of all direct or indirect pecuniary interests that the </w:t>
      </w:r>
      <w:r w:rsidR="00C34586" w:rsidRPr="00177B6D">
        <w:t>CEO</w:t>
      </w:r>
      <w:r w:rsidRPr="00177B6D">
        <w:t xml:space="preserve"> has or acquires in, or in relation to, a relevant employer.</w:t>
      </w:r>
    </w:p>
    <w:p w14:paraId="336A5229" w14:textId="77777777" w:rsidR="00F177E6" w:rsidRPr="00177B6D" w:rsidRDefault="00F177E6" w:rsidP="00F177E6">
      <w:pPr>
        <w:pStyle w:val="subsection"/>
      </w:pPr>
      <w:r w:rsidRPr="00177B6D">
        <w:tab/>
        <w:t>(2)</w:t>
      </w:r>
      <w:r w:rsidRPr="00177B6D">
        <w:tab/>
      </w:r>
      <w:r w:rsidR="00CC4F01" w:rsidRPr="00177B6D">
        <w:t>Subsection (</w:t>
      </w:r>
      <w:r w:rsidRPr="00177B6D">
        <w:t>1) applies in addition to section</w:t>
      </w:r>
      <w:r w:rsidR="00CC4F01" w:rsidRPr="00177B6D">
        <w:t> </w:t>
      </w:r>
      <w:r w:rsidRPr="00177B6D">
        <w:t xml:space="preserve">29 of the </w:t>
      </w:r>
      <w:r w:rsidRPr="00177B6D">
        <w:rPr>
          <w:i/>
        </w:rPr>
        <w:t>Public Governance, Performance and Accountability Act 2013</w:t>
      </w:r>
      <w:r w:rsidRPr="00177B6D">
        <w:t xml:space="preserve"> (which deals with the duty to disclose interests).</w:t>
      </w:r>
    </w:p>
    <w:p w14:paraId="10DEBA33" w14:textId="77777777" w:rsidR="005B0542" w:rsidRPr="00177B6D" w:rsidRDefault="005B0542" w:rsidP="00484D56">
      <w:pPr>
        <w:pStyle w:val="ActHead5"/>
      </w:pPr>
      <w:bookmarkStart w:id="54" w:name="_Toc195097062"/>
      <w:r w:rsidRPr="004A520A">
        <w:rPr>
          <w:rStyle w:val="CharSectno"/>
        </w:rPr>
        <w:t>28</w:t>
      </w:r>
      <w:r w:rsidRPr="00177B6D">
        <w:t xml:space="preserve">  Acting appointment</w:t>
      </w:r>
      <w:bookmarkEnd w:id="54"/>
    </w:p>
    <w:p w14:paraId="4B99FF0F" w14:textId="77777777" w:rsidR="005B0542" w:rsidRPr="00177B6D" w:rsidRDefault="005B0542" w:rsidP="00484D56">
      <w:pPr>
        <w:pStyle w:val="subsection"/>
        <w:keepNext/>
        <w:keepLines/>
      </w:pPr>
      <w:r w:rsidRPr="00177B6D">
        <w:tab/>
        <w:t>(1)</w:t>
      </w:r>
      <w:r w:rsidRPr="00177B6D">
        <w:tab/>
        <w:t xml:space="preserve">The Minister may appoint a person to act as the </w:t>
      </w:r>
      <w:r w:rsidR="00C34586" w:rsidRPr="00177B6D">
        <w:t>CEO</w:t>
      </w:r>
      <w:r w:rsidRPr="00177B6D">
        <w:t>:</w:t>
      </w:r>
    </w:p>
    <w:p w14:paraId="6DDAB5B1" w14:textId="77777777" w:rsidR="005B0542" w:rsidRPr="00177B6D" w:rsidRDefault="005B0542" w:rsidP="00484D56">
      <w:pPr>
        <w:pStyle w:val="paragraph"/>
        <w:keepNext/>
        <w:keepLines/>
      </w:pPr>
      <w:r w:rsidRPr="00177B6D">
        <w:tab/>
        <w:t>(a)</w:t>
      </w:r>
      <w:r w:rsidRPr="00177B6D">
        <w:tab/>
        <w:t xml:space="preserve">during a vacancy in the office of </w:t>
      </w:r>
      <w:r w:rsidR="00C34586" w:rsidRPr="00177B6D">
        <w:t>CEO</w:t>
      </w:r>
      <w:r w:rsidRPr="00177B6D">
        <w:t xml:space="preserve"> (whether or not an appointment has previously been made to the office); or</w:t>
      </w:r>
    </w:p>
    <w:p w14:paraId="7A793FEF" w14:textId="77777777" w:rsidR="005B0542" w:rsidRPr="00177B6D" w:rsidRDefault="005B0542" w:rsidP="005B0542">
      <w:pPr>
        <w:pStyle w:val="paragraph"/>
        <w:keepNext/>
      </w:pPr>
      <w:r w:rsidRPr="00177B6D">
        <w:tab/>
        <w:t>(b)</w:t>
      </w:r>
      <w:r w:rsidRPr="00177B6D">
        <w:tab/>
        <w:t xml:space="preserve">during any period, or during all periods, when the </w:t>
      </w:r>
      <w:r w:rsidR="00C34586" w:rsidRPr="00177B6D">
        <w:t>CEO</w:t>
      </w:r>
      <w:r w:rsidRPr="00177B6D">
        <w:t xml:space="preserve"> is absent from duty or from Australia or is, for any reason, unable to perform the duties of the office of </w:t>
      </w:r>
      <w:r w:rsidR="00C34586" w:rsidRPr="00177B6D">
        <w:t>CEO</w:t>
      </w:r>
      <w:r w:rsidRPr="00177B6D">
        <w:t>;</w:t>
      </w:r>
    </w:p>
    <w:p w14:paraId="18969EC0" w14:textId="77777777" w:rsidR="005B0542" w:rsidRPr="00177B6D" w:rsidRDefault="005B0542" w:rsidP="005B0542">
      <w:pPr>
        <w:pStyle w:val="subsection2"/>
      </w:pPr>
      <w:r w:rsidRPr="00177B6D">
        <w:t>but a person appointed to act during a vacancy shall not continue so to act for more than 12 months.</w:t>
      </w:r>
    </w:p>
    <w:p w14:paraId="6554E704" w14:textId="77777777" w:rsidR="005B0542" w:rsidRPr="00177B6D" w:rsidRDefault="005B0542" w:rsidP="005B0542">
      <w:pPr>
        <w:pStyle w:val="subsection"/>
      </w:pPr>
      <w:r w:rsidRPr="00177B6D">
        <w:tab/>
        <w:t>(2)</w:t>
      </w:r>
      <w:r w:rsidRPr="00177B6D">
        <w:tab/>
        <w:t xml:space="preserve">While a person is acting as the </w:t>
      </w:r>
      <w:r w:rsidR="00C34586" w:rsidRPr="00177B6D">
        <w:t>CEO</w:t>
      </w:r>
      <w:r w:rsidRPr="00177B6D">
        <w:t xml:space="preserve">, the person has and may exercise all the powers, and shall perform all the functions, of the </w:t>
      </w:r>
      <w:r w:rsidR="00C34586" w:rsidRPr="00177B6D">
        <w:t>CEO</w:t>
      </w:r>
      <w:r w:rsidRPr="00177B6D">
        <w:t>.</w:t>
      </w:r>
    </w:p>
    <w:p w14:paraId="052F784C" w14:textId="77777777" w:rsidR="005B0542" w:rsidRPr="00177B6D" w:rsidRDefault="005B0542" w:rsidP="005B0542">
      <w:pPr>
        <w:pStyle w:val="subsection"/>
      </w:pPr>
      <w:r w:rsidRPr="00177B6D">
        <w:tab/>
        <w:t>(3)</w:t>
      </w:r>
      <w:r w:rsidRPr="00177B6D">
        <w:tab/>
        <w:t xml:space="preserve">An appointment of a person to act as </w:t>
      </w:r>
      <w:r w:rsidR="00C34586" w:rsidRPr="00177B6D">
        <w:t>CEO</w:t>
      </w:r>
      <w:r w:rsidRPr="00177B6D">
        <w:t xml:space="preserve"> may be expressed to have effect only in such circumstances as are specified in the instrument of appointment.</w:t>
      </w:r>
    </w:p>
    <w:p w14:paraId="0926A80C" w14:textId="77777777" w:rsidR="005B0542" w:rsidRPr="00177B6D" w:rsidRDefault="005B0542" w:rsidP="005B0542">
      <w:pPr>
        <w:pStyle w:val="subsection"/>
        <w:keepNext/>
      </w:pPr>
      <w:r w:rsidRPr="00177B6D">
        <w:tab/>
        <w:t>(4)</w:t>
      </w:r>
      <w:r w:rsidRPr="00177B6D">
        <w:tab/>
        <w:t>The Minister may:</w:t>
      </w:r>
    </w:p>
    <w:p w14:paraId="2B097CD2" w14:textId="77777777" w:rsidR="005B0542" w:rsidRPr="00177B6D" w:rsidRDefault="005B0542" w:rsidP="005B0542">
      <w:pPr>
        <w:pStyle w:val="paragraph"/>
      </w:pPr>
      <w:r w:rsidRPr="00177B6D">
        <w:tab/>
        <w:t>(a)</w:t>
      </w:r>
      <w:r w:rsidRPr="00177B6D">
        <w:tab/>
        <w:t xml:space="preserve">determine the terms and conditions of appointment, including remuneration and allowances, of a person appointed to act as the </w:t>
      </w:r>
      <w:r w:rsidR="00C34586" w:rsidRPr="00177B6D">
        <w:t>CEO</w:t>
      </w:r>
      <w:r w:rsidRPr="00177B6D">
        <w:t>; and</w:t>
      </w:r>
    </w:p>
    <w:p w14:paraId="2606616D" w14:textId="77777777" w:rsidR="005B0542" w:rsidRPr="00177B6D" w:rsidRDefault="005B0542" w:rsidP="005B0542">
      <w:pPr>
        <w:pStyle w:val="paragraph"/>
      </w:pPr>
      <w:r w:rsidRPr="00177B6D">
        <w:tab/>
        <w:t>(b)</w:t>
      </w:r>
      <w:r w:rsidRPr="00177B6D">
        <w:tab/>
        <w:t>terminate such an appointment at any time.</w:t>
      </w:r>
    </w:p>
    <w:p w14:paraId="5DD463F8" w14:textId="77777777" w:rsidR="005B0542" w:rsidRPr="00177B6D" w:rsidRDefault="005B0542" w:rsidP="005B0542">
      <w:pPr>
        <w:pStyle w:val="subsection"/>
      </w:pPr>
      <w:r w:rsidRPr="00177B6D">
        <w:lastRenderedPageBreak/>
        <w:tab/>
        <w:t>(5)</w:t>
      </w:r>
      <w:r w:rsidRPr="00177B6D">
        <w:tab/>
        <w:t xml:space="preserve">Where a person is acting as the </w:t>
      </w:r>
      <w:r w:rsidR="00C34586" w:rsidRPr="00177B6D">
        <w:t>CEO</w:t>
      </w:r>
      <w:r w:rsidRPr="00177B6D">
        <w:t xml:space="preserve"> otherwise than by reason of a vacancy in the office of </w:t>
      </w:r>
      <w:r w:rsidR="00C34586" w:rsidRPr="00177B6D">
        <w:t>CEO</w:t>
      </w:r>
      <w:r w:rsidRPr="00177B6D">
        <w:t xml:space="preserve">, and the office of </w:t>
      </w:r>
      <w:r w:rsidR="00C34586" w:rsidRPr="00177B6D">
        <w:t>CEO</w:t>
      </w:r>
      <w:r w:rsidRPr="00177B6D">
        <w:t xml:space="preserve"> becomes vacant while the person is so acting, then, subject to </w:t>
      </w:r>
      <w:r w:rsidR="00CC4F01" w:rsidRPr="00177B6D">
        <w:t>subsection (</w:t>
      </w:r>
      <w:r w:rsidRPr="00177B6D">
        <w:t>3), the person may continue so to act until the Minister otherwise directs, the vacancy is filled or a period of 12 months from the date on which the vacancy occurred expires, whichever first happens.</w:t>
      </w:r>
    </w:p>
    <w:p w14:paraId="380C04F9" w14:textId="77777777" w:rsidR="005B0542" w:rsidRPr="00177B6D" w:rsidRDefault="005B0542" w:rsidP="005B0542">
      <w:pPr>
        <w:pStyle w:val="subsection"/>
      </w:pPr>
      <w:r w:rsidRPr="00177B6D">
        <w:tab/>
        <w:t>(6)</w:t>
      </w:r>
      <w:r w:rsidRPr="00177B6D">
        <w:tab/>
        <w:t xml:space="preserve">A person appointed to act as the </w:t>
      </w:r>
      <w:r w:rsidR="00C34586" w:rsidRPr="00177B6D">
        <w:t>CEO</w:t>
      </w:r>
      <w:r w:rsidRPr="00177B6D">
        <w:t xml:space="preserve"> may resign by writing signed and delivered to the Minister.</w:t>
      </w:r>
    </w:p>
    <w:p w14:paraId="4027A32B" w14:textId="77777777" w:rsidR="005B0542" w:rsidRPr="00177B6D" w:rsidRDefault="005B0542" w:rsidP="00484D56">
      <w:pPr>
        <w:pStyle w:val="subsection"/>
        <w:keepNext/>
        <w:keepLines/>
      </w:pPr>
      <w:r w:rsidRPr="00177B6D">
        <w:tab/>
        <w:t>(7)</w:t>
      </w:r>
      <w:r w:rsidRPr="00177B6D">
        <w:tab/>
        <w:t xml:space="preserve">The validity of anything done by or in relation to a person purporting to act as the </w:t>
      </w:r>
      <w:r w:rsidR="00C34586" w:rsidRPr="00177B6D">
        <w:t>CEO</w:t>
      </w:r>
      <w:r w:rsidRPr="00177B6D">
        <w:t xml:space="preserve"> shall not be called in question on the ground that the occasion for the appointment had not arisen, that there was a defect or irregularity in or in connection with the appointment, that the appointment had ceased to have effect or that the occasion for the person to act had not arisen or had ceased.</w:t>
      </w:r>
    </w:p>
    <w:p w14:paraId="4BAB72E0" w14:textId="77777777" w:rsidR="005B0542" w:rsidRPr="00177B6D" w:rsidRDefault="005B0542" w:rsidP="002774D6">
      <w:pPr>
        <w:pStyle w:val="ActHead2"/>
        <w:pageBreakBefore/>
      </w:pPr>
      <w:bookmarkStart w:id="55" w:name="_Toc195097063"/>
      <w:r w:rsidRPr="004A520A">
        <w:rPr>
          <w:rStyle w:val="CharPartNo"/>
        </w:rPr>
        <w:lastRenderedPageBreak/>
        <w:t>Part VI</w:t>
      </w:r>
      <w:r w:rsidRPr="00177B6D">
        <w:t>—</w:t>
      </w:r>
      <w:r w:rsidRPr="004A520A">
        <w:rPr>
          <w:rStyle w:val="CharPartText"/>
        </w:rPr>
        <w:t>Miscellaneous</w:t>
      </w:r>
      <w:bookmarkEnd w:id="55"/>
    </w:p>
    <w:p w14:paraId="0B62D571" w14:textId="77777777" w:rsidR="005B0542" w:rsidRPr="00177B6D" w:rsidRDefault="004E0D3F" w:rsidP="005B0542">
      <w:pPr>
        <w:pStyle w:val="Header"/>
      </w:pPr>
      <w:r w:rsidRPr="004A520A">
        <w:rPr>
          <w:rStyle w:val="CharDivNo"/>
        </w:rPr>
        <w:t xml:space="preserve"> </w:t>
      </w:r>
      <w:r w:rsidRPr="004A520A">
        <w:rPr>
          <w:rStyle w:val="CharDivText"/>
        </w:rPr>
        <w:t xml:space="preserve"> </w:t>
      </w:r>
    </w:p>
    <w:p w14:paraId="69A31043" w14:textId="77777777" w:rsidR="005B0542" w:rsidRPr="00177B6D" w:rsidRDefault="005B0542" w:rsidP="005B0542">
      <w:pPr>
        <w:pStyle w:val="ActHead5"/>
      </w:pPr>
      <w:bookmarkStart w:id="56" w:name="_Toc195097064"/>
      <w:r w:rsidRPr="004A520A">
        <w:rPr>
          <w:rStyle w:val="CharSectno"/>
        </w:rPr>
        <w:t>29</w:t>
      </w:r>
      <w:r w:rsidRPr="00177B6D">
        <w:t xml:space="preserve">  Staff</w:t>
      </w:r>
      <w:bookmarkEnd w:id="56"/>
    </w:p>
    <w:p w14:paraId="2FB3CDBB" w14:textId="77777777" w:rsidR="005B0542" w:rsidRPr="00177B6D" w:rsidRDefault="005B0542" w:rsidP="005B0542">
      <w:pPr>
        <w:pStyle w:val="subsection"/>
      </w:pPr>
      <w:r w:rsidRPr="00177B6D">
        <w:tab/>
        <w:t>(1)</w:t>
      </w:r>
      <w:r w:rsidRPr="00177B6D">
        <w:tab/>
        <w:t xml:space="preserve">The staff required for the purposes of this Act shall be persons engaged under the </w:t>
      </w:r>
      <w:r w:rsidRPr="00177B6D">
        <w:rPr>
          <w:i/>
        </w:rPr>
        <w:t>Public Service Act 1999</w:t>
      </w:r>
      <w:r w:rsidRPr="00177B6D">
        <w:t>.</w:t>
      </w:r>
    </w:p>
    <w:p w14:paraId="1FE84E49" w14:textId="77777777" w:rsidR="005B0542" w:rsidRPr="00177B6D" w:rsidRDefault="005B0542" w:rsidP="005B0542">
      <w:pPr>
        <w:pStyle w:val="subsection"/>
      </w:pPr>
      <w:r w:rsidRPr="00177B6D">
        <w:tab/>
        <w:t>(2)</w:t>
      </w:r>
      <w:r w:rsidRPr="00177B6D">
        <w:tab/>
        <w:t xml:space="preserve">For the purposes of the </w:t>
      </w:r>
      <w:r w:rsidRPr="00177B6D">
        <w:rPr>
          <w:i/>
        </w:rPr>
        <w:t>Public Service Act 1999</w:t>
      </w:r>
      <w:r w:rsidRPr="00177B6D">
        <w:t>:</w:t>
      </w:r>
    </w:p>
    <w:p w14:paraId="2E1007B5" w14:textId="77777777" w:rsidR="005B0542" w:rsidRPr="00177B6D" w:rsidRDefault="005B0542" w:rsidP="005B0542">
      <w:pPr>
        <w:pStyle w:val="paragraph"/>
      </w:pPr>
      <w:r w:rsidRPr="00177B6D">
        <w:tab/>
        <w:t>(a)</w:t>
      </w:r>
      <w:r w:rsidRPr="00177B6D">
        <w:tab/>
        <w:t xml:space="preserve">the </w:t>
      </w:r>
      <w:r w:rsidR="00C34586" w:rsidRPr="00177B6D">
        <w:t>CEO</w:t>
      </w:r>
      <w:r w:rsidRPr="00177B6D">
        <w:t xml:space="preserve"> and the APS employees assisting the </w:t>
      </w:r>
      <w:r w:rsidR="00C34586" w:rsidRPr="00177B6D">
        <w:t>CEO</w:t>
      </w:r>
      <w:r w:rsidRPr="00177B6D">
        <w:t xml:space="preserve"> together constitute a Statutory Agency; and</w:t>
      </w:r>
    </w:p>
    <w:p w14:paraId="380485A5" w14:textId="77777777" w:rsidR="005B0542" w:rsidRPr="00177B6D" w:rsidRDefault="005B0542" w:rsidP="005B0542">
      <w:pPr>
        <w:pStyle w:val="paragraph"/>
      </w:pPr>
      <w:r w:rsidRPr="00177B6D">
        <w:tab/>
        <w:t>(b)</w:t>
      </w:r>
      <w:r w:rsidRPr="00177B6D">
        <w:tab/>
        <w:t xml:space="preserve">the </w:t>
      </w:r>
      <w:r w:rsidR="00C34586" w:rsidRPr="00177B6D">
        <w:t>CEO</w:t>
      </w:r>
      <w:r w:rsidRPr="00177B6D">
        <w:t xml:space="preserve"> is the Head of that Statutory Agency.</w:t>
      </w:r>
    </w:p>
    <w:p w14:paraId="2087CB15" w14:textId="77777777" w:rsidR="005B0542" w:rsidRPr="00177B6D" w:rsidRDefault="005B0542" w:rsidP="005B0542">
      <w:pPr>
        <w:pStyle w:val="ActHead5"/>
      </w:pPr>
      <w:bookmarkStart w:id="57" w:name="_Toc195097065"/>
      <w:r w:rsidRPr="004A520A">
        <w:rPr>
          <w:rStyle w:val="CharSectno"/>
        </w:rPr>
        <w:t>30</w:t>
      </w:r>
      <w:r w:rsidRPr="00177B6D">
        <w:t xml:space="preserve">  Consultants</w:t>
      </w:r>
      <w:bookmarkEnd w:id="57"/>
    </w:p>
    <w:p w14:paraId="1486AAB1" w14:textId="77777777" w:rsidR="005B0542" w:rsidRPr="00177B6D" w:rsidRDefault="005B0542" w:rsidP="005B0542">
      <w:pPr>
        <w:pStyle w:val="subsection"/>
      </w:pPr>
      <w:r w:rsidRPr="00177B6D">
        <w:tab/>
        <w:t>(1)</w:t>
      </w:r>
      <w:r w:rsidRPr="00177B6D">
        <w:tab/>
        <w:t>The Agency may, on behalf of the Commonwealth, engage as consultants to the Agency persons having suitable qualifications and experience.</w:t>
      </w:r>
    </w:p>
    <w:p w14:paraId="0D4EF569" w14:textId="77777777" w:rsidR="005B0542" w:rsidRPr="00177B6D" w:rsidRDefault="005B0542" w:rsidP="005B0542">
      <w:pPr>
        <w:pStyle w:val="subsection"/>
      </w:pPr>
      <w:r w:rsidRPr="00177B6D">
        <w:tab/>
        <w:t>(2)</w:t>
      </w:r>
      <w:r w:rsidRPr="00177B6D">
        <w:tab/>
        <w:t xml:space="preserve">The terms and conditions of engagement of persons engaged under </w:t>
      </w:r>
      <w:r w:rsidR="00CC4F01" w:rsidRPr="00177B6D">
        <w:t>subsection (</w:t>
      </w:r>
      <w:r w:rsidRPr="00177B6D">
        <w:t>1) are such as are determined by the Agency.</w:t>
      </w:r>
    </w:p>
    <w:p w14:paraId="29297DF6" w14:textId="77777777" w:rsidR="005B0542" w:rsidRPr="00177B6D" w:rsidRDefault="005B0542" w:rsidP="005B0542">
      <w:pPr>
        <w:pStyle w:val="ActHead5"/>
      </w:pPr>
      <w:bookmarkStart w:id="58" w:name="_Toc195097066"/>
      <w:r w:rsidRPr="004A520A">
        <w:rPr>
          <w:rStyle w:val="CharSectno"/>
        </w:rPr>
        <w:t>31</w:t>
      </w:r>
      <w:r w:rsidRPr="00177B6D">
        <w:t xml:space="preserve">  Advisory committees</w:t>
      </w:r>
      <w:bookmarkEnd w:id="58"/>
    </w:p>
    <w:p w14:paraId="37D1FE6A" w14:textId="77777777" w:rsidR="005B0542" w:rsidRPr="00177B6D" w:rsidRDefault="005B0542" w:rsidP="005B0542">
      <w:pPr>
        <w:pStyle w:val="subsection"/>
      </w:pPr>
      <w:r w:rsidRPr="00177B6D">
        <w:tab/>
        <w:t>(1)</w:t>
      </w:r>
      <w:r w:rsidRPr="00177B6D">
        <w:tab/>
        <w:t xml:space="preserve">Subject to this section the Minister may, in consultation with the Agency, establish such advisory committees as the Minister considers necessary for the purpose of giving advice to the Minister and to the Agency on particular matters or classes of matters relating to </w:t>
      </w:r>
      <w:r w:rsidR="00016B5A" w:rsidRPr="00177B6D">
        <w:t>gender equality in the workplace</w:t>
      </w:r>
      <w:r w:rsidRPr="00177B6D">
        <w:t>, functions of the Agency or the operation of this Act.</w:t>
      </w:r>
    </w:p>
    <w:p w14:paraId="0E19FD41" w14:textId="77777777" w:rsidR="005B0542" w:rsidRPr="00177B6D" w:rsidRDefault="005B0542" w:rsidP="005B0542">
      <w:pPr>
        <w:pStyle w:val="subsection"/>
      </w:pPr>
      <w:r w:rsidRPr="00177B6D">
        <w:tab/>
        <w:t>(2)</w:t>
      </w:r>
      <w:r w:rsidRPr="00177B6D">
        <w:tab/>
        <w:t>An advisory committee shall consist of such persons as the Minister from time to time appoints.</w:t>
      </w:r>
    </w:p>
    <w:p w14:paraId="16156ACD" w14:textId="77777777" w:rsidR="005B0542" w:rsidRPr="00177B6D" w:rsidRDefault="005B0542" w:rsidP="005B0542">
      <w:pPr>
        <w:pStyle w:val="subsection"/>
      </w:pPr>
      <w:r w:rsidRPr="00177B6D">
        <w:tab/>
        <w:t>(3)</w:t>
      </w:r>
      <w:r w:rsidRPr="00177B6D">
        <w:tab/>
        <w:t>For the purposes of assisting the Minister in the appointment of the members of an advisory committee, the Agency may provide the Minister with a list of the names of persons:</w:t>
      </w:r>
    </w:p>
    <w:p w14:paraId="4EAEF930" w14:textId="77777777" w:rsidR="005B0542" w:rsidRPr="00177B6D" w:rsidRDefault="005B0542" w:rsidP="005B0542">
      <w:pPr>
        <w:pStyle w:val="paragraph"/>
      </w:pPr>
      <w:r w:rsidRPr="00177B6D">
        <w:lastRenderedPageBreak/>
        <w:tab/>
        <w:t>(a)</w:t>
      </w:r>
      <w:r w:rsidRPr="00177B6D">
        <w:tab/>
        <w:t>representing industry or business (including a part of an industry);</w:t>
      </w:r>
      <w:r w:rsidR="00943F1D" w:rsidRPr="00177B6D">
        <w:t xml:space="preserve"> </w:t>
      </w:r>
      <w:r w:rsidR="008052E5" w:rsidRPr="00177B6D">
        <w:t>or</w:t>
      </w:r>
    </w:p>
    <w:p w14:paraId="299A818D" w14:textId="77777777" w:rsidR="005B0542" w:rsidRPr="00177B6D" w:rsidRDefault="005B0542" w:rsidP="005B0542">
      <w:pPr>
        <w:pStyle w:val="paragraph"/>
      </w:pPr>
      <w:r w:rsidRPr="00177B6D">
        <w:tab/>
        <w:t>(b)</w:t>
      </w:r>
      <w:r w:rsidRPr="00177B6D">
        <w:tab/>
        <w:t xml:space="preserve">representing </w:t>
      </w:r>
      <w:r w:rsidR="003A068A" w:rsidRPr="00177B6D">
        <w:t>employee organisations; or</w:t>
      </w:r>
    </w:p>
    <w:p w14:paraId="2768D345" w14:textId="77777777" w:rsidR="005B0542" w:rsidRPr="00177B6D" w:rsidRDefault="005B0542" w:rsidP="005B0542">
      <w:pPr>
        <w:pStyle w:val="paragraph"/>
      </w:pPr>
      <w:r w:rsidRPr="00177B6D">
        <w:tab/>
        <w:t>(c)</w:t>
      </w:r>
      <w:r w:rsidRPr="00177B6D">
        <w:tab/>
        <w:t xml:space="preserve">representing </w:t>
      </w:r>
      <w:r w:rsidR="00363690" w:rsidRPr="00177B6D">
        <w:t>registered higher education providers</w:t>
      </w:r>
      <w:r w:rsidRPr="00177B6D">
        <w:t>;</w:t>
      </w:r>
      <w:r w:rsidR="001369C1" w:rsidRPr="00177B6D">
        <w:t xml:space="preserve"> or</w:t>
      </w:r>
    </w:p>
    <w:p w14:paraId="7B7DB7C2" w14:textId="77777777" w:rsidR="005B0542" w:rsidRPr="00177B6D" w:rsidRDefault="005B0542" w:rsidP="005B0542">
      <w:pPr>
        <w:pStyle w:val="paragraph"/>
      </w:pPr>
      <w:r w:rsidRPr="00177B6D">
        <w:tab/>
        <w:t>(e)</w:t>
      </w:r>
      <w:r w:rsidRPr="00177B6D">
        <w:tab/>
        <w:t xml:space="preserve">having special knowledge or interest in relation to </w:t>
      </w:r>
      <w:r w:rsidR="00923D6D" w:rsidRPr="00177B6D">
        <w:t>gender equality in the workplace</w:t>
      </w:r>
      <w:r w:rsidRPr="00177B6D">
        <w:t>, the functions of the Agency or the operation of this Act.</w:t>
      </w:r>
    </w:p>
    <w:p w14:paraId="20FF8870" w14:textId="47098AE3" w:rsidR="005B0542" w:rsidRPr="00177B6D" w:rsidRDefault="005B0542" w:rsidP="005B0542">
      <w:pPr>
        <w:pStyle w:val="subsection"/>
      </w:pPr>
      <w:r w:rsidRPr="00177B6D">
        <w:tab/>
        <w:t>(4)</w:t>
      </w:r>
      <w:r w:rsidRPr="00177B6D">
        <w:tab/>
        <w:t>A member of an advisory committee holds office for such period as is specified in the instrument of appointment, but is eligible for re</w:t>
      </w:r>
      <w:r w:rsidR="004A520A">
        <w:noBreakHyphen/>
      </w:r>
      <w:r w:rsidRPr="00177B6D">
        <w:t>appointment.</w:t>
      </w:r>
    </w:p>
    <w:p w14:paraId="0621E704" w14:textId="77777777" w:rsidR="005B0542" w:rsidRPr="00177B6D" w:rsidRDefault="005B0542" w:rsidP="005B0542">
      <w:pPr>
        <w:pStyle w:val="subsection"/>
      </w:pPr>
      <w:r w:rsidRPr="00177B6D">
        <w:tab/>
        <w:t>(5)</w:t>
      </w:r>
      <w:r w:rsidRPr="00177B6D">
        <w:tab/>
        <w:t>A member of an advisory committee may resign from office by writing signed and delivered to the Minister.</w:t>
      </w:r>
    </w:p>
    <w:p w14:paraId="5DA82C04" w14:textId="77777777" w:rsidR="005B0542" w:rsidRPr="00177B6D" w:rsidRDefault="005B0542" w:rsidP="005B0542">
      <w:pPr>
        <w:pStyle w:val="subsection"/>
      </w:pPr>
      <w:r w:rsidRPr="00177B6D">
        <w:tab/>
        <w:t>(6)</w:t>
      </w:r>
      <w:r w:rsidRPr="00177B6D">
        <w:tab/>
        <w:t>The number of members of an advisory committee required to constitute a quorum at a meeting of that advisory committee shall be as determined by the Minister.</w:t>
      </w:r>
    </w:p>
    <w:p w14:paraId="17AD6BB3" w14:textId="77777777" w:rsidR="005B0542" w:rsidRPr="00177B6D" w:rsidRDefault="005B0542" w:rsidP="005B0542">
      <w:pPr>
        <w:pStyle w:val="subsection"/>
      </w:pPr>
      <w:r w:rsidRPr="00177B6D">
        <w:tab/>
        <w:t>(7)</w:t>
      </w:r>
      <w:r w:rsidRPr="00177B6D">
        <w:tab/>
        <w:t>If the Minister decides that a member of an advisory committee should be remunerated, that member shall be paid such remuneration as is determined by the Remuneration Tribunal.</w:t>
      </w:r>
    </w:p>
    <w:p w14:paraId="7309681F" w14:textId="77777777" w:rsidR="005B0542" w:rsidRPr="00177B6D" w:rsidRDefault="005B0542" w:rsidP="005B0542">
      <w:pPr>
        <w:pStyle w:val="subsection"/>
      </w:pPr>
      <w:r w:rsidRPr="00177B6D">
        <w:tab/>
        <w:t>(8)</w:t>
      </w:r>
      <w:r w:rsidRPr="00177B6D">
        <w:tab/>
        <w:t>A member of an advisory committee shall be paid such allowances as are prescribed.</w:t>
      </w:r>
    </w:p>
    <w:p w14:paraId="4AEC7302" w14:textId="77777777" w:rsidR="005B0542" w:rsidRPr="00177B6D" w:rsidRDefault="005B0542" w:rsidP="005B0542">
      <w:pPr>
        <w:pStyle w:val="subsection"/>
      </w:pPr>
      <w:r w:rsidRPr="00177B6D">
        <w:tab/>
        <w:t>(9)</w:t>
      </w:r>
      <w:r w:rsidRPr="00177B6D">
        <w:tab/>
      </w:r>
      <w:r w:rsidR="00CC4F01" w:rsidRPr="00177B6D">
        <w:t>Subsections (</w:t>
      </w:r>
      <w:r w:rsidRPr="00177B6D">
        <w:t xml:space="preserve">7) and (8) have effect subject to the </w:t>
      </w:r>
      <w:r w:rsidRPr="00177B6D">
        <w:rPr>
          <w:i/>
        </w:rPr>
        <w:t>Remuneration Tribunal Act 1973</w:t>
      </w:r>
      <w:r w:rsidRPr="00177B6D">
        <w:t>.</w:t>
      </w:r>
    </w:p>
    <w:p w14:paraId="6C04F668" w14:textId="34E5FF5E" w:rsidR="005B0542" w:rsidRPr="00177B6D" w:rsidRDefault="005B0542" w:rsidP="005B0542">
      <w:pPr>
        <w:pStyle w:val="ActHead5"/>
      </w:pPr>
      <w:bookmarkStart w:id="59" w:name="_Toc195097067"/>
      <w:r w:rsidRPr="004A520A">
        <w:rPr>
          <w:rStyle w:val="CharSectno"/>
        </w:rPr>
        <w:t>32</w:t>
      </w:r>
      <w:r w:rsidRPr="00177B6D">
        <w:t xml:space="preserve">  Non</w:t>
      </w:r>
      <w:r w:rsidR="004A520A">
        <w:noBreakHyphen/>
      </w:r>
      <w:r w:rsidRPr="00177B6D">
        <w:t>disclosure of confidential information</w:t>
      </w:r>
      <w:bookmarkEnd w:id="59"/>
    </w:p>
    <w:p w14:paraId="156DD617" w14:textId="77777777" w:rsidR="005B0542" w:rsidRPr="00177B6D" w:rsidRDefault="005B0542" w:rsidP="005B0542">
      <w:pPr>
        <w:pStyle w:val="subsection"/>
      </w:pPr>
      <w:r w:rsidRPr="00177B6D">
        <w:tab/>
        <w:t>(1)</w:t>
      </w:r>
      <w:r w:rsidRPr="00177B6D">
        <w:tab/>
        <w:t xml:space="preserve">A person who is, or has at any time been, the </w:t>
      </w:r>
      <w:r w:rsidR="00C34586" w:rsidRPr="00177B6D">
        <w:t>CEO</w:t>
      </w:r>
      <w:r w:rsidRPr="00177B6D">
        <w:t xml:space="preserve"> or a member of the staff referred to in section</w:t>
      </w:r>
      <w:r w:rsidR="00CC4F01" w:rsidRPr="00177B6D">
        <w:t> </w:t>
      </w:r>
      <w:r w:rsidRPr="00177B6D">
        <w:t>29 or a consultant engaged under section</w:t>
      </w:r>
      <w:r w:rsidR="00CC4F01" w:rsidRPr="00177B6D">
        <w:t> </w:t>
      </w:r>
      <w:r w:rsidRPr="00177B6D">
        <w:t>30 or is, or has at any time been, authorised to perform or exercise any function or power under an arrangement in force under section</w:t>
      </w:r>
      <w:r w:rsidR="00CC4F01" w:rsidRPr="00177B6D">
        <w:t> </w:t>
      </w:r>
      <w:r w:rsidRPr="00177B6D">
        <w:t>33, shall not, either directly or indirectly:</w:t>
      </w:r>
    </w:p>
    <w:p w14:paraId="31BAEFD2" w14:textId="58384076" w:rsidR="005B0542" w:rsidRPr="00177B6D" w:rsidRDefault="005B0542" w:rsidP="005B0542">
      <w:pPr>
        <w:pStyle w:val="paragraph"/>
      </w:pPr>
      <w:r w:rsidRPr="00177B6D">
        <w:tab/>
        <w:t>(a)</w:t>
      </w:r>
      <w:r w:rsidRPr="00177B6D">
        <w:tab/>
        <w:t>make a record of, or divulge or communicate to any person, any confidential information acquired by the first</w:t>
      </w:r>
      <w:r w:rsidR="004A520A">
        <w:noBreakHyphen/>
      </w:r>
      <w:r w:rsidRPr="00177B6D">
        <w:t xml:space="preserve">mentioned person by reason of that person’s office, employment or </w:t>
      </w:r>
      <w:r w:rsidRPr="00177B6D">
        <w:lastRenderedPageBreak/>
        <w:t>engagement under or for the purposes of this Act or by reason of that person being or having been so authorised;</w:t>
      </w:r>
    </w:p>
    <w:p w14:paraId="6B8F1F5B" w14:textId="77777777" w:rsidR="005B0542" w:rsidRPr="00177B6D" w:rsidRDefault="005B0542" w:rsidP="005B0542">
      <w:pPr>
        <w:pStyle w:val="paragraph"/>
      </w:pPr>
      <w:r w:rsidRPr="00177B6D">
        <w:tab/>
        <w:t>(b)</w:t>
      </w:r>
      <w:r w:rsidRPr="00177B6D">
        <w:tab/>
        <w:t xml:space="preserve">make use of any information as is mentioned in </w:t>
      </w:r>
      <w:r w:rsidR="00CC4F01" w:rsidRPr="00177B6D">
        <w:t>paragraph (</w:t>
      </w:r>
      <w:r w:rsidRPr="00177B6D">
        <w:t>a); or</w:t>
      </w:r>
    </w:p>
    <w:p w14:paraId="6CB2DE9E" w14:textId="77777777" w:rsidR="005B0542" w:rsidRPr="00177B6D" w:rsidRDefault="005B0542" w:rsidP="005B0542">
      <w:pPr>
        <w:pStyle w:val="paragraph"/>
        <w:keepNext/>
      </w:pPr>
      <w:r w:rsidRPr="00177B6D">
        <w:tab/>
        <w:t>(c)</w:t>
      </w:r>
      <w:r w:rsidRPr="00177B6D">
        <w:tab/>
        <w:t>produce to any person a document relating to confidential information of another person furnished for the purposes of this Act.</w:t>
      </w:r>
    </w:p>
    <w:p w14:paraId="25133748" w14:textId="77777777" w:rsidR="005B0542" w:rsidRPr="00177B6D" w:rsidRDefault="005B0542" w:rsidP="005B0542">
      <w:pPr>
        <w:pStyle w:val="Penalty"/>
      </w:pPr>
      <w:r w:rsidRPr="00177B6D">
        <w:t>Penalty:</w:t>
      </w:r>
      <w:r w:rsidRPr="00177B6D">
        <w:tab/>
        <w:t>25 penalty units or imprisonment for 3 months, or both.</w:t>
      </w:r>
    </w:p>
    <w:p w14:paraId="6D3C7D93" w14:textId="77777777" w:rsidR="00E74392" w:rsidRPr="00177B6D" w:rsidRDefault="00E74392" w:rsidP="00E74392">
      <w:pPr>
        <w:pStyle w:val="subsection"/>
      </w:pPr>
      <w:r w:rsidRPr="00177B6D">
        <w:tab/>
        <w:t>(1A)</w:t>
      </w:r>
      <w:r w:rsidRPr="00177B6D">
        <w:tab/>
      </w:r>
      <w:r w:rsidR="00CC4F01" w:rsidRPr="00177B6D">
        <w:t>Subsection (</w:t>
      </w:r>
      <w:r w:rsidRPr="00177B6D">
        <w:t>1) does not apply to a person’s conduct if the person is:</w:t>
      </w:r>
    </w:p>
    <w:p w14:paraId="44AA67FD" w14:textId="77777777" w:rsidR="00E74392" w:rsidRPr="00177B6D" w:rsidRDefault="00E74392" w:rsidP="00E74392">
      <w:pPr>
        <w:pStyle w:val="paragraph"/>
      </w:pPr>
      <w:r w:rsidRPr="00177B6D">
        <w:tab/>
        <w:t>(a)</w:t>
      </w:r>
      <w:r w:rsidRPr="00177B6D">
        <w:tab/>
        <w:t>performing a duty or function, or exercising a power, under, or in connection with, this Act; or</w:t>
      </w:r>
    </w:p>
    <w:p w14:paraId="58642ADA" w14:textId="77777777" w:rsidR="00E74392" w:rsidRPr="00177B6D" w:rsidRDefault="00E74392" w:rsidP="00E74392">
      <w:pPr>
        <w:pStyle w:val="paragraph"/>
      </w:pPr>
      <w:r w:rsidRPr="00177B6D">
        <w:tab/>
        <w:t>(b)</w:t>
      </w:r>
      <w:r w:rsidRPr="00177B6D">
        <w:tab/>
        <w:t>performing a function, or exercising a power, under an arrangement in force under section</w:t>
      </w:r>
      <w:r w:rsidR="00CC4F01" w:rsidRPr="00177B6D">
        <w:t> </w:t>
      </w:r>
      <w:r w:rsidRPr="00177B6D">
        <w:t>33.</w:t>
      </w:r>
    </w:p>
    <w:p w14:paraId="15CCD426" w14:textId="70ACD6AA" w:rsidR="00E74392" w:rsidRPr="00177B6D" w:rsidRDefault="00E74392" w:rsidP="00E74392">
      <w:pPr>
        <w:pStyle w:val="notetext"/>
      </w:pPr>
      <w:r w:rsidRPr="00177B6D">
        <w:t>Note:</w:t>
      </w:r>
      <w:r w:rsidRPr="00177B6D">
        <w:tab/>
        <w:t xml:space="preserve">A defendant bears an evidential burden in relation to the matters in </w:t>
      </w:r>
      <w:r w:rsidR="00CC4F01" w:rsidRPr="00177B6D">
        <w:t>subsection (</w:t>
      </w:r>
      <w:r w:rsidRPr="00177B6D">
        <w:t>1A) (see sub</w:t>
      </w:r>
      <w:r w:rsidR="004A520A">
        <w:t>section 1</w:t>
      </w:r>
      <w:r w:rsidRPr="00177B6D">
        <w:t xml:space="preserve">3.3(3) of the </w:t>
      </w:r>
      <w:r w:rsidRPr="00177B6D">
        <w:rPr>
          <w:i/>
        </w:rPr>
        <w:t>Criminal Code</w:t>
      </w:r>
      <w:r w:rsidRPr="00177B6D">
        <w:t>).</w:t>
      </w:r>
    </w:p>
    <w:p w14:paraId="6DF37F4F" w14:textId="77777777" w:rsidR="005B0542" w:rsidRPr="00177B6D" w:rsidRDefault="005B0542" w:rsidP="005B0542">
      <w:pPr>
        <w:pStyle w:val="subsection"/>
      </w:pPr>
      <w:r w:rsidRPr="00177B6D">
        <w:tab/>
        <w:t>(2)</w:t>
      </w:r>
      <w:r w:rsidRPr="00177B6D">
        <w:tab/>
        <w:t xml:space="preserve">A person who is, or has at any time been, the </w:t>
      </w:r>
      <w:r w:rsidR="00C34586" w:rsidRPr="00177B6D">
        <w:t>CEO</w:t>
      </w:r>
      <w:r w:rsidRPr="00177B6D">
        <w:t xml:space="preserve"> or a member of the staff referred to in section</w:t>
      </w:r>
      <w:r w:rsidR="00CC4F01" w:rsidRPr="00177B6D">
        <w:t> </w:t>
      </w:r>
      <w:r w:rsidRPr="00177B6D">
        <w:t>29 or a consultant engaged under section</w:t>
      </w:r>
      <w:r w:rsidR="00CC4F01" w:rsidRPr="00177B6D">
        <w:t> </w:t>
      </w:r>
      <w:r w:rsidRPr="00177B6D">
        <w:t>30 or is, or has at any time been, authorised to perform or exercise any function or power under an arrangement in force under section</w:t>
      </w:r>
      <w:r w:rsidR="00CC4F01" w:rsidRPr="00177B6D">
        <w:t> </w:t>
      </w:r>
      <w:r w:rsidRPr="00177B6D">
        <w:t>33, shall not be required:</w:t>
      </w:r>
    </w:p>
    <w:p w14:paraId="3167DACF" w14:textId="0B40BDC1" w:rsidR="005B0542" w:rsidRPr="00177B6D" w:rsidRDefault="005B0542" w:rsidP="005B0542">
      <w:pPr>
        <w:pStyle w:val="paragraph"/>
      </w:pPr>
      <w:r w:rsidRPr="00177B6D">
        <w:tab/>
        <w:t>(a)</w:t>
      </w:r>
      <w:r w:rsidRPr="00177B6D">
        <w:tab/>
        <w:t>to divulge or communicate to a court any confidential information acquired by the first</w:t>
      </w:r>
      <w:r w:rsidR="004A520A">
        <w:noBreakHyphen/>
      </w:r>
      <w:r w:rsidRPr="00177B6D">
        <w:t>mentioned person by reason of that person’s office, employment or engagement under or for the purposes of this Act or by reason of that person being or having been so authorised; or</w:t>
      </w:r>
    </w:p>
    <w:p w14:paraId="7841FA42" w14:textId="4B39A607" w:rsidR="005B0542" w:rsidRPr="00177B6D" w:rsidRDefault="005B0542" w:rsidP="005B0542">
      <w:pPr>
        <w:pStyle w:val="paragraph"/>
        <w:keepNext/>
      </w:pPr>
      <w:r w:rsidRPr="00177B6D">
        <w:tab/>
        <w:t>(b)</w:t>
      </w:r>
      <w:r w:rsidRPr="00177B6D">
        <w:tab/>
        <w:t>to produce in a court a document relating to confidential information of which the first</w:t>
      </w:r>
      <w:r w:rsidR="004A520A">
        <w:noBreakHyphen/>
      </w:r>
      <w:r w:rsidRPr="00177B6D">
        <w:t xml:space="preserve"> mentioned person has custody, or to which that person has access, by reason of that person’s office, employment or engagement under or for the purposes of this Act or by reason of that person being or having been so authorised;</w:t>
      </w:r>
    </w:p>
    <w:p w14:paraId="162AA59F" w14:textId="77777777" w:rsidR="005B0542" w:rsidRPr="00177B6D" w:rsidRDefault="005B0542" w:rsidP="005B0542">
      <w:pPr>
        <w:pStyle w:val="subsection2"/>
      </w:pPr>
      <w:r w:rsidRPr="00177B6D">
        <w:t>except where it is necessary to do so for the purposes of this Act.</w:t>
      </w:r>
    </w:p>
    <w:p w14:paraId="7D20911C" w14:textId="77777777" w:rsidR="005B0542" w:rsidRPr="00177B6D" w:rsidRDefault="005B0542" w:rsidP="005B0542">
      <w:pPr>
        <w:pStyle w:val="subsection"/>
      </w:pPr>
      <w:r w:rsidRPr="00177B6D">
        <w:tab/>
        <w:t>(3)</w:t>
      </w:r>
      <w:r w:rsidRPr="00177B6D">
        <w:tab/>
        <w:t>Nothing in this section prohibits a person from:</w:t>
      </w:r>
    </w:p>
    <w:p w14:paraId="656BE2E5" w14:textId="77777777" w:rsidR="005B0542" w:rsidRPr="00177B6D" w:rsidRDefault="005B0542" w:rsidP="005B0542">
      <w:pPr>
        <w:pStyle w:val="paragraph"/>
      </w:pPr>
      <w:r w:rsidRPr="00177B6D">
        <w:lastRenderedPageBreak/>
        <w:tab/>
        <w:t>(a)</w:t>
      </w:r>
      <w:r w:rsidRPr="00177B6D">
        <w:tab/>
        <w:t>divulging or communicating information, or producing a document, to the Agency or an officer of a State, in accordance with an arrangement in force under section</w:t>
      </w:r>
      <w:r w:rsidR="00CC4F01" w:rsidRPr="00177B6D">
        <w:t> </w:t>
      </w:r>
      <w:r w:rsidRPr="00177B6D">
        <w:t>33; or</w:t>
      </w:r>
    </w:p>
    <w:p w14:paraId="76EC519E" w14:textId="77777777" w:rsidR="005B0542" w:rsidRPr="00177B6D" w:rsidRDefault="005B0542" w:rsidP="005B0542">
      <w:pPr>
        <w:pStyle w:val="paragraph"/>
      </w:pPr>
      <w:r w:rsidRPr="00177B6D">
        <w:tab/>
        <w:t>(b)</w:t>
      </w:r>
      <w:r w:rsidRPr="00177B6D">
        <w:tab/>
        <w:t>divulging or communicating information, or producing a document, that is required or permitted by an Act to be divulged, communicated or produced, as the case may be.</w:t>
      </w:r>
    </w:p>
    <w:p w14:paraId="6303FFD9" w14:textId="77777777" w:rsidR="005B0542" w:rsidRPr="00177B6D" w:rsidRDefault="005B0542" w:rsidP="005B0542">
      <w:pPr>
        <w:pStyle w:val="subsection"/>
      </w:pPr>
      <w:r w:rsidRPr="00177B6D">
        <w:tab/>
        <w:t>(4)</w:t>
      </w:r>
      <w:r w:rsidRPr="00177B6D">
        <w:tab/>
        <w:t>In this section:</w:t>
      </w:r>
    </w:p>
    <w:p w14:paraId="2B7B25F0" w14:textId="77777777" w:rsidR="005B0542" w:rsidRPr="00177B6D" w:rsidRDefault="005B0542" w:rsidP="005B0542">
      <w:pPr>
        <w:pStyle w:val="Definition"/>
      </w:pPr>
      <w:r w:rsidRPr="00177B6D">
        <w:rPr>
          <w:b/>
          <w:i/>
        </w:rPr>
        <w:t>confidential information</w:t>
      </w:r>
      <w:r w:rsidRPr="00177B6D">
        <w:t xml:space="preserve"> means information which, at the time when it is supplied by a relevant employer, the relevant employer has specified as being supplied in confidence.</w:t>
      </w:r>
    </w:p>
    <w:p w14:paraId="2E6B3690" w14:textId="77777777" w:rsidR="005B0542" w:rsidRPr="00177B6D" w:rsidRDefault="005B0542" w:rsidP="005B0542">
      <w:pPr>
        <w:pStyle w:val="Definition"/>
      </w:pPr>
      <w:r w:rsidRPr="00177B6D">
        <w:rPr>
          <w:b/>
          <w:i/>
        </w:rPr>
        <w:t>court</w:t>
      </w:r>
      <w:r w:rsidRPr="00177B6D">
        <w:t xml:space="preserve"> includes any tribunal, authority or person having power to require the production of documents or the answering of questions.</w:t>
      </w:r>
    </w:p>
    <w:p w14:paraId="62190C00" w14:textId="77777777" w:rsidR="005B0542" w:rsidRPr="00177B6D" w:rsidRDefault="005B0542" w:rsidP="005B0542">
      <w:pPr>
        <w:pStyle w:val="Definition"/>
      </w:pPr>
      <w:r w:rsidRPr="00177B6D">
        <w:rPr>
          <w:b/>
          <w:i/>
        </w:rPr>
        <w:t>produce</w:t>
      </w:r>
      <w:r w:rsidRPr="00177B6D">
        <w:t xml:space="preserve"> includes permit access to.</w:t>
      </w:r>
    </w:p>
    <w:p w14:paraId="75EE4618" w14:textId="77777777" w:rsidR="005B0542" w:rsidRPr="00177B6D" w:rsidRDefault="005B0542" w:rsidP="005B0542">
      <w:pPr>
        <w:pStyle w:val="ActHead5"/>
      </w:pPr>
      <w:bookmarkStart w:id="60" w:name="_Toc195097068"/>
      <w:r w:rsidRPr="004A520A">
        <w:rPr>
          <w:rStyle w:val="CharSectno"/>
        </w:rPr>
        <w:t>33</w:t>
      </w:r>
      <w:r w:rsidRPr="00177B6D">
        <w:t xml:space="preserve">  Delegation</w:t>
      </w:r>
      <w:bookmarkEnd w:id="60"/>
    </w:p>
    <w:p w14:paraId="51040EB6" w14:textId="77777777" w:rsidR="005B0542" w:rsidRPr="00177B6D" w:rsidRDefault="005B0542" w:rsidP="005B0542">
      <w:pPr>
        <w:pStyle w:val="subsection"/>
      </w:pPr>
      <w:r w:rsidRPr="00177B6D">
        <w:tab/>
        <w:t>(1)</w:t>
      </w:r>
      <w:r w:rsidRPr="00177B6D">
        <w:tab/>
        <w:t xml:space="preserve">The </w:t>
      </w:r>
      <w:r w:rsidR="00C34586" w:rsidRPr="00177B6D">
        <w:t>CEO</w:t>
      </w:r>
      <w:r w:rsidRPr="00177B6D">
        <w:t xml:space="preserve"> may, either generally or as otherwise provided by the instrument of delegation, by writing signed by the </w:t>
      </w:r>
      <w:r w:rsidR="00C34586" w:rsidRPr="00177B6D">
        <w:t>CEO</w:t>
      </w:r>
      <w:r w:rsidRPr="00177B6D">
        <w:t>, delegate to:</w:t>
      </w:r>
    </w:p>
    <w:p w14:paraId="23B55009" w14:textId="77777777" w:rsidR="005B0542" w:rsidRPr="00177B6D" w:rsidRDefault="005B0542" w:rsidP="005B0542">
      <w:pPr>
        <w:pStyle w:val="paragraph"/>
      </w:pPr>
      <w:r w:rsidRPr="00177B6D">
        <w:tab/>
        <w:t>(a)</w:t>
      </w:r>
      <w:r w:rsidRPr="00177B6D">
        <w:tab/>
        <w:t>a person referred to in subsection</w:t>
      </w:r>
      <w:r w:rsidR="00CC4F01" w:rsidRPr="00177B6D">
        <w:t> </w:t>
      </w:r>
      <w:r w:rsidRPr="00177B6D">
        <w:t>29(1); or</w:t>
      </w:r>
    </w:p>
    <w:p w14:paraId="7DCC1CAB" w14:textId="77777777" w:rsidR="005B0542" w:rsidRPr="00177B6D" w:rsidRDefault="005B0542" w:rsidP="005B0542">
      <w:pPr>
        <w:pStyle w:val="paragraph"/>
        <w:keepNext/>
      </w:pPr>
      <w:r w:rsidRPr="00177B6D">
        <w:tab/>
        <w:t>(b)</w:t>
      </w:r>
      <w:r w:rsidRPr="00177B6D">
        <w:tab/>
        <w:t xml:space="preserve">an officer in respect of whom an arrangement is in force under </w:t>
      </w:r>
      <w:r w:rsidR="00CC4F01" w:rsidRPr="00177B6D">
        <w:t>subsection (</w:t>
      </w:r>
      <w:r w:rsidRPr="00177B6D">
        <w:t>4);</w:t>
      </w:r>
    </w:p>
    <w:p w14:paraId="1A74BD31" w14:textId="77777777" w:rsidR="005B0542" w:rsidRPr="00177B6D" w:rsidRDefault="005B0542" w:rsidP="005B0542">
      <w:pPr>
        <w:pStyle w:val="subsection2"/>
      </w:pPr>
      <w:r w:rsidRPr="00177B6D">
        <w:t>all or any of the powers and functions of the Agency under this Act other than this power of delegation.</w:t>
      </w:r>
    </w:p>
    <w:p w14:paraId="0B8AB807" w14:textId="77777777" w:rsidR="005B0542" w:rsidRPr="00177B6D" w:rsidRDefault="005B0542" w:rsidP="005B0542">
      <w:pPr>
        <w:pStyle w:val="subsection"/>
      </w:pPr>
      <w:r w:rsidRPr="00177B6D">
        <w:tab/>
        <w:t>(2)</w:t>
      </w:r>
      <w:r w:rsidRPr="00177B6D">
        <w:tab/>
        <w:t>A power or function so delegated, when exercised or performed by the delegate, shall, for the purposes of this Act, be deemed to have been exercised or performed by the Agency.</w:t>
      </w:r>
    </w:p>
    <w:p w14:paraId="63C292FF" w14:textId="77777777" w:rsidR="005B0542" w:rsidRPr="00177B6D" w:rsidRDefault="005B0542" w:rsidP="005B0542">
      <w:pPr>
        <w:pStyle w:val="subsection"/>
      </w:pPr>
      <w:r w:rsidRPr="00177B6D">
        <w:tab/>
        <w:t>(3)</w:t>
      </w:r>
      <w:r w:rsidRPr="00177B6D">
        <w:tab/>
        <w:t>A delegation under this section does not prevent the exercise of a power or the performance of a function by the Agency.</w:t>
      </w:r>
    </w:p>
    <w:p w14:paraId="3A8E3227" w14:textId="77777777" w:rsidR="005B0542" w:rsidRPr="00177B6D" w:rsidRDefault="005B0542" w:rsidP="005B0542">
      <w:pPr>
        <w:pStyle w:val="subsection"/>
      </w:pPr>
      <w:r w:rsidRPr="00177B6D">
        <w:tab/>
        <w:t>(4)</w:t>
      </w:r>
      <w:r w:rsidRPr="00177B6D">
        <w:tab/>
        <w:t>The Minister may make an arrangement with a Minister of a State for and in relation to the exercise of powers, and the performance of functions, of the Agency under this Act by an officer of the State.</w:t>
      </w:r>
    </w:p>
    <w:p w14:paraId="7C26E31F" w14:textId="77777777" w:rsidR="005B0542" w:rsidRPr="00177B6D" w:rsidRDefault="005B0542" w:rsidP="005B0542">
      <w:pPr>
        <w:pStyle w:val="subsection"/>
      </w:pPr>
      <w:r w:rsidRPr="00177B6D">
        <w:lastRenderedPageBreak/>
        <w:tab/>
        <w:t>(6)</w:t>
      </w:r>
      <w:r w:rsidRPr="00177B6D">
        <w:tab/>
        <w:t>An arrangement may contain such incidental or supplementary provisions as the Minister and the Minister of the State think necessary.</w:t>
      </w:r>
    </w:p>
    <w:p w14:paraId="7AE41E1C" w14:textId="77777777" w:rsidR="005B0542" w:rsidRPr="00177B6D" w:rsidRDefault="005B0542" w:rsidP="005B0542">
      <w:pPr>
        <w:pStyle w:val="subsection"/>
      </w:pPr>
      <w:r w:rsidRPr="00177B6D">
        <w:tab/>
        <w:t>(7)</w:t>
      </w:r>
      <w:r w:rsidRPr="00177B6D">
        <w:tab/>
        <w:t>The Minister may arrange with the Minister of a State with whom an arrangement is in force for the variation or revocation of the arrangement.</w:t>
      </w:r>
    </w:p>
    <w:p w14:paraId="1C641022" w14:textId="77777777" w:rsidR="005B0542" w:rsidRPr="00177B6D" w:rsidRDefault="005B0542" w:rsidP="005B0542">
      <w:pPr>
        <w:pStyle w:val="subsection"/>
      </w:pPr>
      <w:r w:rsidRPr="00177B6D">
        <w:tab/>
        <w:t>(8)</w:t>
      </w:r>
      <w:r w:rsidRPr="00177B6D">
        <w:tab/>
        <w:t>An arrangement, or the variation or revocation of an arrangement, shall be in writing and a copy of each instrument by which an arrangement has been made, varied or revoked shall be published in the</w:t>
      </w:r>
      <w:r w:rsidRPr="00177B6D">
        <w:rPr>
          <w:i/>
        </w:rPr>
        <w:t xml:space="preserve"> Gazette</w:t>
      </w:r>
      <w:r w:rsidRPr="00177B6D">
        <w:t>.</w:t>
      </w:r>
    </w:p>
    <w:p w14:paraId="45CBBAD9" w14:textId="77777777" w:rsidR="000C0FEE" w:rsidRPr="00177B6D" w:rsidRDefault="000C0FEE" w:rsidP="000C0FEE">
      <w:pPr>
        <w:pStyle w:val="ActHead5"/>
      </w:pPr>
      <w:bookmarkStart w:id="61" w:name="_Toc195097069"/>
      <w:r w:rsidRPr="004A520A">
        <w:rPr>
          <w:rStyle w:val="CharSectno"/>
        </w:rPr>
        <w:t>33A</w:t>
      </w:r>
      <w:r w:rsidRPr="00177B6D">
        <w:t xml:space="preserve">  Minister to consult before making legislative instruments</w:t>
      </w:r>
      <w:bookmarkEnd w:id="61"/>
    </w:p>
    <w:p w14:paraId="33CBF026" w14:textId="77777777" w:rsidR="000C0FEE" w:rsidRPr="00177B6D" w:rsidRDefault="000C0FEE" w:rsidP="000C0FEE">
      <w:pPr>
        <w:pStyle w:val="subsection"/>
      </w:pPr>
      <w:r w:rsidRPr="00177B6D">
        <w:tab/>
        <w:t>(1)</w:t>
      </w:r>
      <w:r w:rsidRPr="00177B6D">
        <w:tab/>
        <w:t>Before making a legislative instrument under this Act, the Minister must consult the Agency and have regard to any recommendations of the Agency.</w:t>
      </w:r>
    </w:p>
    <w:p w14:paraId="31C8A910" w14:textId="77777777" w:rsidR="000C0FEE" w:rsidRPr="00177B6D" w:rsidRDefault="000C0FEE" w:rsidP="000C0FEE">
      <w:pPr>
        <w:pStyle w:val="subsection"/>
      </w:pPr>
      <w:r w:rsidRPr="00177B6D">
        <w:tab/>
        <w:t>(2)</w:t>
      </w:r>
      <w:r w:rsidRPr="00177B6D">
        <w:tab/>
        <w:t>The Minister must also consult such persons mentioned in subsection</w:t>
      </w:r>
      <w:r w:rsidR="00CC4F01" w:rsidRPr="00177B6D">
        <w:t> </w:t>
      </w:r>
      <w:r w:rsidRPr="00177B6D">
        <w:t>31(3) as the Minister considers appropriate.</w:t>
      </w:r>
    </w:p>
    <w:p w14:paraId="7A0A9AAF" w14:textId="6A3565B7" w:rsidR="000C0FEE" w:rsidRPr="00177B6D" w:rsidRDefault="000C0FEE" w:rsidP="000C0FEE">
      <w:pPr>
        <w:pStyle w:val="notetext"/>
      </w:pPr>
      <w:r w:rsidRPr="00177B6D">
        <w:t>Note:</w:t>
      </w:r>
      <w:r w:rsidRPr="00177B6D">
        <w:tab/>
        <w:t xml:space="preserve">For consultation requirements generally, see </w:t>
      </w:r>
      <w:r w:rsidR="004A520A">
        <w:t>section 1</w:t>
      </w:r>
      <w:r w:rsidR="009413FB" w:rsidRPr="00177B6D">
        <w:t xml:space="preserve">7 (consultation) of the </w:t>
      </w:r>
      <w:r w:rsidR="009413FB" w:rsidRPr="00177B6D">
        <w:rPr>
          <w:i/>
        </w:rPr>
        <w:t>Legislation Act 2003</w:t>
      </w:r>
      <w:r w:rsidRPr="00177B6D">
        <w:t>.</w:t>
      </w:r>
    </w:p>
    <w:p w14:paraId="03DD1D8B" w14:textId="77777777" w:rsidR="005B0542" w:rsidRPr="00177B6D" w:rsidRDefault="005B0542" w:rsidP="005B0542">
      <w:pPr>
        <w:pStyle w:val="ActHead5"/>
      </w:pPr>
      <w:bookmarkStart w:id="62" w:name="_Toc195097070"/>
      <w:r w:rsidRPr="004A520A">
        <w:rPr>
          <w:rStyle w:val="CharSectno"/>
        </w:rPr>
        <w:t>34</w:t>
      </w:r>
      <w:r w:rsidRPr="00177B6D">
        <w:t xml:space="preserve">  Regulations</w:t>
      </w:r>
      <w:bookmarkEnd w:id="62"/>
    </w:p>
    <w:p w14:paraId="54C31B9C" w14:textId="7B3CACD4" w:rsidR="005B0542" w:rsidRPr="00177B6D" w:rsidRDefault="005B0542" w:rsidP="005B0542">
      <w:pPr>
        <w:pStyle w:val="subsection"/>
      </w:pPr>
      <w:r w:rsidRPr="00177B6D">
        <w:tab/>
      </w:r>
      <w:r w:rsidRPr="00177B6D">
        <w:tab/>
        <w:t>The Governor</w:t>
      </w:r>
      <w:r w:rsidR="004A520A">
        <w:noBreakHyphen/>
      </w:r>
      <w:r w:rsidRPr="00177B6D">
        <w:t>General may make regulations, not inconsistent with this Act, prescribing matters:</w:t>
      </w:r>
    </w:p>
    <w:p w14:paraId="5C071FC3" w14:textId="77777777" w:rsidR="005B0542" w:rsidRPr="00177B6D" w:rsidRDefault="005B0542" w:rsidP="005B0542">
      <w:pPr>
        <w:pStyle w:val="paragraph"/>
      </w:pPr>
      <w:r w:rsidRPr="00177B6D">
        <w:tab/>
        <w:t>(a)</w:t>
      </w:r>
      <w:r w:rsidRPr="00177B6D">
        <w:tab/>
        <w:t>required or permitted by this Act to be prescribed; or</w:t>
      </w:r>
    </w:p>
    <w:p w14:paraId="185A71DB" w14:textId="77777777" w:rsidR="005B0542" w:rsidRPr="00177B6D" w:rsidRDefault="005B0542" w:rsidP="005B0542">
      <w:pPr>
        <w:pStyle w:val="paragraph"/>
      </w:pPr>
      <w:r w:rsidRPr="00177B6D">
        <w:tab/>
        <w:t>(b)</w:t>
      </w:r>
      <w:r w:rsidRPr="00177B6D">
        <w:tab/>
        <w:t xml:space="preserve">necessary or convenient to be prescribed for carrying out or giving effect to this Act. </w:t>
      </w:r>
    </w:p>
    <w:p w14:paraId="60CE9541" w14:textId="77777777" w:rsidR="0046009B" w:rsidRPr="00177B6D" w:rsidRDefault="0046009B" w:rsidP="0046009B">
      <w:pPr>
        <w:rPr>
          <w:lang w:eastAsia="en-AU"/>
        </w:rPr>
        <w:sectPr w:rsidR="0046009B" w:rsidRPr="00177B6D" w:rsidSect="00E77844">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14:paraId="7040CF61" w14:textId="77777777" w:rsidR="0068118D" w:rsidRPr="00177B6D" w:rsidRDefault="0068118D" w:rsidP="0068118D">
      <w:pPr>
        <w:pStyle w:val="ENotesHeading1"/>
        <w:pageBreakBefore/>
        <w:outlineLvl w:val="9"/>
      </w:pPr>
      <w:bookmarkStart w:id="63" w:name="_Toc195097071"/>
      <w:r w:rsidRPr="00177B6D">
        <w:lastRenderedPageBreak/>
        <w:t>Endnotes</w:t>
      </w:r>
      <w:bookmarkEnd w:id="63"/>
    </w:p>
    <w:p w14:paraId="04954088" w14:textId="77777777" w:rsidR="007005E6" w:rsidRPr="00177B6D" w:rsidRDefault="007005E6" w:rsidP="004C2B02">
      <w:pPr>
        <w:pStyle w:val="ENotesHeading2"/>
      </w:pPr>
      <w:bookmarkStart w:id="64" w:name="_Toc195097072"/>
      <w:r w:rsidRPr="00177B6D">
        <w:t>Endnote 1—About the endnotes</w:t>
      </w:r>
      <w:bookmarkEnd w:id="64"/>
    </w:p>
    <w:p w14:paraId="6CD95062" w14:textId="77777777" w:rsidR="007005E6" w:rsidRPr="00177B6D" w:rsidRDefault="007005E6" w:rsidP="00D86125">
      <w:pPr>
        <w:spacing w:after="120"/>
      </w:pPr>
      <w:r w:rsidRPr="00177B6D">
        <w:t>The endnotes provide information about this compilation and the compiled law.</w:t>
      </w:r>
    </w:p>
    <w:p w14:paraId="67EDBB88" w14:textId="77777777" w:rsidR="007005E6" w:rsidRPr="00177B6D" w:rsidRDefault="007005E6" w:rsidP="00D86125">
      <w:pPr>
        <w:spacing w:after="120"/>
      </w:pPr>
      <w:r w:rsidRPr="00177B6D">
        <w:t>The following endnotes are included in every compilation:</w:t>
      </w:r>
    </w:p>
    <w:p w14:paraId="26403B08" w14:textId="77777777" w:rsidR="007005E6" w:rsidRPr="00177B6D" w:rsidRDefault="007005E6" w:rsidP="00D86125">
      <w:r w:rsidRPr="00177B6D">
        <w:t>Endnote 1—About the endnotes</w:t>
      </w:r>
    </w:p>
    <w:p w14:paraId="09256798" w14:textId="77777777" w:rsidR="007005E6" w:rsidRPr="00177B6D" w:rsidRDefault="007005E6" w:rsidP="00D86125">
      <w:r w:rsidRPr="00177B6D">
        <w:t>Endnote 2—Abbreviation key</w:t>
      </w:r>
    </w:p>
    <w:p w14:paraId="7B03E2D8" w14:textId="77777777" w:rsidR="007005E6" w:rsidRPr="00177B6D" w:rsidRDefault="007005E6" w:rsidP="00D86125">
      <w:r w:rsidRPr="00177B6D">
        <w:t>Endnote 3—Legislation history</w:t>
      </w:r>
    </w:p>
    <w:p w14:paraId="5F227440" w14:textId="77777777" w:rsidR="007005E6" w:rsidRPr="00177B6D" w:rsidRDefault="007005E6" w:rsidP="00D86125">
      <w:pPr>
        <w:spacing w:after="120"/>
      </w:pPr>
      <w:r w:rsidRPr="00177B6D">
        <w:t>Endnote 4—Amendment history</w:t>
      </w:r>
    </w:p>
    <w:p w14:paraId="47D297C9" w14:textId="77777777" w:rsidR="007005E6" w:rsidRPr="00177B6D" w:rsidRDefault="007005E6" w:rsidP="00D86125">
      <w:r w:rsidRPr="00177B6D">
        <w:rPr>
          <w:b/>
        </w:rPr>
        <w:t>Abbreviation key—Endnote 2</w:t>
      </w:r>
    </w:p>
    <w:p w14:paraId="7515E05E" w14:textId="77777777" w:rsidR="007005E6" w:rsidRPr="00177B6D" w:rsidRDefault="007005E6" w:rsidP="00D86125">
      <w:pPr>
        <w:spacing w:after="120"/>
      </w:pPr>
      <w:r w:rsidRPr="00177B6D">
        <w:t>The abbreviation key sets out abbreviations that may be used in the endnotes.</w:t>
      </w:r>
    </w:p>
    <w:p w14:paraId="634D7AFF" w14:textId="77777777" w:rsidR="007005E6" w:rsidRPr="00177B6D" w:rsidRDefault="007005E6" w:rsidP="00D86125">
      <w:pPr>
        <w:rPr>
          <w:b/>
        </w:rPr>
      </w:pPr>
      <w:r w:rsidRPr="00177B6D">
        <w:rPr>
          <w:b/>
        </w:rPr>
        <w:t>Legislation history and amendment history—Endnotes 3 and 4</w:t>
      </w:r>
    </w:p>
    <w:p w14:paraId="2E74646D" w14:textId="77777777" w:rsidR="007005E6" w:rsidRPr="00177B6D" w:rsidRDefault="007005E6" w:rsidP="00D86125">
      <w:pPr>
        <w:spacing w:after="120"/>
      </w:pPr>
      <w:r w:rsidRPr="00177B6D">
        <w:t>Amending laws are annotated in the legislation history and amendment history.</w:t>
      </w:r>
    </w:p>
    <w:p w14:paraId="423D70A1" w14:textId="77777777" w:rsidR="007005E6" w:rsidRPr="00177B6D" w:rsidRDefault="007005E6" w:rsidP="00D86125">
      <w:pPr>
        <w:spacing w:after="120"/>
      </w:pPr>
      <w:r w:rsidRPr="00177B6D">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4A16B1D2" w14:textId="77777777" w:rsidR="007005E6" w:rsidRPr="00177B6D" w:rsidRDefault="007005E6" w:rsidP="00D86125">
      <w:pPr>
        <w:spacing w:after="120"/>
      </w:pPr>
      <w:r w:rsidRPr="00177B6D">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63B09D41" w14:textId="77777777" w:rsidR="007005E6" w:rsidRPr="00177B6D" w:rsidRDefault="007005E6" w:rsidP="00D86125">
      <w:pPr>
        <w:rPr>
          <w:b/>
        </w:rPr>
      </w:pPr>
      <w:r w:rsidRPr="00177B6D">
        <w:rPr>
          <w:b/>
        </w:rPr>
        <w:t>Editorial changes</w:t>
      </w:r>
    </w:p>
    <w:p w14:paraId="098DA9E6" w14:textId="77777777" w:rsidR="007005E6" w:rsidRPr="00177B6D" w:rsidRDefault="007005E6" w:rsidP="00D86125">
      <w:pPr>
        <w:spacing w:after="120"/>
      </w:pPr>
      <w:r w:rsidRPr="00177B6D">
        <w:t xml:space="preserve">The </w:t>
      </w:r>
      <w:r w:rsidRPr="00177B6D">
        <w:rPr>
          <w:i/>
        </w:rPr>
        <w:t>Legislation Act 2003</w:t>
      </w:r>
      <w:r w:rsidRPr="00177B6D">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1ABB8385" w14:textId="77777777" w:rsidR="007005E6" w:rsidRPr="00177B6D" w:rsidRDefault="007005E6" w:rsidP="00D86125">
      <w:pPr>
        <w:spacing w:after="120"/>
      </w:pPr>
      <w:r w:rsidRPr="00177B6D">
        <w:t>If the compilation includes editorial changes, the endnotes include a brief outline of the changes in general terms. Full details of any changes can be obtained from the Office of Parliamentary Counsel.</w:t>
      </w:r>
    </w:p>
    <w:p w14:paraId="26B14A2D" w14:textId="77777777" w:rsidR="007005E6" w:rsidRPr="00177B6D" w:rsidRDefault="007005E6" w:rsidP="00D86125">
      <w:pPr>
        <w:keepNext/>
      </w:pPr>
      <w:r w:rsidRPr="00177B6D">
        <w:rPr>
          <w:b/>
        </w:rPr>
        <w:t>Misdescribed amendments</w:t>
      </w:r>
    </w:p>
    <w:p w14:paraId="7A777769" w14:textId="20959431" w:rsidR="007005E6" w:rsidRPr="00177B6D" w:rsidRDefault="007005E6" w:rsidP="00A140E1">
      <w:pPr>
        <w:spacing w:after="120"/>
      </w:pPr>
      <w:r w:rsidRPr="00177B6D">
        <w:t xml:space="preserve">A misdescribed amendment is an amendment that does not accurately describe how an amendment is to be made. If, despite the misdescription, the amendment </w:t>
      </w:r>
      <w:r w:rsidRPr="00177B6D">
        <w:lastRenderedPageBreak/>
        <w:t xml:space="preserve">can be given effect as intended, then the misdescribed amendment can be incorporated through an editorial change made under </w:t>
      </w:r>
      <w:r w:rsidR="004A520A">
        <w:t>section 1</w:t>
      </w:r>
      <w:r w:rsidRPr="00177B6D">
        <w:t xml:space="preserve">5V of the </w:t>
      </w:r>
      <w:r w:rsidRPr="00177B6D">
        <w:rPr>
          <w:i/>
        </w:rPr>
        <w:t>Legislation Act 2003</w:t>
      </w:r>
      <w:r w:rsidRPr="00177B6D">
        <w:t>.</w:t>
      </w:r>
    </w:p>
    <w:p w14:paraId="542CF9E5" w14:textId="77777777" w:rsidR="007005E6" w:rsidRPr="00177B6D" w:rsidRDefault="007005E6" w:rsidP="00A140E1">
      <w:pPr>
        <w:spacing w:before="120" w:after="240"/>
      </w:pPr>
      <w:r w:rsidRPr="00177B6D">
        <w:t>If a misdescribed amendment cannot be given effect as intended, the amendment is not incorporated and “(md not incorp)” is added to the amendment history.</w:t>
      </w:r>
    </w:p>
    <w:p w14:paraId="4A43F7E9" w14:textId="4BE7542E" w:rsidR="0068118D" w:rsidRPr="00177B6D" w:rsidRDefault="0068118D" w:rsidP="0068118D"/>
    <w:p w14:paraId="2C8A77C4" w14:textId="77777777" w:rsidR="00160A95" w:rsidRPr="00177B6D" w:rsidRDefault="00160A95" w:rsidP="00160A95">
      <w:pPr>
        <w:pStyle w:val="ENotesHeading2"/>
        <w:pageBreakBefore/>
        <w:spacing w:after="240"/>
        <w:outlineLvl w:val="9"/>
      </w:pPr>
      <w:bookmarkStart w:id="65" w:name="_Toc195097073"/>
      <w:r w:rsidRPr="00177B6D">
        <w:lastRenderedPageBreak/>
        <w:t>Endnote 2—Abbreviation key</w:t>
      </w:r>
      <w:bookmarkEnd w:id="65"/>
    </w:p>
    <w:tbl>
      <w:tblPr>
        <w:tblW w:w="7939" w:type="dxa"/>
        <w:tblInd w:w="108" w:type="dxa"/>
        <w:tblLayout w:type="fixed"/>
        <w:tblLook w:val="0000" w:firstRow="0" w:lastRow="0" w:firstColumn="0" w:lastColumn="0" w:noHBand="0" w:noVBand="0"/>
      </w:tblPr>
      <w:tblGrid>
        <w:gridCol w:w="4253"/>
        <w:gridCol w:w="3686"/>
      </w:tblGrid>
      <w:tr w:rsidR="00160A95" w:rsidRPr="00177B6D" w14:paraId="77FA5422" w14:textId="77777777" w:rsidTr="00160A95">
        <w:tc>
          <w:tcPr>
            <w:tcW w:w="4253" w:type="dxa"/>
            <w:shd w:val="clear" w:color="auto" w:fill="auto"/>
          </w:tcPr>
          <w:p w14:paraId="5721770A" w14:textId="77777777" w:rsidR="00160A95" w:rsidRPr="00177B6D" w:rsidRDefault="00160A95" w:rsidP="00160A95">
            <w:pPr>
              <w:spacing w:before="60"/>
              <w:ind w:left="34"/>
              <w:rPr>
                <w:sz w:val="20"/>
              </w:rPr>
            </w:pPr>
            <w:r w:rsidRPr="00177B6D">
              <w:rPr>
                <w:sz w:val="20"/>
              </w:rPr>
              <w:t>ad = added or inserted</w:t>
            </w:r>
          </w:p>
        </w:tc>
        <w:tc>
          <w:tcPr>
            <w:tcW w:w="3686" w:type="dxa"/>
            <w:shd w:val="clear" w:color="auto" w:fill="auto"/>
          </w:tcPr>
          <w:p w14:paraId="39E0967F" w14:textId="77777777" w:rsidR="00160A95" w:rsidRPr="00177B6D" w:rsidRDefault="00160A95" w:rsidP="00160A95">
            <w:pPr>
              <w:spacing w:before="60"/>
              <w:ind w:left="34"/>
              <w:rPr>
                <w:sz w:val="20"/>
              </w:rPr>
            </w:pPr>
            <w:r w:rsidRPr="00177B6D">
              <w:rPr>
                <w:sz w:val="20"/>
              </w:rPr>
              <w:t>o = order(s)</w:t>
            </w:r>
          </w:p>
        </w:tc>
      </w:tr>
      <w:tr w:rsidR="00160A95" w:rsidRPr="00177B6D" w14:paraId="1300EB73" w14:textId="77777777" w:rsidTr="00160A95">
        <w:tc>
          <w:tcPr>
            <w:tcW w:w="4253" w:type="dxa"/>
            <w:shd w:val="clear" w:color="auto" w:fill="auto"/>
          </w:tcPr>
          <w:p w14:paraId="597A9FED" w14:textId="77777777" w:rsidR="00160A95" w:rsidRPr="00177B6D" w:rsidRDefault="00160A95" w:rsidP="00160A95">
            <w:pPr>
              <w:spacing w:before="60"/>
              <w:ind w:left="34"/>
              <w:rPr>
                <w:sz w:val="20"/>
              </w:rPr>
            </w:pPr>
            <w:r w:rsidRPr="00177B6D">
              <w:rPr>
                <w:sz w:val="20"/>
              </w:rPr>
              <w:t>am = amended</w:t>
            </w:r>
          </w:p>
        </w:tc>
        <w:tc>
          <w:tcPr>
            <w:tcW w:w="3686" w:type="dxa"/>
            <w:shd w:val="clear" w:color="auto" w:fill="auto"/>
          </w:tcPr>
          <w:p w14:paraId="50561F70" w14:textId="77777777" w:rsidR="00160A95" w:rsidRPr="00177B6D" w:rsidRDefault="00160A95" w:rsidP="00160A95">
            <w:pPr>
              <w:spacing w:before="60"/>
              <w:ind w:left="34"/>
              <w:rPr>
                <w:sz w:val="20"/>
              </w:rPr>
            </w:pPr>
            <w:r w:rsidRPr="00177B6D">
              <w:rPr>
                <w:sz w:val="20"/>
              </w:rPr>
              <w:t>Ord = Ordinance</w:t>
            </w:r>
          </w:p>
        </w:tc>
      </w:tr>
      <w:tr w:rsidR="00160A95" w:rsidRPr="00177B6D" w14:paraId="6F54EF41" w14:textId="77777777" w:rsidTr="00160A95">
        <w:tc>
          <w:tcPr>
            <w:tcW w:w="4253" w:type="dxa"/>
            <w:shd w:val="clear" w:color="auto" w:fill="auto"/>
          </w:tcPr>
          <w:p w14:paraId="25555380" w14:textId="77777777" w:rsidR="00160A95" w:rsidRPr="00177B6D" w:rsidRDefault="00160A95" w:rsidP="00160A95">
            <w:pPr>
              <w:spacing w:before="60"/>
              <w:ind w:left="34"/>
              <w:rPr>
                <w:sz w:val="20"/>
              </w:rPr>
            </w:pPr>
            <w:r w:rsidRPr="00177B6D">
              <w:rPr>
                <w:sz w:val="20"/>
              </w:rPr>
              <w:t>amdt = amendment</w:t>
            </w:r>
          </w:p>
        </w:tc>
        <w:tc>
          <w:tcPr>
            <w:tcW w:w="3686" w:type="dxa"/>
            <w:shd w:val="clear" w:color="auto" w:fill="auto"/>
          </w:tcPr>
          <w:p w14:paraId="55711C3B" w14:textId="77777777" w:rsidR="00160A95" w:rsidRPr="00177B6D" w:rsidRDefault="00160A95" w:rsidP="00160A95">
            <w:pPr>
              <w:spacing w:before="60"/>
              <w:ind w:left="34"/>
              <w:rPr>
                <w:sz w:val="20"/>
              </w:rPr>
            </w:pPr>
            <w:r w:rsidRPr="00177B6D">
              <w:rPr>
                <w:sz w:val="20"/>
              </w:rPr>
              <w:t>orig = original</w:t>
            </w:r>
          </w:p>
        </w:tc>
      </w:tr>
      <w:tr w:rsidR="00160A95" w:rsidRPr="00177B6D" w14:paraId="0FF72E60" w14:textId="77777777" w:rsidTr="00160A95">
        <w:tc>
          <w:tcPr>
            <w:tcW w:w="4253" w:type="dxa"/>
            <w:shd w:val="clear" w:color="auto" w:fill="auto"/>
          </w:tcPr>
          <w:p w14:paraId="286B7911" w14:textId="77777777" w:rsidR="00160A95" w:rsidRPr="00177B6D" w:rsidRDefault="00160A95" w:rsidP="00160A95">
            <w:pPr>
              <w:spacing w:before="60"/>
              <w:ind w:left="34"/>
              <w:rPr>
                <w:sz w:val="20"/>
              </w:rPr>
            </w:pPr>
            <w:r w:rsidRPr="00177B6D">
              <w:rPr>
                <w:sz w:val="20"/>
              </w:rPr>
              <w:t>c = clause(s)</w:t>
            </w:r>
          </w:p>
        </w:tc>
        <w:tc>
          <w:tcPr>
            <w:tcW w:w="3686" w:type="dxa"/>
            <w:shd w:val="clear" w:color="auto" w:fill="auto"/>
          </w:tcPr>
          <w:p w14:paraId="3E103CBF" w14:textId="77777777" w:rsidR="00160A95" w:rsidRPr="00177B6D" w:rsidRDefault="00160A95" w:rsidP="00160A95">
            <w:pPr>
              <w:spacing w:before="60"/>
              <w:ind w:left="34"/>
              <w:rPr>
                <w:sz w:val="20"/>
              </w:rPr>
            </w:pPr>
            <w:r w:rsidRPr="00177B6D">
              <w:rPr>
                <w:sz w:val="20"/>
              </w:rPr>
              <w:t>par = paragraph(s)/subparagraph(s)</w:t>
            </w:r>
          </w:p>
        </w:tc>
      </w:tr>
      <w:tr w:rsidR="00160A95" w:rsidRPr="00177B6D" w14:paraId="2CF957E4" w14:textId="77777777" w:rsidTr="00160A95">
        <w:tc>
          <w:tcPr>
            <w:tcW w:w="4253" w:type="dxa"/>
            <w:shd w:val="clear" w:color="auto" w:fill="auto"/>
          </w:tcPr>
          <w:p w14:paraId="18BADB30" w14:textId="77777777" w:rsidR="00160A95" w:rsidRPr="00177B6D" w:rsidRDefault="00160A95" w:rsidP="00160A95">
            <w:pPr>
              <w:spacing w:before="60"/>
              <w:ind w:left="34"/>
              <w:rPr>
                <w:sz w:val="20"/>
              </w:rPr>
            </w:pPr>
            <w:r w:rsidRPr="00177B6D">
              <w:rPr>
                <w:sz w:val="20"/>
              </w:rPr>
              <w:t>C[x] = Compilation No. x</w:t>
            </w:r>
          </w:p>
        </w:tc>
        <w:tc>
          <w:tcPr>
            <w:tcW w:w="3686" w:type="dxa"/>
            <w:shd w:val="clear" w:color="auto" w:fill="auto"/>
          </w:tcPr>
          <w:p w14:paraId="537790C3" w14:textId="7F69E7C7" w:rsidR="00160A95" w:rsidRPr="00177B6D" w:rsidRDefault="00160A95" w:rsidP="00160A95">
            <w:pPr>
              <w:ind w:left="34" w:firstLine="249"/>
              <w:rPr>
                <w:sz w:val="20"/>
              </w:rPr>
            </w:pPr>
            <w:r w:rsidRPr="00177B6D">
              <w:rPr>
                <w:sz w:val="20"/>
              </w:rPr>
              <w:t>/sub</w:t>
            </w:r>
            <w:r w:rsidR="004A520A">
              <w:rPr>
                <w:sz w:val="20"/>
              </w:rPr>
              <w:noBreakHyphen/>
            </w:r>
            <w:r w:rsidRPr="00177B6D">
              <w:rPr>
                <w:sz w:val="20"/>
              </w:rPr>
              <w:t>subparagraph(s)</w:t>
            </w:r>
          </w:p>
        </w:tc>
      </w:tr>
      <w:tr w:rsidR="00160A95" w:rsidRPr="00177B6D" w14:paraId="2EA0FBE0" w14:textId="77777777" w:rsidTr="00160A95">
        <w:tc>
          <w:tcPr>
            <w:tcW w:w="4253" w:type="dxa"/>
            <w:shd w:val="clear" w:color="auto" w:fill="auto"/>
          </w:tcPr>
          <w:p w14:paraId="74AD9181" w14:textId="77777777" w:rsidR="00160A95" w:rsidRPr="00177B6D" w:rsidRDefault="00160A95" w:rsidP="00160A95">
            <w:pPr>
              <w:spacing w:before="60"/>
              <w:ind w:left="34"/>
              <w:rPr>
                <w:sz w:val="20"/>
              </w:rPr>
            </w:pPr>
            <w:r w:rsidRPr="00177B6D">
              <w:rPr>
                <w:sz w:val="20"/>
              </w:rPr>
              <w:t>Ch = Chapter(s)</w:t>
            </w:r>
          </w:p>
        </w:tc>
        <w:tc>
          <w:tcPr>
            <w:tcW w:w="3686" w:type="dxa"/>
            <w:shd w:val="clear" w:color="auto" w:fill="auto"/>
          </w:tcPr>
          <w:p w14:paraId="41B3ED3C" w14:textId="77777777" w:rsidR="00160A95" w:rsidRPr="00177B6D" w:rsidRDefault="00160A95" w:rsidP="00160A95">
            <w:pPr>
              <w:spacing w:before="60"/>
              <w:ind w:left="34"/>
              <w:rPr>
                <w:sz w:val="20"/>
              </w:rPr>
            </w:pPr>
            <w:r w:rsidRPr="00177B6D">
              <w:rPr>
                <w:sz w:val="20"/>
              </w:rPr>
              <w:t>pres = present</w:t>
            </w:r>
          </w:p>
        </w:tc>
      </w:tr>
      <w:tr w:rsidR="00160A95" w:rsidRPr="00177B6D" w14:paraId="64614546" w14:textId="77777777" w:rsidTr="00160A95">
        <w:tc>
          <w:tcPr>
            <w:tcW w:w="4253" w:type="dxa"/>
            <w:shd w:val="clear" w:color="auto" w:fill="auto"/>
          </w:tcPr>
          <w:p w14:paraId="70EB9B7C" w14:textId="77777777" w:rsidR="00160A95" w:rsidRPr="00177B6D" w:rsidRDefault="00160A95" w:rsidP="00160A95">
            <w:pPr>
              <w:spacing w:before="60"/>
              <w:ind w:left="34"/>
              <w:rPr>
                <w:sz w:val="20"/>
              </w:rPr>
            </w:pPr>
            <w:r w:rsidRPr="00177B6D">
              <w:rPr>
                <w:sz w:val="20"/>
              </w:rPr>
              <w:t>def = definition(s)</w:t>
            </w:r>
          </w:p>
        </w:tc>
        <w:tc>
          <w:tcPr>
            <w:tcW w:w="3686" w:type="dxa"/>
            <w:shd w:val="clear" w:color="auto" w:fill="auto"/>
          </w:tcPr>
          <w:p w14:paraId="19B8DF75" w14:textId="77777777" w:rsidR="00160A95" w:rsidRPr="00177B6D" w:rsidRDefault="00160A95" w:rsidP="00160A95">
            <w:pPr>
              <w:spacing w:before="60"/>
              <w:ind w:left="34"/>
              <w:rPr>
                <w:sz w:val="20"/>
              </w:rPr>
            </w:pPr>
            <w:r w:rsidRPr="00177B6D">
              <w:rPr>
                <w:sz w:val="20"/>
              </w:rPr>
              <w:t>prev = previous</w:t>
            </w:r>
          </w:p>
        </w:tc>
      </w:tr>
      <w:tr w:rsidR="00160A95" w:rsidRPr="00177B6D" w14:paraId="0732DF8A" w14:textId="77777777" w:rsidTr="00160A95">
        <w:tc>
          <w:tcPr>
            <w:tcW w:w="4253" w:type="dxa"/>
            <w:shd w:val="clear" w:color="auto" w:fill="auto"/>
          </w:tcPr>
          <w:p w14:paraId="02AB69FF" w14:textId="77777777" w:rsidR="00160A95" w:rsidRPr="00177B6D" w:rsidRDefault="00160A95" w:rsidP="00160A95">
            <w:pPr>
              <w:spacing w:before="60"/>
              <w:ind w:left="34"/>
              <w:rPr>
                <w:sz w:val="20"/>
              </w:rPr>
            </w:pPr>
            <w:r w:rsidRPr="00177B6D">
              <w:rPr>
                <w:sz w:val="20"/>
              </w:rPr>
              <w:t>Dict = Dictionary</w:t>
            </w:r>
          </w:p>
        </w:tc>
        <w:tc>
          <w:tcPr>
            <w:tcW w:w="3686" w:type="dxa"/>
            <w:shd w:val="clear" w:color="auto" w:fill="auto"/>
          </w:tcPr>
          <w:p w14:paraId="050E0DC5" w14:textId="77777777" w:rsidR="00160A95" w:rsidRPr="00177B6D" w:rsidRDefault="00160A95" w:rsidP="00160A95">
            <w:pPr>
              <w:spacing w:before="60"/>
              <w:ind w:left="34"/>
              <w:rPr>
                <w:sz w:val="20"/>
              </w:rPr>
            </w:pPr>
            <w:r w:rsidRPr="00177B6D">
              <w:rPr>
                <w:sz w:val="20"/>
              </w:rPr>
              <w:t>(prev…) = previously</w:t>
            </w:r>
          </w:p>
        </w:tc>
      </w:tr>
      <w:tr w:rsidR="00160A95" w:rsidRPr="00177B6D" w14:paraId="4C5C5AF0" w14:textId="77777777" w:rsidTr="00160A95">
        <w:tc>
          <w:tcPr>
            <w:tcW w:w="4253" w:type="dxa"/>
            <w:shd w:val="clear" w:color="auto" w:fill="auto"/>
          </w:tcPr>
          <w:p w14:paraId="45B6789B" w14:textId="77777777" w:rsidR="00160A95" w:rsidRPr="00177B6D" w:rsidRDefault="00160A95" w:rsidP="00160A95">
            <w:pPr>
              <w:spacing w:before="60"/>
              <w:ind w:left="34"/>
              <w:rPr>
                <w:sz w:val="20"/>
              </w:rPr>
            </w:pPr>
            <w:r w:rsidRPr="00177B6D">
              <w:rPr>
                <w:sz w:val="20"/>
              </w:rPr>
              <w:t>disallowed = disallowed by Parliament</w:t>
            </w:r>
          </w:p>
        </w:tc>
        <w:tc>
          <w:tcPr>
            <w:tcW w:w="3686" w:type="dxa"/>
            <w:shd w:val="clear" w:color="auto" w:fill="auto"/>
          </w:tcPr>
          <w:p w14:paraId="043DA7D5" w14:textId="77777777" w:rsidR="00160A95" w:rsidRPr="00177B6D" w:rsidRDefault="00160A95" w:rsidP="00160A95">
            <w:pPr>
              <w:spacing w:before="60"/>
              <w:ind w:left="34"/>
              <w:rPr>
                <w:sz w:val="20"/>
              </w:rPr>
            </w:pPr>
            <w:r w:rsidRPr="00177B6D">
              <w:rPr>
                <w:sz w:val="20"/>
              </w:rPr>
              <w:t>Pt = Part(s)</w:t>
            </w:r>
          </w:p>
        </w:tc>
      </w:tr>
      <w:tr w:rsidR="00160A95" w:rsidRPr="00177B6D" w14:paraId="0126331D" w14:textId="77777777" w:rsidTr="00160A95">
        <w:tc>
          <w:tcPr>
            <w:tcW w:w="4253" w:type="dxa"/>
            <w:shd w:val="clear" w:color="auto" w:fill="auto"/>
          </w:tcPr>
          <w:p w14:paraId="0E198ABF" w14:textId="77777777" w:rsidR="00160A95" w:rsidRPr="00177B6D" w:rsidRDefault="00160A95" w:rsidP="00160A95">
            <w:pPr>
              <w:spacing w:before="60"/>
              <w:ind w:left="34"/>
              <w:rPr>
                <w:sz w:val="20"/>
              </w:rPr>
            </w:pPr>
            <w:r w:rsidRPr="00177B6D">
              <w:rPr>
                <w:sz w:val="20"/>
              </w:rPr>
              <w:t>Div = Division(s)</w:t>
            </w:r>
          </w:p>
        </w:tc>
        <w:tc>
          <w:tcPr>
            <w:tcW w:w="3686" w:type="dxa"/>
            <w:shd w:val="clear" w:color="auto" w:fill="auto"/>
          </w:tcPr>
          <w:p w14:paraId="04EC87E6" w14:textId="77777777" w:rsidR="00160A95" w:rsidRPr="00177B6D" w:rsidRDefault="00160A95" w:rsidP="00160A95">
            <w:pPr>
              <w:spacing w:before="60"/>
              <w:ind w:left="34"/>
              <w:rPr>
                <w:sz w:val="20"/>
              </w:rPr>
            </w:pPr>
            <w:r w:rsidRPr="00177B6D">
              <w:rPr>
                <w:sz w:val="20"/>
              </w:rPr>
              <w:t>r = regulation(s)/rule(s)</w:t>
            </w:r>
          </w:p>
        </w:tc>
      </w:tr>
      <w:tr w:rsidR="00160A95" w:rsidRPr="00177B6D" w14:paraId="1E1A5D5A" w14:textId="77777777" w:rsidTr="00160A95">
        <w:tc>
          <w:tcPr>
            <w:tcW w:w="4253" w:type="dxa"/>
            <w:shd w:val="clear" w:color="auto" w:fill="auto"/>
          </w:tcPr>
          <w:p w14:paraId="3183879F" w14:textId="77777777" w:rsidR="00160A95" w:rsidRPr="00177B6D" w:rsidRDefault="00160A95" w:rsidP="00160A95">
            <w:pPr>
              <w:spacing w:before="60"/>
              <w:ind w:left="34"/>
              <w:rPr>
                <w:sz w:val="20"/>
              </w:rPr>
            </w:pPr>
            <w:r w:rsidRPr="00177B6D">
              <w:rPr>
                <w:sz w:val="20"/>
              </w:rPr>
              <w:t>ed = editorial change</w:t>
            </w:r>
          </w:p>
        </w:tc>
        <w:tc>
          <w:tcPr>
            <w:tcW w:w="3686" w:type="dxa"/>
            <w:shd w:val="clear" w:color="auto" w:fill="auto"/>
          </w:tcPr>
          <w:p w14:paraId="1DF6BF6C" w14:textId="77777777" w:rsidR="00160A95" w:rsidRPr="00177B6D" w:rsidRDefault="00160A95" w:rsidP="00160A95">
            <w:pPr>
              <w:spacing w:before="60"/>
              <w:ind w:left="34"/>
              <w:rPr>
                <w:sz w:val="20"/>
              </w:rPr>
            </w:pPr>
            <w:r w:rsidRPr="00177B6D">
              <w:rPr>
                <w:sz w:val="20"/>
              </w:rPr>
              <w:t>reloc = relocated</w:t>
            </w:r>
          </w:p>
        </w:tc>
      </w:tr>
      <w:tr w:rsidR="00160A95" w:rsidRPr="00177B6D" w14:paraId="40B5A03E" w14:textId="77777777" w:rsidTr="00160A95">
        <w:tc>
          <w:tcPr>
            <w:tcW w:w="4253" w:type="dxa"/>
            <w:shd w:val="clear" w:color="auto" w:fill="auto"/>
          </w:tcPr>
          <w:p w14:paraId="747C0FFC" w14:textId="77777777" w:rsidR="00160A95" w:rsidRPr="00177B6D" w:rsidRDefault="00160A95" w:rsidP="00160A95">
            <w:pPr>
              <w:spacing w:before="60"/>
              <w:ind w:left="34"/>
              <w:rPr>
                <w:sz w:val="20"/>
              </w:rPr>
            </w:pPr>
            <w:r w:rsidRPr="00177B6D">
              <w:rPr>
                <w:sz w:val="20"/>
              </w:rPr>
              <w:t>exp = expires/expired or ceases/ceased to have</w:t>
            </w:r>
          </w:p>
        </w:tc>
        <w:tc>
          <w:tcPr>
            <w:tcW w:w="3686" w:type="dxa"/>
            <w:shd w:val="clear" w:color="auto" w:fill="auto"/>
          </w:tcPr>
          <w:p w14:paraId="567E2747" w14:textId="77777777" w:rsidR="00160A95" w:rsidRPr="00177B6D" w:rsidRDefault="00160A95" w:rsidP="00160A95">
            <w:pPr>
              <w:spacing w:before="60"/>
              <w:ind w:left="34"/>
              <w:rPr>
                <w:sz w:val="20"/>
              </w:rPr>
            </w:pPr>
            <w:r w:rsidRPr="00177B6D">
              <w:rPr>
                <w:sz w:val="20"/>
              </w:rPr>
              <w:t>renum = renumbered</w:t>
            </w:r>
          </w:p>
        </w:tc>
      </w:tr>
      <w:tr w:rsidR="00160A95" w:rsidRPr="00177B6D" w14:paraId="299B000E" w14:textId="77777777" w:rsidTr="00160A95">
        <w:tc>
          <w:tcPr>
            <w:tcW w:w="4253" w:type="dxa"/>
            <w:shd w:val="clear" w:color="auto" w:fill="auto"/>
          </w:tcPr>
          <w:p w14:paraId="12D12F03" w14:textId="77777777" w:rsidR="00160A95" w:rsidRPr="00177B6D" w:rsidRDefault="00160A95" w:rsidP="00160A95">
            <w:pPr>
              <w:ind w:left="34" w:firstLine="249"/>
              <w:rPr>
                <w:sz w:val="20"/>
              </w:rPr>
            </w:pPr>
            <w:r w:rsidRPr="00177B6D">
              <w:rPr>
                <w:sz w:val="20"/>
              </w:rPr>
              <w:t>effect</w:t>
            </w:r>
          </w:p>
        </w:tc>
        <w:tc>
          <w:tcPr>
            <w:tcW w:w="3686" w:type="dxa"/>
            <w:shd w:val="clear" w:color="auto" w:fill="auto"/>
          </w:tcPr>
          <w:p w14:paraId="7E053A50" w14:textId="77777777" w:rsidR="00160A95" w:rsidRPr="00177B6D" w:rsidRDefault="00160A95" w:rsidP="00160A95">
            <w:pPr>
              <w:spacing w:before="60"/>
              <w:ind w:left="34"/>
              <w:rPr>
                <w:sz w:val="20"/>
              </w:rPr>
            </w:pPr>
            <w:r w:rsidRPr="00177B6D">
              <w:rPr>
                <w:sz w:val="20"/>
              </w:rPr>
              <w:t>rep = repealed</w:t>
            </w:r>
          </w:p>
        </w:tc>
      </w:tr>
      <w:tr w:rsidR="00160A95" w:rsidRPr="00177B6D" w14:paraId="71AA0EC4" w14:textId="77777777" w:rsidTr="00160A95">
        <w:tc>
          <w:tcPr>
            <w:tcW w:w="4253" w:type="dxa"/>
            <w:shd w:val="clear" w:color="auto" w:fill="auto"/>
          </w:tcPr>
          <w:p w14:paraId="3A5DEFA1" w14:textId="77777777" w:rsidR="00160A95" w:rsidRPr="00177B6D" w:rsidRDefault="00160A95" w:rsidP="00160A95">
            <w:pPr>
              <w:spacing w:before="60"/>
              <w:ind w:left="34"/>
              <w:rPr>
                <w:sz w:val="20"/>
              </w:rPr>
            </w:pPr>
            <w:r w:rsidRPr="00177B6D">
              <w:rPr>
                <w:sz w:val="20"/>
              </w:rPr>
              <w:t>F = Federal Register of Legislation</w:t>
            </w:r>
          </w:p>
        </w:tc>
        <w:tc>
          <w:tcPr>
            <w:tcW w:w="3686" w:type="dxa"/>
            <w:shd w:val="clear" w:color="auto" w:fill="auto"/>
          </w:tcPr>
          <w:p w14:paraId="40BEC576" w14:textId="77777777" w:rsidR="00160A95" w:rsidRPr="00177B6D" w:rsidRDefault="00160A95" w:rsidP="00160A95">
            <w:pPr>
              <w:spacing w:before="60"/>
              <w:ind w:left="34"/>
              <w:rPr>
                <w:sz w:val="20"/>
              </w:rPr>
            </w:pPr>
            <w:r w:rsidRPr="00177B6D">
              <w:rPr>
                <w:sz w:val="20"/>
              </w:rPr>
              <w:t>rs = repealed and substituted</w:t>
            </w:r>
          </w:p>
        </w:tc>
      </w:tr>
      <w:tr w:rsidR="00160A95" w:rsidRPr="00177B6D" w14:paraId="3D3E6688" w14:textId="77777777" w:rsidTr="00160A95">
        <w:tc>
          <w:tcPr>
            <w:tcW w:w="4253" w:type="dxa"/>
            <w:shd w:val="clear" w:color="auto" w:fill="auto"/>
          </w:tcPr>
          <w:p w14:paraId="2405594F" w14:textId="77777777" w:rsidR="00160A95" w:rsidRPr="00177B6D" w:rsidRDefault="00160A95" w:rsidP="00160A95">
            <w:pPr>
              <w:spacing w:before="60"/>
              <w:ind w:left="34"/>
              <w:rPr>
                <w:sz w:val="20"/>
              </w:rPr>
            </w:pPr>
            <w:r w:rsidRPr="00177B6D">
              <w:rPr>
                <w:sz w:val="20"/>
              </w:rPr>
              <w:t>gaz = gazette</w:t>
            </w:r>
          </w:p>
        </w:tc>
        <w:tc>
          <w:tcPr>
            <w:tcW w:w="3686" w:type="dxa"/>
            <w:shd w:val="clear" w:color="auto" w:fill="auto"/>
          </w:tcPr>
          <w:p w14:paraId="7C3FF8F2" w14:textId="77777777" w:rsidR="00160A95" w:rsidRPr="00177B6D" w:rsidRDefault="00160A95" w:rsidP="00160A95">
            <w:pPr>
              <w:spacing w:before="60"/>
              <w:ind w:left="34"/>
              <w:rPr>
                <w:sz w:val="20"/>
              </w:rPr>
            </w:pPr>
            <w:r w:rsidRPr="00177B6D">
              <w:rPr>
                <w:sz w:val="20"/>
              </w:rPr>
              <w:t>s = section(s)/subsection(s)</w:t>
            </w:r>
          </w:p>
        </w:tc>
      </w:tr>
      <w:tr w:rsidR="00160A95" w:rsidRPr="00177B6D" w14:paraId="3C12D827" w14:textId="77777777" w:rsidTr="00160A95">
        <w:tc>
          <w:tcPr>
            <w:tcW w:w="4253" w:type="dxa"/>
            <w:shd w:val="clear" w:color="auto" w:fill="auto"/>
          </w:tcPr>
          <w:p w14:paraId="1DF04ABF" w14:textId="77777777" w:rsidR="00160A95" w:rsidRPr="00177B6D" w:rsidRDefault="00160A95" w:rsidP="00160A95">
            <w:pPr>
              <w:spacing w:before="60"/>
              <w:ind w:left="34"/>
              <w:rPr>
                <w:sz w:val="20"/>
              </w:rPr>
            </w:pPr>
            <w:r w:rsidRPr="00177B6D">
              <w:rPr>
                <w:sz w:val="20"/>
              </w:rPr>
              <w:t xml:space="preserve">LA = </w:t>
            </w:r>
            <w:r w:rsidRPr="00177B6D">
              <w:rPr>
                <w:i/>
                <w:sz w:val="20"/>
              </w:rPr>
              <w:t>Legislation Act 2003</w:t>
            </w:r>
          </w:p>
        </w:tc>
        <w:tc>
          <w:tcPr>
            <w:tcW w:w="3686" w:type="dxa"/>
            <w:shd w:val="clear" w:color="auto" w:fill="auto"/>
          </w:tcPr>
          <w:p w14:paraId="267044F9" w14:textId="77777777" w:rsidR="00160A95" w:rsidRPr="00177B6D" w:rsidRDefault="00160A95" w:rsidP="00160A95">
            <w:pPr>
              <w:spacing w:before="60"/>
              <w:ind w:left="34"/>
              <w:rPr>
                <w:sz w:val="20"/>
              </w:rPr>
            </w:pPr>
            <w:r w:rsidRPr="00177B6D">
              <w:rPr>
                <w:sz w:val="20"/>
              </w:rPr>
              <w:t>Sch = Schedule(s)</w:t>
            </w:r>
          </w:p>
        </w:tc>
      </w:tr>
      <w:tr w:rsidR="00160A95" w:rsidRPr="00177B6D" w14:paraId="7A694274" w14:textId="77777777" w:rsidTr="00160A95">
        <w:tc>
          <w:tcPr>
            <w:tcW w:w="4253" w:type="dxa"/>
            <w:shd w:val="clear" w:color="auto" w:fill="auto"/>
          </w:tcPr>
          <w:p w14:paraId="39FB25E3" w14:textId="77777777" w:rsidR="00160A95" w:rsidRPr="00177B6D" w:rsidRDefault="00160A95" w:rsidP="00160A95">
            <w:pPr>
              <w:spacing w:before="60"/>
              <w:ind w:left="34"/>
              <w:rPr>
                <w:sz w:val="20"/>
              </w:rPr>
            </w:pPr>
            <w:r w:rsidRPr="00177B6D">
              <w:rPr>
                <w:sz w:val="20"/>
              </w:rPr>
              <w:t xml:space="preserve">LIA = </w:t>
            </w:r>
            <w:r w:rsidRPr="00177B6D">
              <w:rPr>
                <w:i/>
                <w:sz w:val="20"/>
              </w:rPr>
              <w:t>Legislative Instruments Act 2003</w:t>
            </w:r>
          </w:p>
        </w:tc>
        <w:tc>
          <w:tcPr>
            <w:tcW w:w="3686" w:type="dxa"/>
            <w:shd w:val="clear" w:color="auto" w:fill="auto"/>
          </w:tcPr>
          <w:p w14:paraId="72E94782" w14:textId="77777777" w:rsidR="00160A95" w:rsidRPr="00177B6D" w:rsidRDefault="00160A95" w:rsidP="00160A95">
            <w:pPr>
              <w:spacing w:before="60"/>
              <w:ind w:left="34"/>
              <w:rPr>
                <w:sz w:val="20"/>
              </w:rPr>
            </w:pPr>
            <w:r w:rsidRPr="00177B6D">
              <w:rPr>
                <w:sz w:val="20"/>
              </w:rPr>
              <w:t>Sdiv = Subdivision(s)</w:t>
            </w:r>
          </w:p>
        </w:tc>
      </w:tr>
      <w:tr w:rsidR="00160A95" w:rsidRPr="00177B6D" w14:paraId="5BAEA4A7" w14:textId="77777777" w:rsidTr="00160A95">
        <w:tc>
          <w:tcPr>
            <w:tcW w:w="4253" w:type="dxa"/>
            <w:shd w:val="clear" w:color="auto" w:fill="auto"/>
          </w:tcPr>
          <w:p w14:paraId="332762A3" w14:textId="77777777" w:rsidR="00160A95" w:rsidRPr="00177B6D" w:rsidRDefault="00160A95" w:rsidP="00160A95">
            <w:pPr>
              <w:spacing w:before="60"/>
              <w:ind w:left="34"/>
              <w:rPr>
                <w:sz w:val="20"/>
              </w:rPr>
            </w:pPr>
            <w:r w:rsidRPr="00177B6D">
              <w:rPr>
                <w:sz w:val="20"/>
              </w:rPr>
              <w:t>(md) = misdescribed amendment can be given</w:t>
            </w:r>
          </w:p>
        </w:tc>
        <w:tc>
          <w:tcPr>
            <w:tcW w:w="3686" w:type="dxa"/>
            <w:shd w:val="clear" w:color="auto" w:fill="auto"/>
          </w:tcPr>
          <w:p w14:paraId="08FFE2DB" w14:textId="77777777" w:rsidR="00160A95" w:rsidRPr="00177B6D" w:rsidRDefault="00160A95" w:rsidP="00160A95">
            <w:pPr>
              <w:spacing w:before="60"/>
              <w:ind w:left="34"/>
              <w:rPr>
                <w:sz w:val="20"/>
              </w:rPr>
            </w:pPr>
            <w:r w:rsidRPr="00177B6D">
              <w:rPr>
                <w:sz w:val="20"/>
              </w:rPr>
              <w:t>SLI = Select Legislative Instrument</w:t>
            </w:r>
          </w:p>
        </w:tc>
      </w:tr>
      <w:tr w:rsidR="00160A95" w:rsidRPr="00177B6D" w14:paraId="049BDDFD" w14:textId="77777777" w:rsidTr="00160A95">
        <w:tc>
          <w:tcPr>
            <w:tcW w:w="4253" w:type="dxa"/>
            <w:shd w:val="clear" w:color="auto" w:fill="auto"/>
          </w:tcPr>
          <w:p w14:paraId="55EF843E" w14:textId="77777777" w:rsidR="00160A95" w:rsidRPr="00177B6D" w:rsidRDefault="00160A95" w:rsidP="00160A95">
            <w:pPr>
              <w:ind w:left="34" w:firstLine="249"/>
              <w:rPr>
                <w:sz w:val="20"/>
              </w:rPr>
            </w:pPr>
            <w:r w:rsidRPr="00177B6D">
              <w:rPr>
                <w:sz w:val="20"/>
              </w:rPr>
              <w:t>effect</w:t>
            </w:r>
          </w:p>
        </w:tc>
        <w:tc>
          <w:tcPr>
            <w:tcW w:w="3686" w:type="dxa"/>
            <w:shd w:val="clear" w:color="auto" w:fill="auto"/>
          </w:tcPr>
          <w:p w14:paraId="60B115BD" w14:textId="77777777" w:rsidR="00160A95" w:rsidRPr="00177B6D" w:rsidRDefault="00160A95" w:rsidP="00160A95">
            <w:pPr>
              <w:spacing w:before="60"/>
              <w:ind w:left="34"/>
              <w:rPr>
                <w:sz w:val="20"/>
              </w:rPr>
            </w:pPr>
            <w:r w:rsidRPr="00177B6D">
              <w:rPr>
                <w:sz w:val="20"/>
              </w:rPr>
              <w:t>SR = Statutory Rules</w:t>
            </w:r>
          </w:p>
        </w:tc>
      </w:tr>
      <w:tr w:rsidR="00160A95" w:rsidRPr="00177B6D" w14:paraId="5BD92BB5" w14:textId="77777777" w:rsidTr="00160A95">
        <w:tc>
          <w:tcPr>
            <w:tcW w:w="4253" w:type="dxa"/>
            <w:shd w:val="clear" w:color="auto" w:fill="auto"/>
          </w:tcPr>
          <w:p w14:paraId="6A9FDCB8" w14:textId="77777777" w:rsidR="00160A95" w:rsidRPr="00177B6D" w:rsidRDefault="00160A95" w:rsidP="00160A95">
            <w:pPr>
              <w:spacing w:before="60"/>
              <w:ind w:left="34"/>
              <w:rPr>
                <w:sz w:val="20"/>
              </w:rPr>
            </w:pPr>
            <w:r w:rsidRPr="00177B6D">
              <w:rPr>
                <w:sz w:val="20"/>
              </w:rPr>
              <w:t>(md not incorp) = misdescribed amendment</w:t>
            </w:r>
          </w:p>
        </w:tc>
        <w:tc>
          <w:tcPr>
            <w:tcW w:w="3686" w:type="dxa"/>
            <w:shd w:val="clear" w:color="auto" w:fill="auto"/>
          </w:tcPr>
          <w:p w14:paraId="11E36653" w14:textId="7EA44FF7" w:rsidR="00160A95" w:rsidRPr="00177B6D" w:rsidRDefault="00160A95" w:rsidP="00160A95">
            <w:pPr>
              <w:spacing w:before="60"/>
              <w:ind w:left="34"/>
              <w:rPr>
                <w:sz w:val="20"/>
              </w:rPr>
            </w:pPr>
            <w:r w:rsidRPr="00177B6D">
              <w:rPr>
                <w:sz w:val="20"/>
              </w:rPr>
              <w:t>Sub</w:t>
            </w:r>
            <w:r w:rsidR="004A520A">
              <w:rPr>
                <w:sz w:val="20"/>
              </w:rPr>
              <w:noBreakHyphen/>
            </w:r>
            <w:r w:rsidRPr="00177B6D">
              <w:rPr>
                <w:sz w:val="20"/>
              </w:rPr>
              <w:t>Ch = Sub</w:t>
            </w:r>
            <w:r w:rsidR="004A520A">
              <w:rPr>
                <w:sz w:val="20"/>
              </w:rPr>
              <w:noBreakHyphen/>
            </w:r>
            <w:r w:rsidRPr="00177B6D">
              <w:rPr>
                <w:sz w:val="20"/>
              </w:rPr>
              <w:t>Chapter(s)</w:t>
            </w:r>
          </w:p>
        </w:tc>
      </w:tr>
      <w:tr w:rsidR="00160A95" w:rsidRPr="00177B6D" w14:paraId="3F573BBA" w14:textId="77777777" w:rsidTr="00160A95">
        <w:tc>
          <w:tcPr>
            <w:tcW w:w="4253" w:type="dxa"/>
            <w:shd w:val="clear" w:color="auto" w:fill="auto"/>
          </w:tcPr>
          <w:p w14:paraId="356EA961" w14:textId="77777777" w:rsidR="00160A95" w:rsidRPr="00177B6D" w:rsidRDefault="00160A95" w:rsidP="00160A95">
            <w:pPr>
              <w:ind w:left="34" w:firstLine="249"/>
              <w:rPr>
                <w:sz w:val="20"/>
              </w:rPr>
            </w:pPr>
            <w:r w:rsidRPr="00177B6D">
              <w:rPr>
                <w:sz w:val="20"/>
              </w:rPr>
              <w:t>cannot be given effect</w:t>
            </w:r>
          </w:p>
        </w:tc>
        <w:tc>
          <w:tcPr>
            <w:tcW w:w="3686" w:type="dxa"/>
            <w:shd w:val="clear" w:color="auto" w:fill="auto"/>
          </w:tcPr>
          <w:p w14:paraId="7164B3EB" w14:textId="77777777" w:rsidR="00160A95" w:rsidRPr="00177B6D" w:rsidRDefault="00160A95" w:rsidP="00160A95">
            <w:pPr>
              <w:spacing w:before="60"/>
              <w:ind w:left="34"/>
              <w:rPr>
                <w:sz w:val="20"/>
              </w:rPr>
            </w:pPr>
            <w:r w:rsidRPr="00177B6D">
              <w:rPr>
                <w:sz w:val="20"/>
              </w:rPr>
              <w:t>SubPt = Subpart(s)</w:t>
            </w:r>
          </w:p>
        </w:tc>
      </w:tr>
      <w:tr w:rsidR="00160A95" w:rsidRPr="00177B6D" w14:paraId="23DFCEA9" w14:textId="77777777" w:rsidTr="00160A95">
        <w:tc>
          <w:tcPr>
            <w:tcW w:w="4253" w:type="dxa"/>
            <w:shd w:val="clear" w:color="auto" w:fill="auto"/>
          </w:tcPr>
          <w:p w14:paraId="109B2411" w14:textId="77777777" w:rsidR="00160A95" w:rsidRPr="00177B6D" w:rsidRDefault="00160A95" w:rsidP="00160A95">
            <w:pPr>
              <w:spacing w:before="60"/>
              <w:ind w:left="34"/>
              <w:rPr>
                <w:sz w:val="20"/>
              </w:rPr>
            </w:pPr>
            <w:r w:rsidRPr="00177B6D">
              <w:rPr>
                <w:sz w:val="20"/>
              </w:rPr>
              <w:t>mod = modified/modification</w:t>
            </w:r>
          </w:p>
        </w:tc>
        <w:tc>
          <w:tcPr>
            <w:tcW w:w="3686" w:type="dxa"/>
            <w:shd w:val="clear" w:color="auto" w:fill="auto"/>
          </w:tcPr>
          <w:p w14:paraId="2AC35D52" w14:textId="77777777" w:rsidR="00160A95" w:rsidRPr="00177B6D" w:rsidRDefault="00160A95" w:rsidP="00160A95">
            <w:pPr>
              <w:spacing w:before="60"/>
              <w:ind w:left="34"/>
              <w:rPr>
                <w:sz w:val="20"/>
              </w:rPr>
            </w:pPr>
            <w:r w:rsidRPr="00177B6D">
              <w:rPr>
                <w:sz w:val="20"/>
                <w:u w:val="single"/>
              </w:rPr>
              <w:t>underlining</w:t>
            </w:r>
            <w:r w:rsidRPr="00177B6D">
              <w:rPr>
                <w:sz w:val="20"/>
              </w:rPr>
              <w:t xml:space="preserve"> = whole or part not</w:t>
            </w:r>
          </w:p>
        </w:tc>
      </w:tr>
      <w:tr w:rsidR="00160A95" w:rsidRPr="00177B6D" w14:paraId="67E051A3" w14:textId="77777777" w:rsidTr="00160A95">
        <w:tc>
          <w:tcPr>
            <w:tcW w:w="4253" w:type="dxa"/>
            <w:shd w:val="clear" w:color="auto" w:fill="auto"/>
          </w:tcPr>
          <w:p w14:paraId="5C07E1E4" w14:textId="77777777" w:rsidR="00160A95" w:rsidRPr="00177B6D" w:rsidRDefault="00160A95" w:rsidP="00160A95">
            <w:pPr>
              <w:spacing w:before="60"/>
              <w:ind w:left="34"/>
              <w:rPr>
                <w:sz w:val="20"/>
              </w:rPr>
            </w:pPr>
            <w:r w:rsidRPr="00177B6D">
              <w:rPr>
                <w:sz w:val="20"/>
              </w:rPr>
              <w:t>No. = Number(s)</w:t>
            </w:r>
          </w:p>
        </w:tc>
        <w:tc>
          <w:tcPr>
            <w:tcW w:w="3686" w:type="dxa"/>
            <w:shd w:val="clear" w:color="auto" w:fill="auto"/>
          </w:tcPr>
          <w:p w14:paraId="3571C005" w14:textId="77777777" w:rsidR="00160A95" w:rsidRPr="00177B6D" w:rsidRDefault="00160A95" w:rsidP="00160A95">
            <w:pPr>
              <w:ind w:left="34" w:firstLine="249"/>
              <w:rPr>
                <w:sz w:val="20"/>
              </w:rPr>
            </w:pPr>
            <w:r w:rsidRPr="00177B6D">
              <w:rPr>
                <w:sz w:val="20"/>
              </w:rPr>
              <w:t>commenced or to be commenced</w:t>
            </w:r>
          </w:p>
        </w:tc>
      </w:tr>
    </w:tbl>
    <w:p w14:paraId="23A8C18B" w14:textId="77777777" w:rsidR="0068118D" w:rsidRPr="00177B6D" w:rsidRDefault="0068118D" w:rsidP="0068118D">
      <w:pPr>
        <w:pStyle w:val="Tabletext"/>
      </w:pPr>
    </w:p>
    <w:p w14:paraId="1C15B77B" w14:textId="77777777" w:rsidR="00F071ED" w:rsidRPr="00177B6D" w:rsidRDefault="00F071ED" w:rsidP="009163ED">
      <w:pPr>
        <w:pStyle w:val="ENotesHeading2"/>
        <w:pageBreakBefore/>
        <w:outlineLvl w:val="9"/>
      </w:pPr>
      <w:bookmarkStart w:id="66" w:name="_Toc195097074"/>
      <w:r w:rsidRPr="00177B6D">
        <w:lastRenderedPageBreak/>
        <w:t>Endnote 3—Legislation history</w:t>
      </w:r>
      <w:bookmarkEnd w:id="66"/>
    </w:p>
    <w:p w14:paraId="082CB630" w14:textId="77777777" w:rsidR="004E0D3F" w:rsidRPr="00177B6D" w:rsidRDefault="004E0D3F" w:rsidP="001F39B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4E0D3F" w:rsidRPr="00177B6D" w14:paraId="1F3F64D7" w14:textId="77777777" w:rsidTr="001F39B5">
        <w:trPr>
          <w:cantSplit/>
          <w:tblHeader/>
        </w:trPr>
        <w:tc>
          <w:tcPr>
            <w:tcW w:w="1838" w:type="dxa"/>
            <w:tcBorders>
              <w:top w:val="single" w:sz="12" w:space="0" w:color="auto"/>
              <w:bottom w:val="single" w:sz="12" w:space="0" w:color="auto"/>
            </w:tcBorders>
            <w:shd w:val="clear" w:color="auto" w:fill="auto"/>
          </w:tcPr>
          <w:p w14:paraId="3656145F" w14:textId="77777777" w:rsidR="004E0D3F" w:rsidRPr="00177B6D" w:rsidRDefault="004E0D3F" w:rsidP="001F39B5">
            <w:pPr>
              <w:pStyle w:val="ENoteTableHeading"/>
            </w:pPr>
            <w:r w:rsidRPr="00177B6D">
              <w:t>Act</w:t>
            </w:r>
          </w:p>
        </w:tc>
        <w:tc>
          <w:tcPr>
            <w:tcW w:w="992" w:type="dxa"/>
            <w:tcBorders>
              <w:top w:val="single" w:sz="12" w:space="0" w:color="auto"/>
              <w:bottom w:val="single" w:sz="12" w:space="0" w:color="auto"/>
            </w:tcBorders>
            <w:shd w:val="clear" w:color="auto" w:fill="auto"/>
          </w:tcPr>
          <w:p w14:paraId="1F585E8D" w14:textId="77777777" w:rsidR="004E0D3F" w:rsidRPr="00177B6D" w:rsidRDefault="004E0D3F" w:rsidP="001F39B5">
            <w:pPr>
              <w:pStyle w:val="ENoteTableHeading"/>
            </w:pPr>
            <w:r w:rsidRPr="00177B6D">
              <w:t>Number and year</w:t>
            </w:r>
          </w:p>
        </w:tc>
        <w:tc>
          <w:tcPr>
            <w:tcW w:w="993" w:type="dxa"/>
            <w:tcBorders>
              <w:top w:val="single" w:sz="12" w:space="0" w:color="auto"/>
              <w:bottom w:val="single" w:sz="12" w:space="0" w:color="auto"/>
            </w:tcBorders>
            <w:shd w:val="clear" w:color="auto" w:fill="auto"/>
          </w:tcPr>
          <w:p w14:paraId="1C2FF921" w14:textId="77777777" w:rsidR="004E0D3F" w:rsidRPr="00177B6D" w:rsidRDefault="00F071ED" w:rsidP="001F39B5">
            <w:pPr>
              <w:pStyle w:val="ENoteTableHeading"/>
            </w:pPr>
            <w:r w:rsidRPr="00177B6D">
              <w:t>Assent</w:t>
            </w:r>
          </w:p>
        </w:tc>
        <w:tc>
          <w:tcPr>
            <w:tcW w:w="1845" w:type="dxa"/>
            <w:tcBorders>
              <w:top w:val="single" w:sz="12" w:space="0" w:color="auto"/>
              <w:bottom w:val="single" w:sz="12" w:space="0" w:color="auto"/>
            </w:tcBorders>
            <w:shd w:val="clear" w:color="auto" w:fill="auto"/>
          </w:tcPr>
          <w:p w14:paraId="77751969" w14:textId="77777777" w:rsidR="004E0D3F" w:rsidRPr="00177B6D" w:rsidRDefault="00F071ED" w:rsidP="001F39B5">
            <w:pPr>
              <w:pStyle w:val="ENoteTableHeading"/>
            </w:pPr>
            <w:r w:rsidRPr="00177B6D">
              <w:t>Commencement</w:t>
            </w:r>
          </w:p>
        </w:tc>
        <w:tc>
          <w:tcPr>
            <w:tcW w:w="1417" w:type="dxa"/>
            <w:tcBorders>
              <w:top w:val="single" w:sz="12" w:space="0" w:color="auto"/>
              <w:bottom w:val="single" w:sz="12" w:space="0" w:color="auto"/>
            </w:tcBorders>
            <w:shd w:val="clear" w:color="auto" w:fill="auto"/>
          </w:tcPr>
          <w:p w14:paraId="625CDAB6" w14:textId="77777777" w:rsidR="004E0D3F" w:rsidRPr="00177B6D" w:rsidRDefault="004E0D3F" w:rsidP="001F39B5">
            <w:pPr>
              <w:pStyle w:val="ENoteTableHeading"/>
            </w:pPr>
            <w:r w:rsidRPr="00177B6D">
              <w:t>Application, saving and transitional provisions</w:t>
            </w:r>
          </w:p>
        </w:tc>
      </w:tr>
      <w:tr w:rsidR="004E0D3F" w:rsidRPr="00177B6D" w14:paraId="244F4019" w14:textId="77777777" w:rsidTr="001F39B5">
        <w:trPr>
          <w:cantSplit/>
        </w:trPr>
        <w:tc>
          <w:tcPr>
            <w:tcW w:w="1838" w:type="dxa"/>
            <w:tcBorders>
              <w:top w:val="single" w:sz="12" w:space="0" w:color="auto"/>
              <w:bottom w:val="single" w:sz="4" w:space="0" w:color="auto"/>
            </w:tcBorders>
            <w:shd w:val="clear" w:color="auto" w:fill="auto"/>
          </w:tcPr>
          <w:p w14:paraId="5E0C5516" w14:textId="77777777" w:rsidR="004E0D3F" w:rsidRPr="00177B6D" w:rsidRDefault="004E0D3F" w:rsidP="004E0D3F">
            <w:pPr>
              <w:pStyle w:val="ENoteTableText"/>
            </w:pPr>
            <w:r w:rsidRPr="00177B6D">
              <w:t>Affirmative Action (Equal Employment Opportunity for Women) Act 1986</w:t>
            </w:r>
          </w:p>
        </w:tc>
        <w:tc>
          <w:tcPr>
            <w:tcW w:w="992" w:type="dxa"/>
            <w:tcBorders>
              <w:top w:val="single" w:sz="12" w:space="0" w:color="auto"/>
              <w:bottom w:val="single" w:sz="4" w:space="0" w:color="auto"/>
            </w:tcBorders>
            <w:shd w:val="clear" w:color="auto" w:fill="auto"/>
          </w:tcPr>
          <w:p w14:paraId="1A2903B0" w14:textId="77777777" w:rsidR="004E0D3F" w:rsidRPr="00177B6D" w:rsidRDefault="004E0D3F" w:rsidP="004E0D3F">
            <w:pPr>
              <w:pStyle w:val="ENoteTableText"/>
            </w:pPr>
            <w:r w:rsidRPr="00177B6D">
              <w:t>91, 1986</w:t>
            </w:r>
          </w:p>
        </w:tc>
        <w:tc>
          <w:tcPr>
            <w:tcW w:w="993" w:type="dxa"/>
            <w:tcBorders>
              <w:top w:val="single" w:sz="12" w:space="0" w:color="auto"/>
              <w:bottom w:val="single" w:sz="4" w:space="0" w:color="auto"/>
            </w:tcBorders>
            <w:shd w:val="clear" w:color="auto" w:fill="auto"/>
          </w:tcPr>
          <w:p w14:paraId="327F307C" w14:textId="77777777" w:rsidR="004E0D3F" w:rsidRPr="00177B6D" w:rsidRDefault="004E0D3F" w:rsidP="004E0D3F">
            <w:pPr>
              <w:pStyle w:val="ENoteTableText"/>
            </w:pPr>
            <w:smartTag w:uri="urn:schemas-microsoft-com:office:smarttags" w:element="date">
              <w:smartTagPr>
                <w:attr w:name="Month" w:val="9"/>
                <w:attr w:name="Day" w:val="3"/>
                <w:attr w:name="Year" w:val="1986"/>
              </w:smartTagPr>
              <w:r w:rsidRPr="00177B6D">
                <w:t>3 Sept 1986</w:t>
              </w:r>
            </w:smartTag>
          </w:p>
        </w:tc>
        <w:tc>
          <w:tcPr>
            <w:tcW w:w="1845" w:type="dxa"/>
            <w:tcBorders>
              <w:top w:val="single" w:sz="12" w:space="0" w:color="auto"/>
              <w:bottom w:val="single" w:sz="4" w:space="0" w:color="auto"/>
            </w:tcBorders>
            <w:shd w:val="clear" w:color="auto" w:fill="auto"/>
          </w:tcPr>
          <w:p w14:paraId="5473CBB4" w14:textId="77777777" w:rsidR="004E0D3F" w:rsidRPr="00177B6D" w:rsidRDefault="004E0D3F" w:rsidP="00DA5F09">
            <w:pPr>
              <w:pStyle w:val="ENoteTableText"/>
            </w:pPr>
            <w:smartTag w:uri="urn:schemas-microsoft-com:office:smarttags" w:element="date">
              <w:smartTagPr>
                <w:attr w:name="Month" w:val="10"/>
                <w:attr w:name="Day" w:val="1"/>
                <w:attr w:name="Year" w:val="1986"/>
              </w:smartTagPr>
              <w:r w:rsidRPr="00177B6D">
                <w:t>1 Oct 1986</w:t>
              </w:r>
            </w:smartTag>
            <w:r w:rsidRPr="00177B6D">
              <w:t xml:space="preserve"> (</w:t>
            </w:r>
            <w:r w:rsidR="00DA5F09" w:rsidRPr="00177B6D">
              <w:t xml:space="preserve">gaz </w:t>
            </w:r>
            <w:r w:rsidRPr="00177B6D">
              <w:t xml:space="preserve">1986, No. S491) </w:t>
            </w:r>
          </w:p>
        </w:tc>
        <w:tc>
          <w:tcPr>
            <w:tcW w:w="1417" w:type="dxa"/>
            <w:tcBorders>
              <w:top w:val="single" w:sz="12" w:space="0" w:color="auto"/>
              <w:bottom w:val="single" w:sz="4" w:space="0" w:color="auto"/>
            </w:tcBorders>
            <w:shd w:val="clear" w:color="auto" w:fill="auto"/>
          </w:tcPr>
          <w:p w14:paraId="795A9D3E" w14:textId="77777777" w:rsidR="004E0D3F" w:rsidRPr="00177B6D" w:rsidRDefault="004E0D3F" w:rsidP="004E0D3F">
            <w:pPr>
              <w:pStyle w:val="ENoteTableText"/>
            </w:pPr>
          </w:p>
        </w:tc>
      </w:tr>
      <w:tr w:rsidR="004E0D3F" w:rsidRPr="00177B6D" w14:paraId="3464EFD9" w14:textId="77777777" w:rsidTr="004E0D3F">
        <w:trPr>
          <w:cantSplit/>
        </w:trPr>
        <w:tc>
          <w:tcPr>
            <w:tcW w:w="1838" w:type="dxa"/>
            <w:shd w:val="clear" w:color="auto" w:fill="auto"/>
          </w:tcPr>
          <w:p w14:paraId="0F5ABA34" w14:textId="77777777" w:rsidR="004E0D3F" w:rsidRPr="00177B6D" w:rsidRDefault="004E0D3F" w:rsidP="004E0D3F">
            <w:pPr>
              <w:pStyle w:val="ENoteTableText"/>
            </w:pPr>
            <w:r w:rsidRPr="00177B6D">
              <w:t>Employment, Education and Training Act 1988</w:t>
            </w:r>
          </w:p>
        </w:tc>
        <w:tc>
          <w:tcPr>
            <w:tcW w:w="992" w:type="dxa"/>
            <w:shd w:val="clear" w:color="auto" w:fill="auto"/>
          </w:tcPr>
          <w:p w14:paraId="26A61C6F" w14:textId="77777777" w:rsidR="004E0D3F" w:rsidRPr="00177B6D" w:rsidRDefault="004E0D3F" w:rsidP="004E0D3F">
            <w:pPr>
              <w:pStyle w:val="ENoteTableText"/>
            </w:pPr>
            <w:r w:rsidRPr="00177B6D">
              <w:t>80, 1988</w:t>
            </w:r>
          </w:p>
        </w:tc>
        <w:tc>
          <w:tcPr>
            <w:tcW w:w="993" w:type="dxa"/>
            <w:shd w:val="clear" w:color="auto" w:fill="auto"/>
          </w:tcPr>
          <w:p w14:paraId="4D9D8300" w14:textId="77777777" w:rsidR="004E0D3F" w:rsidRPr="00177B6D" w:rsidRDefault="004E0D3F" w:rsidP="004E0D3F">
            <w:pPr>
              <w:pStyle w:val="ENoteTableText"/>
            </w:pPr>
            <w:r w:rsidRPr="00177B6D">
              <w:t>24</w:t>
            </w:r>
            <w:r w:rsidR="00CC4F01" w:rsidRPr="00177B6D">
              <w:t> </w:t>
            </w:r>
            <w:r w:rsidRPr="00177B6D">
              <w:t>June 1988</w:t>
            </w:r>
          </w:p>
        </w:tc>
        <w:tc>
          <w:tcPr>
            <w:tcW w:w="1845" w:type="dxa"/>
            <w:shd w:val="clear" w:color="auto" w:fill="auto"/>
          </w:tcPr>
          <w:p w14:paraId="2EB76514" w14:textId="77777777" w:rsidR="004E0D3F" w:rsidRPr="00177B6D" w:rsidRDefault="004E0D3F" w:rsidP="00DA5F09">
            <w:pPr>
              <w:pStyle w:val="ENoteTableText"/>
            </w:pPr>
            <w:r w:rsidRPr="00177B6D">
              <w:t>1</w:t>
            </w:r>
            <w:r w:rsidR="00CC4F01" w:rsidRPr="00177B6D">
              <w:t> </w:t>
            </w:r>
            <w:r w:rsidRPr="00177B6D">
              <w:t>July 1988 (</w:t>
            </w:r>
            <w:r w:rsidR="00DA5F09" w:rsidRPr="00177B6D">
              <w:t xml:space="preserve">gaz </w:t>
            </w:r>
            <w:r w:rsidRPr="00177B6D">
              <w:t>1988, No. S190)</w:t>
            </w:r>
          </w:p>
        </w:tc>
        <w:tc>
          <w:tcPr>
            <w:tcW w:w="1417" w:type="dxa"/>
            <w:shd w:val="clear" w:color="auto" w:fill="auto"/>
          </w:tcPr>
          <w:p w14:paraId="4CAD6E15" w14:textId="77777777" w:rsidR="004E0D3F" w:rsidRPr="00177B6D" w:rsidRDefault="004E0D3F" w:rsidP="004E0D3F">
            <w:pPr>
              <w:pStyle w:val="ENoteTableText"/>
            </w:pPr>
            <w:r w:rsidRPr="00177B6D">
              <w:t>—</w:t>
            </w:r>
          </w:p>
        </w:tc>
      </w:tr>
      <w:tr w:rsidR="004E0D3F" w:rsidRPr="00177B6D" w14:paraId="69643561" w14:textId="77777777" w:rsidTr="001D24E8">
        <w:trPr>
          <w:cantSplit/>
        </w:trPr>
        <w:tc>
          <w:tcPr>
            <w:tcW w:w="1838" w:type="dxa"/>
            <w:tcBorders>
              <w:bottom w:val="single" w:sz="4" w:space="0" w:color="auto"/>
            </w:tcBorders>
            <w:shd w:val="clear" w:color="auto" w:fill="auto"/>
          </w:tcPr>
          <w:p w14:paraId="1F5237F8" w14:textId="77777777" w:rsidR="004E0D3F" w:rsidRPr="00177B6D" w:rsidRDefault="004E0D3F" w:rsidP="004E0D3F">
            <w:pPr>
              <w:pStyle w:val="ENoteTableText"/>
            </w:pPr>
            <w:r w:rsidRPr="00177B6D">
              <w:t>Industrial Relations (Consequential Provisions) Act 1988</w:t>
            </w:r>
          </w:p>
        </w:tc>
        <w:tc>
          <w:tcPr>
            <w:tcW w:w="992" w:type="dxa"/>
            <w:tcBorders>
              <w:bottom w:val="single" w:sz="4" w:space="0" w:color="auto"/>
            </w:tcBorders>
            <w:shd w:val="clear" w:color="auto" w:fill="auto"/>
          </w:tcPr>
          <w:p w14:paraId="3039DA4B" w14:textId="77777777" w:rsidR="004E0D3F" w:rsidRPr="00177B6D" w:rsidRDefault="004E0D3F" w:rsidP="004E0D3F">
            <w:pPr>
              <w:pStyle w:val="ENoteTableText"/>
            </w:pPr>
            <w:r w:rsidRPr="00177B6D">
              <w:t>87, 1988</w:t>
            </w:r>
          </w:p>
        </w:tc>
        <w:tc>
          <w:tcPr>
            <w:tcW w:w="993" w:type="dxa"/>
            <w:tcBorders>
              <w:bottom w:val="single" w:sz="4" w:space="0" w:color="auto"/>
            </w:tcBorders>
            <w:shd w:val="clear" w:color="auto" w:fill="auto"/>
          </w:tcPr>
          <w:p w14:paraId="367847BD" w14:textId="77777777" w:rsidR="004E0D3F" w:rsidRPr="00177B6D" w:rsidRDefault="004E0D3F" w:rsidP="004E0D3F">
            <w:pPr>
              <w:pStyle w:val="ENoteTableText"/>
            </w:pPr>
            <w:smartTag w:uri="urn:schemas-microsoft-com:office:smarttags" w:element="date">
              <w:smartTagPr>
                <w:attr w:name="Month" w:val="11"/>
                <w:attr w:name="Day" w:val="8"/>
                <w:attr w:name="Year" w:val="1988"/>
              </w:smartTagPr>
              <w:r w:rsidRPr="00177B6D">
                <w:t>8 Nov 1988</w:t>
              </w:r>
            </w:smartTag>
          </w:p>
        </w:tc>
        <w:tc>
          <w:tcPr>
            <w:tcW w:w="1845" w:type="dxa"/>
            <w:tcBorders>
              <w:bottom w:val="single" w:sz="4" w:space="0" w:color="auto"/>
            </w:tcBorders>
            <w:shd w:val="clear" w:color="auto" w:fill="auto"/>
          </w:tcPr>
          <w:p w14:paraId="3F64E4FE" w14:textId="77777777" w:rsidR="004E0D3F" w:rsidRPr="00177B6D" w:rsidRDefault="002774D6" w:rsidP="00DA5F09">
            <w:pPr>
              <w:pStyle w:val="ENoteTableText"/>
            </w:pPr>
            <w:r w:rsidRPr="00177B6D">
              <w:t>s</w:t>
            </w:r>
            <w:r w:rsidR="009163ED" w:rsidRPr="00177B6D">
              <w:t> </w:t>
            </w:r>
            <w:r w:rsidR="004E0D3F" w:rsidRPr="00177B6D">
              <w:t xml:space="preserve">1 and 2: </w:t>
            </w:r>
            <w:smartTag w:uri="urn:schemas-microsoft-com:office:smarttags" w:element="date">
              <w:smartTagPr>
                <w:attr w:name="Month" w:val="11"/>
                <w:attr w:name="Day" w:val="8"/>
                <w:attr w:name="Year" w:val="1988"/>
              </w:smartTagPr>
              <w:r w:rsidR="00DA5F09" w:rsidRPr="00177B6D">
                <w:t>8 Nov 1988</w:t>
              </w:r>
            </w:smartTag>
            <w:r w:rsidR="004E0D3F" w:rsidRPr="00177B6D">
              <w:br/>
              <w:t xml:space="preserve">Remainder: </w:t>
            </w:r>
            <w:smartTag w:uri="urn:schemas-microsoft-com:office:smarttags" w:element="date">
              <w:smartTagPr>
                <w:attr w:name="Month" w:val="3"/>
                <w:attr w:name="Day" w:val="1"/>
                <w:attr w:name="Year" w:val="1989"/>
              </w:smartTagPr>
              <w:r w:rsidR="004E0D3F" w:rsidRPr="00177B6D">
                <w:t>1 Mar 1989</w:t>
              </w:r>
            </w:smartTag>
            <w:r w:rsidR="004E0D3F" w:rsidRPr="00177B6D">
              <w:t xml:space="preserve"> (s.</w:t>
            </w:r>
            <w:r w:rsidR="00CC4F01" w:rsidRPr="00177B6D">
              <w:t> </w:t>
            </w:r>
            <w:r w:rsidR="004E0D3F" w:rsidRPr="00177B6D">
              <w:t xml:space="preserve">2(2) and </w:t>
            </w:r>
            <w:r w:rsidR="00DA5F09" w:rsidRPr="00177B6D">
              <w:t xml:space="preserve">gaz </w:t>
            </w:r>
            <w:r w:rsidR="004E0D3F" w:rsidRPr="00177B6D">
              <w:t>1989, No. S53)</w:t>
            </w:r>
          </w:p>
        </w:tc>
        <w:tc>
          <w:tcPr>
            <w:tcW w:w="1417" w:type="dxa"/>
            <w:tcBorders>
              <w:bottom w:val="single" w:sz="4" w:space="0" w:color="auto"/>
            </w:tcBorders>
            <w:shd w:val="clear" w:color="auto" w:fill="auto"/>
          </w:tcPr>
          <w:p w14:paraId="1CB1BB1E" w14:textId="77777777" w:rsidR="004E0D3F" w:rsidRPr="00177B6D" w:rsidRDefault="004E0D3F" w:rsidP="004E0D3F">
            <w:pPr>
              <w:pStyle w:val="ENoteTableText"/>
            </w:pPr>
            <w:r w:rsidRPr="00177B6D">
              <w:t>—</w:t>
            </w:r>
          </w:p>
        </w:tc>
      </w:tr>
      <w:tr w:rsidR="004E0D3F" w:rsidRPr="00177B6D" w14:paraId="073CB3DD" w14:textId="77777777" w:rsidTr="001D24E8">
        <w:trPr>
          <w:cantSplit/>
        </w:trPr>
        <w:tc>
          <w:tcPr>
            <w:tcW w:w="1838" w:type="dxa"/>
            <w:tcBorders>
              <w:bottom w:val="single" w:sz="4" w:space="0" w:color="auto"/>
            </w:tcBorders>
            <w:shd w:val="clear" w:color="auto" w:fill="auto"/>
          </w:tcPr>
          <w:p w14:paraId="4460AF04" w14:textId="77777777" w:rsidR="004E0D3F" w:rsidRPr="00177B6D" w:rsidRDefault="004E0D3F" w:rsidP="004E0D3F">
            <w:pPr>
              <w:pStyle w:val="ENoteTableText"/>
            </w:pPr>
            <w:bookmarkStart w:id="67" w:name="CU_549860"/>
            <w:bookmarkEnd w:id="67"/>
            <w:r w:rsidRPr="00177B6D">
              <w:t>Affirmative Action (Equal Employment Opportunity for Women) Amendment Act 1989</w:t>
            </w:r>
          </w:p>
        </w:tc>
        <w:tc>
          <w:tcPr>
            <w:tcW w:w="992" w:type="dxa"/>
            <w:tcBorders>
              <w:bottom w:val="single" w:sz="4" w:space="0" w:color="auto"/>
            </w:tcBorders>
            <w:shd w:val="clear" w:color="auto" w:fill="auto"/>
          </w:tcPr>
          <w:p w14:paraId="4C27120E" w14:textId="77777777" w:rsidR="004E0D3F" w:rsidRPr="00177B6D" w:rsidRDefault="004E0D3F" w:rsidP="004E0D3F">
            <w:pPr>
              <w:pStyle w:val="ENoteTableText"/>
            </w:pPr>
            <w:r w:rsidRPr="00177B6D">
              <w:t>30, 1989</w:t>
            </w:r>
          </w:p>
        </w:tc>
        <w:tc>
          <w:tcPr>
            <w:tcW w:w="993" w:type="dxa"/>
            <w:tcBorders>
              <w:bottom w:val="single" w:sz="4" w:space="0" w:color="auto"/>
            </w:tcBorders>
            <w:shd w:val="clear" w:color="auto" w:fill="auto"/>
          </w:tcPr>
          <w:p w14:paraId="11EC889E" w14:textId="77777777" w:rsidR="004E0D3F" w:rsidRPr="00177B6D" w:rsidRDefault="004E0D3F" w:rsidP="004E0D3F">
            <w:pPr>
              <w:pStyle w:val="ENoteTableText"/>
            </w:pPr>
            <w:r w:rsidRPr="00177B6D">
              <w:t>24</w:t>
            </w:r>
            <w:r w:rsidR="00CC4F01" w:rsidRPr="00177B6D">
              <w:t> </w:t>
            </w:r>
            <w:r w:rsidRPr="00177B6D">
              <w:t>May 1989</w:t>
            </w:r>
          </w:p>
        </w:tc>
        <w:tc>
          <w:tcPr>
            <w:tcW w:w="1845" w:type="dxa"/>
            <w:tcBorders>
              <w:bottom w:val="single" w:sz="4" w:space="0" w:color="auto"/>
            </w:tcBorders>
            <w:shd w:val="clear" w:color="auto" w:fill="auto"/>
          </w:tcPr>
          <w:p w14:paraId="3A41CD98" w14:textId="77777777" w:rsidR="004E0D3F" w:rsidRPr="00177B6D" w:rsidRDefault="004E0D3F" w:rsidP="004E0D3F">
            <w:pPr>
              <w:pStyle w:val="ENoteTableText"/>
            </w:pPr>
            <w:r w:rsidRPr="00177B6D">
              <w:t>24</w:t>
            </w:r>
            <w:r w:rsidR="00CC4F01" w:rsidRPr="00177B6D">
              <w:t> </w:t>
            </w:r>
            <w:r w:rsidRPr="00177B6D">
              <w:t>May 1989</w:t>
            </w:r>
            <w:r w:rsidR="00BB14E1" w:rsidRPr="00177B6D">
              <w:t xml:space="preserve"> (s 2)</w:t>
            </w:r>
          </w:p>
        </w:tc>
        <w:tc>
          <w:tcPr>
            <w:tcW w:w="1417" w:type="dxa"/>
            <w:tcBorders>
              <w:bottom w:val="single" w:sz="4" w:space="0" w:color="auto"/>
            </w:tcBorders>
            <w:shd w:val="clear" w:color="auto" w:fill="auto"/>
          </w:tcPr>
          <w:p w14:paraId="097922E7" w14:textId="77777777" w:rsidR="004E0D3F" w:rsidRPr="00177B6D" w:rsidRDefault="004E0D3F" w:rsidP="004E0D3F">
            <w:pPr>
              <w:pStyle w:val="ENoteTableText"/>
            </w:pPr>
            <w:r w:rsidRPr="00177B6D">
              <w:t>—</w:t>
            </w:r>
          </w:p>
        </w:tc>
      </w:tr>
      <w:tr w:rsidR="004E0D3F" w:rsidRPr="00177B6D" w14:paraId="07A3A6A4" w14:textId="77777777" w:rsidTr="001D24E8">
        <w:trPr>
          <w:cantSplit/>
        </w:trPr>
        <w:tc>
          <w:tcPr>
            <w:tcW w:w="1838" w:type="dxa"/>
            <w:tcBorders>
              <w:top w:val="single" w:sz="4" w:space="0" w:color="auto"/>
            </w:tcBorders>
            <w:shd w:val="clear" w:color="auto" w:fill="auto"/>
          </w:tcPr>
          <w:p w14:paraId="3ECCE4C0" w14:textId="77777777" w:rsidR="004E0D3F" w:rsidRPr="00177B6D" w:rsidRDefault="004E0D3F" w:rsidP="004E0D3F">
            <w:pPr>
              <w:pStyle w:val="ENoteTableText"/>
            </w:pPr>
            <w:r w:rsidRPr="00177B6D">
              <w:t>Broadcasting Services (Transitional Provisions and Consequential Amendments) Act 1992</w:t>
            </w:r>
          </w:p>
        </w:tc>
        <w:tc>
          <w:tcPr>
            <w:tcW w:w="992" w:type="dxa"/>
            <w:tcBorders>
              <w:top w:val="single" w:sz="4" w:space="0" w:color="auto"/>
            </w:tcBorders>
            <w:shd w:val="clear" w:color="auto" w:fill="auto"/>
          </w:tcPr>
          <w:p w14:paraId="55706DD2" w14:textId="77777777" w:rsidR="004E0D3F" w:rsidRPr="00177B6D" w:rsidRDefault="004E0D3F" w:rsidP="004E0D3F">
            <w:pPr>
              <w:pStyle w:val="ENoteTableText"/>
            </w:pPr>
            <w:r w:rsidRPr="00177B6D">
              <w:t>105, 1992</w:t>
            </w:r>
          </w:p>
        </w:tc>
        <w:tc>
          <w:tcPr>
            <w:tcW w:w="993" w:type="dxa"/>
            <w:tcBorders>
              <w:top w:val="single" w:sz="4" w:space="0" w:color="auto"/>
            </w:tcBorders>
            <w:shd w:val="clear" w:color="auto" w:fill="auto"/>
          </w:tcPr>
          <w:p w14:paraId="5531E37C" w14:textId="77777777" w:rsidR="004E0D3F" w:rsidRPr="00177B6D" w:rsidRDefault="004E0D3F" w:rsidP="004E0D3F">
            <w:pPr>
              <w:pStyle w:val="ENoteTableText"/>
            </w:pPr>
            <w:r w:rsidRPr="00177B6D">
              <w:t>9</w:t>
            </w:r>
            <w:r w:rsidR="00CC4F01" w:rsidRPr="00177B6D">
              <w:t> </w:t>
            </w:r>
            <w:r w:rsidRPr="00177B6D">
              <w:t>July 1992</w:t>
            </w:r>
          </w:p>
        </w:tc>
        <w:tc>
          <w:tcPr>
            <w:tcW w:w="1845" w:type="dxa"/>
            <w:tcBorders>
              <w:top w:val="single" w:sz="4" w:space="0" w:color="auto"/>
            </w:tcBorders>
            <w:shd w:val="clear" w:color="auto" w:fill="auto"/>
          </w:tcPr>
          <w:p w14:paraId="75F0EFD9" w14:textId="77777777" w:rsidR="004E0D3F" w:rsidRPr="00177B6D" w:rsidRDefault="004E0D3F" w:rsidP="00DA5F09">
            <w:pPr>
              <w:pStyle w:val="ENoteTableText"/>
            </w:pPr>
            <w:smartTag w:uri="urn:schemas-microsoft-com:office:smarttags" w:element="date">
              <w:smartTagPr>
                <w:attr w:name="Month" w:val="10"/>
                <w:attr w:name="Day" w:val="5"/>
                <w:attr w:name="Year" w:val="1992"/>
              </w:smartTagPr>
              <w:r w:rsidRPr="00177B6D">
                <w:t>5 Oct 1992</w:t>
              </w:r>
            </w:smartTag>
            <w:r w:rsidRPr="00177B6D">
              <w:t xml:space="preserve"> (s 2)</w:t>
            </w:r>
          </w:p>
        </w:tc>
        <w:tc>
          <w:tcPr>
            <w:tcW w:w="1417" w:type="dxa"/>
            <w:tcBorders>
              <w:top w:val="single" w:sz="4" w:space="0" w:color="auto"/>
            </w:tcBorders>
            <w:shd w:val="clear" w:color="auto" w:fill="auto"/>
          </w:tcPr>
          <w:p w14:paraId="372E55F0" w14:textId="77777777" w:rsidR="004E0D3F" w:rsidRPr="00177B6D" w:rsidRDefault="004E0D3F" w:rsidP="004E0D3F">
            <w:pPr>
              <w:pStyle w:val="ENoteTableText"/>
            </w:pPr>
            <w:r w:rsidRPr="00177B6D">
              <w:t>—</w:t>
            </w:r>
          </w:p>
        </w:tc>
      </w:tr>
      <w:tr w:rsidR="004E0D3F" w:rsidRPr="00177B6D" w14:paraId="68C8E352" w14:textId="77777777" w:rsidTr="004E0D3F">
        <w:trPr>
          <w:cantSplit/>
        </w:trPr>
        <w:tc>
          <w:tcPr>
            <w:tcW w:w="1838" w:type="dxa"/>
            <w:shd w:val="clear" w:color="auto" w:fill="auto"/>
          </w:tcPr>
          <w:p w14:paraId="2C3C9BE0" w14:textId="77777777" w:rsidR="004E0D3F" w:rsidRPr="00177B6D" w:rsidRDefault="004E0D3F" w:rsidP="004E0D3F">
            <w:pPr>
              <w:pStyle w:val="ENoteTableText"/>
            </w:pPr>
            <w:r w:rsidRPr="00177B6D">
              <w:t>Affirmative Action (Equal Employment Opportunity for Women) Amendment Act 1992</w:t>
            </w:r>
          </w:p>
        </w:tc>
        <w:tc>
          <w:tcPr>
            <w:tcW w:w="992" w:type="dxa"/>
            <w:shd w:val="clear" w:color="auto" w:fill="auto"/>
          </w:tcPr>
          <w:p w14:paraId="2C349FFE" w14:textId="77777777" w:rsidR="004E0D3F" w:rsidRPr="00177B6D" w:rsidRDefault="004E0D3F" w:rsidP="004E0D3F">
            <w:pPr>
              <w:pStyle w:val="ENoteTableText"/>
            </w:pPr>
            <w:r w:rsidRPr="00177B6D">
              <w:t>181, 1992</w:t>
            </w:r>
          </w:p>
        </w:tc>
        <w:tc>
          <w:tcPr>
            <w:tcW w:w="993" w:type="dxa"/>
            <w:shd w:val="clear" w:color="auto" w:fill="auto"/>
          </w:tcPr>
          <w:p w14:paraId="79EA8EEA" w14:textId="77777777" w:rsidR="004E0D3F" w:rsidRPr="00177B6D" w:rsidRDefault="004E0D3F" w:rsidP="004E0D3F">
            <w:pPr>
              <w:pStyle w:val="ENoteTableText"/>
            </w:pPr>
            <w:smartTag w:uri="urn:schemas-microsoft-com:office:smarttags" w:element="date">
              <w:smartTagPr>
                <w:attr w:name="Month" w:val="12"/>
                <w:attr w:name="Day" w:val="16"/>
                <w:attr w:name="Year" w:val="1992"/>
              </w:smartTagPr>
              <w:r w:rsidRPr="00177B6D">
                <w:t>16 Dec 1992</w:t>
              </w:r>
            </w:smartTag>
          </w:p>
        </w:tc>
        <w:tc>
          <w:tcPr>
            <w:tcW w:w="1845" w:type="dxa"/>
            <w:shd w:val="clear" w:color="auto" w:fill="auto"/>
          </w:tcPr>
          <w:p w14:paraId="36799754" w14:textId="76B32517" w:rsidR="004E0D3F" w:rsidRPr="00177B6D" w:rsidRDefault="004E0D3F" w:rsidP="004E0D3F">
            <w:pPr>
              <w:pStyle w:val="ENoteTableText"/>
            </w:pPr>
            <w:r w:rsidRPr="00177B6D">
              <w:t>16 Dec 1992</w:t>
            </w:r>
            <w:r w:rsidR="00BB14E1" w:rsidRPr="00177B6D">
              <w:t xml:space="preserve"> (s</w:t>
            </w:r>
            <w:r w:rsidR="0016585B" w:rsidRPr="00177B6D">
              <w:t xml:space="preserve"> </w:t>
            </w:r>
            <w:r w:rsidR="00BB14E1" w:rsidRPr="00177B6D">
              <w:t>2)</w:t>
            </w:r>
          </w:p>
        </w:tc>
        <w:tc>
          <w:tcPr>
            <w:tcW w:w="1417" w:type="dxa"/>
            <w:shd w:val="clear" w:color="auto" w:fill="auto"/>
          </w:tcPr>
          <w:p w14:paraId="71AF2FC7" w14:textId="77777777" w:rsidR="004E0D3F" w:rsidRPr="00177B6D" w:rsidRDefault="002774D6" w:rsidP="004E0D3F">
            <w:pPr>
              <w:pStyle w:val="ENoteTableText"/>
            </w:pPr>
            <w:r w:rsidRPr="00177B6D">
              <w:t>s.</w:t>
            </w:r>
            <w:r w:rsidR="004E0D3F" w:rsidRPr="00177B6D">
              <w:t xml:space="preserve"> 12</w:t>
            </w:r>
          </w:p>
        </w:tc>
      </w:tr>
      <w:tr w:rsidR="004E0D3F" w:rsidRPr="00177B6D" w14:paraId="36F4C321" w14:textId="77777777" w:rsidTr="004E0D3F">
        <w:trPr>
          <w:cantSplit/>
        </w:trPr>
        <w:tc>
          <w:tcPr>
            <w:tcW w:w="1838" w:type="dxa"/>
            <w:tcBorders>
              <w:bottom w:val="nil"/>
            </w:tcBorders>
            <w:shd w:val="clear" w:color="auto" w:fill="auto"/>
          </w:tcPr>
          <w:p w14:paraId="7DC5AEB5" w14:textId="77777777" w:rsidR="004E0D3F" w:rsidRPr="00177B6D" w:rsidRDefault="004E0D3F" w:rsidP="004E0D3F">
            <w:pPr>
              <w:pStyle w:val="ENoteTableText"/>
            </w:pPr>
            <w:r w:rsidRPr="00177B6D">
              <w:t>Qantas Sale Act 1992</w:t>
            </w:r>
          </w:p>
        </w:tc>
        <w:tc>
          <w:tcPr>
            <w:tcW w:w="992" w:type="dxa"/>
            <w:tcBorders>
              <w:bottom w:val="nil"/>
            </w:tcBorders>
            <w:shd w:val="clear" w:color="auto" w:fill="auto"/>
          </w:tcPr>
          <w:p w14:paraId="23CC4181" w14:textId="77777777" w:rsidR="004E0D3F" w:rsidRPr="00177B6D" w:rsidRDefault="004E0D3F" w:rsidP="004E0D3F">
            <w:pPr>
              <w:pStyle w:val="ENoteTableText"/>
            </w:pPr>
            <w:r w:rsidRPr="00177B6D">
              <w:t>196, 1992</w:t>
            </w:r>
          </w:p>
        </w:tc>
        <w:tc>
          <w:tcPr>
            <w:tcW w:w="993" w:type="dxa"/>
            <w:tcBorders>
              <w:bottom w:val="nil"/>
            </w:tcBorders>
            <w:shd w:val="clear" w:color="auto" w:fill="auto"/>
          </w:tcPr>
          <w:p w14:paraId="6DF9AD21" w14:textId="77777777" w:rsidR="004E0D3F" w:rsidRPr="00177B6D" w:rsidRDefault="004E0D3F" w:rsidP="004E0D3F">
            <w:pPr>
              <w:pStyle w:val="ENoteTableText"/>
            </w:pPr>
            <w:smartTag w:uri="urn:schemas-microsoft-com:office:smarttags" w:element="date">
              <w:smartTagPr>
                <w:attr w:name="Month" w:val="12"/>
                <w:attr w:name="Day" w:val="21"/>
                <w:attr w:name="Year" w:val="1992"/>
              </w:smartTagPr>
              <w:r w:rsidRPr="00177B6D">
                <w:t>21 Dec 1992</w:t>
              </w:r>
            </w:smartTag>
          </w:p>
        </w:tc>
        <w:tc>
          <w:tcPr>
            <w:tcW w:w="1845" w:type="dxa"/>
            <w:tcBorders>
              <w:bottom w:val="nil"/>
            </w:tcBorders>
            <w:shd w:val="clear" w:color="auto" w:fill="auto"/>
          </w:tcPr>
          <w:p w14:paraId="1E73BED4" w14:textId="5CB1B932" w:rsidR="004E0D3F" w:rsidRPr="00177B6D" w:rsidRDefault="00AC5728" w:rsidP="008E475A">
            <w:pPr>
              <w:pStyle w:val="ENoteTableText"/>
            </w:pPr>
            <w:r w:rsidRPr="00177B6D">
              <w:t>Sch (</w:t>
            </w:r>
            <w:r w:rsidR="004A520A">
              <w:t>Parts 3</w:t>
            </w:r>
            <w:r w:rsidR="000C08F0" w:rsidRPr="00177B6D">
              <w:t>, 6</w:t>
            </w:r>
            <w:r w:rsidRPr="00177B6D">
              <w:t xml:space="preserve">): </w:t>
            </w:r>
            <w:r w:rsidR="002343A1" w:rsidRPr="00177B6D">
              <w:t>never commenced (s 2(6)</w:t>
            </w:r>
            <w:r w:rsidR="00DC696E" w:rsidRPr="00177B6D">
              <w:t>)</w:t>
            </w:r>
          </w:p>
        </w:tc>
        <w:tc>
          <w:tcPr>
            <w:tcW w:w="1417" w:type="dxa"/>
            <w:tcBorders>
              <w:bottom w:val="nil"/>
            </w:tcBorders>
            <w:shd w:val="clear" w:color="auto" w:fill="auto"/>
          </w:tcPr>
          <w:p w14:paraId="596C9DF6" w14:textId="0C4A4DDB" w:rsidR="004E0D3F" w:rsidRPr="00177B6D" w:rsidRDefault="002343A1" w:rsidP="004E0D3F">
            <w:pPr>
              <w:pStyle w:val="ENoteTableText"/>
            </w:pPr>
            <w:r w:rsidRPr="00177B6D">
              <w:t>—</w:t>
            </w:r>
          </w:p>
        </w:tc>
      </w:tr>
      <w:tr w:rsidR="004E0D3F" w:rsidRPr="00177B6D" w14:paraId="2BDD8D56" w14:textId="77777777" w:rsidTr="004E0D3F">
        <w:trPr>
          <w:cantSplit/>
        </w:trPr>
        <w:tc>
          <w:tcPr>
            <w:tcW w:w="1838" w:type="dxa"/>
            <w:tcBorders>
              <w:top w:val="nil"/>
              <w:bottom w:val="nil"/>
            </w:tcBorders>
            <w:shd w:val="clear" w:color="auto" w:fill="auto"/>
          </w:tcPr>
          <w:p w14:paraId="66EE9DE1" w14:textId="77777777" w:rsidR="004E0D3F" w:rsidRPr="00177B6D" w:rsidRDefault="004E0D3F" w:rsidP="00484D56">
            <w:pPr>
              <w:pStyle w:val="ENoteTTIndentHeading"/>
              <w:keepNext w:val="0"/>
            </w:pPr>
            <w:r w:rsidRPr="00177B6D">
              <w:rPr>
                <w:rFonts w:cs="Times New Roman"/>
              </w:rPr>
              <w:t>as amended by</w:t>
            </w:r>
          </w:p>
        </w:tc>
        <w:tc>
          <w:tcPr>
            <w:tcW w:w="992" w:type="dxa"/>
            <w:tcBorders>
              <w:top w:val="nil"/>
              <w:bottom w:val="nil"/>
            </w:tcBorders>
            <w:shd w:val="clear" w:color="auto" w:fill="auto"/>
          </w:tcPr>
          <w:p w14:paraId="6B2BB938" w14:textId="77777777" w:rsidR="004E0D3F" w:rsidRPr="00177B6D" w:rsidRDefault="004E0D3F" w:rsidP="00484D56">
            <w:pPr>
              <w:pStyle w:val="ENoteTableText"/>
            </w:pPr>
          </w:p>
        </w:tc>
        <w:tc>
          <w:tcPr>
            <w:tcW w:w="993" w:type="dxa"/>
            <w:tcBorders>
              <w:top w:val="nil"/>
              <w:bottom w:val="nil"/>
            </w:tcBorders>
            <w:shd w:val="clear" w:color="auto" w:fill="auto"/>
          </w:tcPr>
          <w:p w14:paraId="076D9C8C" w14:textId="77777777" w:rsidR="004E0D3F" w:rsidRPr="00177B6D" w:rsidRDefault="004E0D3F" w:rsidP="00484D56">
            <w:pPr>
              <w:pStyle w:val="ENoteTableText"/>
            </w:pPr>
          </w:p>
        </w:tc>
        <w:tc>
          <w:tcPr>
            <w:tcW w:w="1845" w:type="dxa"/>
            <w:tcBorders>
              <w:top w:val="nil"/>
              <w:bottom w:val="nil"/>
            </w:tcBorders>
            <w:shd w:val="clear" w:color="auto" w:fill="auto"/>
          </w:tcPr>
          <w:p w14:paraId="131B5C70" w14:textId="77777777" w:rsidR="004E0D3F" w:rsidRPr="00177B6D" w:rsidRDefault="004E0D3F" w:rsidP="00484D56">
            <w:pPr>
              <w:pStyle w:val="ENoteTableText"/>
            </w:pPr>
          </w:p>
        </w:tc>
        <w:tc>
          <w:tcPr>
            <w:tcW w:w="1417" w:type="dxa"/>
            <w:tcBorders>
              <w:top w:val="nil"/>
              <w:bottom w:val="nil"/>
            </w:tcBorders>
            <w:shd w:val="clear" w:color="auto" w:fill="auto"/>
          </w:tcPr>
          <w:p w14:paraId="1BB5E34C" w14:textId="77777777" w:rsidR="004E0D3F" w:rsidRPr="00177B6D" w:rsidRDefault="004E0D3F" w:rsidP="00484D56">
            <w:pPr>
              <w:pStyle w:val="ENoteTableText"/>
            </w:pPr>
          </w:p>
        </w:tc>
      </w:tr>
      <w:tr w:rsidR="004E0D3F" w:rsidRPr="00177B6D" w14:paraId="741900F1" w14:textId="77777777" w:rsidTr="004E0D3F">
        <w:trPr>
          <w:cantSplit/>
        </w:trPr>
        <w:tc>
          <w:tcPr>
            <w:tcW w:w="1838" w:type="dxa"/>
            <w:tcBorders>
              <w:top w:val="nil"/>
              <w:bottom w:val="nil"/>
            </w:tcBorders>
            <w:shd w:val="clear" w:color="auto" w:fill="auto"/>
          </w:tcPr>
          <w:p w14:paraId="6D83F4F4" w14:textId="77777777" w:rsidR="004E0D3F" w:rsidRPr="00177B6D" w:rsidRDefault="004E0D3F" w:rsidP="00484D56">
            <w:pPr>
              <w:pStyle w:val="ENoteTTi"/>
              <w:keepNext w:val="0"/>
            </w:pPr>
            <w:r w:rsidRPr="00177B6D">
              <w:t>Qantas Sale Amendment Act 1993</w:t>
            </w:r>
          </w:p>
        </w:tc>
        <w:tc>
          <w:tcPr>
            <w:tcW w:w="992" w:type="dxa"/>
            <w:tcBorders>
              <w:top w:val="nil"/>
              <w:bottom w:val="nil"/>
            </w:tcBorders>
            <w:shd w:val="clear" w:color="auto" w:fill="auto"/>
          </w:tcPr>
          <w:p w14:paraId="7A59373D" w14:textId="77777777" w:rsidR="004E0D3F" w:rsidRPr="00177B6D" w:rsidRDefault="004E0D3F" w:rsidP="00484D56">
            <w:pPr>
              <w:pStyle w:val="ENoteTableText"/>
            </w:pPr>
            <w:r w:rsidRPr="00177B6D">
              <w:t>60, 1993</w:t>
            </w:r>
          </w:p>
        </w:tc>
        <w:tc>
          <w:tcPr>
            <w:tcW w:w="993" w:type="dxa"/>
            <w:tcBorders>
              <w:top w:val="nil"/>
              <w:bottom w:val="nil"/>
            </w:tcBorders>
            <w:shd w:val="clear" w:color="auto" w:fill="auto"/>
          </w:tcPr>
          <w:p w14:paraId="4BA91014" w14:textId="77777777" w:rsidR="004E0D3F" w:rsidRPr="00177B6D" w:rsidRDefault="004E0D3F" w:rsidP="00484D56">
            <w:pPr>
              <w:pStyle w:val="ENoteTableText"/>
            </w:pPr>
            <w:smartTag w:uri="urn:schemas-microsoft-com:office:smarttags" w:element="date">
              <w:smartTagPr>
                <w:attr w:name="Month" w:val="11"/>
                <w:attr w:name="Day" w:val="3"/>
                <w:attr w:name="Year" w:val="1993"/>
              </w:smartTagPr>
              <w:r w:rsidRPr="00177B6D">
                <w:t>3 Nov 1993</w:t>
              </w:r>
            </w:smartTag>
          </w:p>
        </w:tc>
        <w:tc>
          <w:tcPr>
            <w:tcW w:w="1845" w:type="dxa"/>
            <w:tcBorders>
              <w:top w:val="nil"/>
              <w:bottom w:val="nil"/>
            </w:tcBorders>
            <w:shd w:val="clear" w:color="auto" w:fill="auto"/>
          </w:tcPr>
          <w:p w14:paraId="2FDA9EEA" w14:textId="5FDC6139" w:rsidR="004E0D3F" w:rsidRPr="00177B6D" w:rsidRDefault="004E0D3F" w:rsidP="00484D56">
            <w:pPr>
              <w:pStyle w:val="ENoteTableText"/>
            </w:pPr>
            <w:smartTag w:uri="urn:schemas-microsoft-com:office:smarttags" w:element="date">
              <w:smartTagPr>
                <w:attr w:name="Month" w:val="3"/>
                <w:attr w:name="Day" w:val="10"/>
                <w:attr w:name="Year" w:val="1993"/>
              </w:smartTagPr>
              <w:r w:rsidRPr="00177B6D">
                <w:t>10 Mar 1993</w:t>
              </w:r>
            </w:smartTag>
            <w:r w:rsidR="00095B5A" w:rsidRPr="00177B6D">
              <w:t xml:space="preserve"> (s 2)</w:t>
            </w:r>
          </w:p>
        </w:tc>
        <w:tc>
          <w:tcPr>
            <w:tcW w:w="1417" w:type="dxa"/>
            <w:tcBorders>
              <w:top w:val="nil"/>
              <w:bottom w:val="nil"/>
            </w:tcBorders>
            <w:shd w:val="clear" w:color="auto" w:fill="auto"/>
          </w:tcPr>
          <w:p w14:paraId="710F5411" w14:textId="77777777" w:rsidR="004E0D3F" w:rsidRPr="00177B6D" w:rsidRDefault="004E0D3F" w:rsidP="00484D56">
            <w:pPr>
              <w:pStyle w:val="ENoteTableText"/>
            </w:pPr>
            <w:r w:rsidRPr="00177B6D">
              <w:t>—</w:t>
            </w:r>
          </w:p>
        </w:tc>
      </w:tr>
      <w:tr w:rsidR="004E0D3F" w:rsidRPr="00177B6D" w14:paraId="759A5361" w14:textId="77777777" w:rsidTr="004E0D3F">
        <w:trPr>
          <w:cantSplit/>
        </w:trPr>
        <w:tc>
          <w:tcPr>
            <w:tcW w:w="1838" w:type="dxa"/>
            <w:tcBorders>
              <w:top w:val="nil"/>
              <w:bottom w:val="single" w:sz="4" w:space="0" w:color="auto"/>
            </w:tcBorders>
            <w:shd w:val="clear" w:color="auto" w:fill="auto"/>
          </w:tcPr>
          <w:p w14:paraId="7E46059F" w14:textId="77777777" w:rsidR="004E0D3F" w:rsidRPr="00177B6D" w:rsidRDefault="004E0D3F" w:rsidP="00484D56">
            <w:pPr>
              <w:pStyle w:val="ENoteTTi"/>
              <w:keepNext w:val="0"/>
            </w:pPr>
            <w:r w:rsidRPr="00177B6D">
              <w:t>Qantas Sale Amendment Act 1994</w:t>
            </w:r>
          </w:p>
        </w:tc>
        <w:tc>
          <w:tcPr>
            <w:tcW w:w="992" w:type="dxa"/>
            <w:tcBorders>
              <w:top w:val="nil"/>
              <w:bottom w:val="single" w:sz="4" w:space="0" w:color="auto"/>
            </w:tcBorders>
            <w:shd w:val="clear" w:color="auto" w:fill="auto"/>
          </w:tcPr>
          <w:p w14:paraId="5F52B080" w14:textId="77777777" w:rsidR="004E0D3F" w:rsidRPr="00177B6D" w:rsidRDefault="004E0D3F" w:rsidP="00484D56">
            <w:pPr>
              <w:pStyle w:val="ENoteTableText"/>
            </w:pPr>
            <w:r w:rsidRPr="00177B6D">
              <w:t>168, 1994</w:t>
            </w:r>
          </w:p>
        </w:tc>
        <w:tc>
          <w:tcPr>
            <w:tcW w:w="993" w:type="dxa"/>
            <w:tcBorders>
              <w:top w:val="nil"/>
              <w:bottom w:val="single" w:sz="4" w:space="0" w:color="auto"/>
            </w:tcBorders>
            <w:shd w:val="clear" w:color="auto" w:fill="auto"/>
          </w:tcPr>
          <w:p w14:paraId="024A1591" w14:textId="77777777" w:rsidR="004E0D3F" w:rsidRPr="00177B6D" w:rsidRDefault="004E0D3F" w:rsidP="00484D56">
            <w:pPr>
              <w:pStyle w:val="ENoteTableText"/>
            </w:pPr>
            <w:smartTag w:uri="urn:schemas-microsoft-com:office:smarttags" w:element="date">
              <w:smartTagPr>
                <w:attr w:name="Month" w:val="12"/>
                <w:attr w:name="Day" w:val="16"/>
                <w:attr w:name="Year" w:val="1994"/>
              </w:smartTagPr>
              <w:r w:rsidRPr="00177B6D">
                <w:t>16 Dec 1994</w:t>
              </w:r>
            </w:smartTag>
          </w:p>
        </w:tc>
        <w:tc>
          <w:tcPr>
            <w:tcW w:w="1845" w:type="dxa"/>
            <w:tcBorders>
              <w:top w:val="nil"/>
              <w:bottom w:val="single" w:sz="4" w:space="0" w:color="auto"/>
            </w:tcBorders>
            <w:shd w:val="clear" w:color="auto" w:fill="auto"/>
          </w:tcPr>
          <w:p w14:paraId="6F2A00D6" w14:textId="327BFBC3" w:rsidR="004E0D3F" w:rsidRPr="00177B6D" w:rsidRDefault="00563FC9" w:rsidP="00A302D2">
            <w:pPr>
              <w:pStyle w:val="ENoteTableText"/>
            </w:pPr>
            <w:r w:rsidRPr="00177B6D">
              <w:t>Sch (</w:t>
            </w:r>
            <w:r w:rsidR="004A520A">
              <w:t>item 1</w:t>
            </w:r>
            <w:r w:rsidRPr="00177B6D">
              <w:t>7</w:t>
            </w:r>
            <w:r w:rsidR="009C4627" w:rsidRPr="00177B6D">
              <w:t>)</w:t>
            </w:r>
            <w:r w:rsidR="004E0D3F" w:rsidRPr="00177B6D">
              <w:t>:</w:t>
            </w:r>
            <w:r w:rsidR="00A302D2" w:rsidRPr="00177B6D">
              <w:t xml:space="preserve"> 16 Dec 1994 (s 2(1))</w:t>
            </w:r>
          </w:p>
        </w:tc>
        <w:tc>
          <w:tcPr>
            <w:tcW w:w="1417" w:type="dxa"/>
            <w:tcBorders>
              <w:top w:val="nil"/>
              <w:bottom w:val="single" w:sz="4" w:space="0" w:color="auto"/>
            </w:tcBorders>
            <w:shd w:val="clear" w:color="auto" w:fill="auto"/>
          </w:tcPr>
          <w:p w14:paraId="396F158B" w14:textId="77777777" w:rsidR="004E0D3F" w:rsidRPr="00177B6D" w:rsidRDefault="004E0D3F" w:rsidP="00484D56">
            <w:pPr>
              <w:pStyle w:val="ENoteTableText"/>
            </w:pPr>
            <w:r w:rsidRPr="00177B6D">
              <w:t>—</w:t>
            </w:r>
          </w:p>
        </w:tc>
      </w:tr>
      <w:tr w:rsidR="004E0D3F" w:rsidRPr="00177B6D" w14:paraId="3E692FFC" w14:textId="77777777" w:rsidTr="004E0D3F">
        <w:trPr>
          <w:cantSplit/>
        </w:trPr>
        <w:tc>
          <w:tcPr>
            <w:tcW w:w="1838" w:type="dxa"/>
            <w:tcBorders>
              <w:top w:val="single" w:sz="4" w:space="0" w:color="auto"/>
            </w:tcBorders>
            <w:shd w:val="clear" w:color="auto" w:fill="auto"/>
          </w:tcPr>
          <w:p w14:paraId="3C7DA0EE" w14:textId="77777777" w:rsidR="004E0D3F" w:rsidRPr="00177B6D" w:rsidRDefault="004E0D3F" w:rsidP="004E0D3F">
            <w:pPr>
              <w:pStyle w:val="ENoteTableText"/>
            </w:pPr>
            <w:r w:rsidRPr="00177B6D">
              <w:lastRenderedPageBreak/>
              <w:t>Statute Law Revision Act 1996</w:t>
            </w:r>
          </w:p>
        </w:tc>
        <w:tc>
          <w:tcPr>
            <w:tcW w:w="992" w:type="dxa"/>
            <w:tcBorders>
              <w:top w:val="single" w:sz="4" w:space="0" w:color="auto"/>
            </w:tcBorders>
            <w:shd w:val="clear" w:color="auto" w:fill="auto"/>
          </w:tcPr>
          <w:p w14:paraId="3A93AB7E" w14:textId="77777777" w:rsidR="004E0D3F" w:rsidRPr="00177B6D" w:rsidRDefault="004E0D3F" w:rsidP="004E0D3F">
            <w:pPr>
              <w:pStyle w:val="ENoteTableText"/>
            </w:pPr>
            <w:r w:rsidRPr="00177B6D">
              <w:t>43, 1996</w:t>
            </w:r>
          </w:p>
        </w:tc>
        <w:tc>
          <w:tcPr>
            <w:tcW w:w="993" w:type="dxa"/>
            <w:tcBorders>
              <w:top w:val="single" w:sz="4" w:space="0" w:color="auto"/>
            </w:tcBorders>
            <w:shd w:val="clear" w:color="auto" w:fill="auto"/>
          </w:tcPr>
          <w:p w14:paraId="4E26E33B" w14:textId="77777777" w:rsidR="004E0D3F" w:rsidRPr="00177B6D" w:rsidRDefault="004E0D3F" w:rsidP="004E0D3F">
            <w:pPr>
              <w:pStyle w:val="ENoteTableText"/>
            </w:pPr>
            <w:smartTag w:uri="urn:schemas-microsoft-com:office:smarttags" w:element="date">
              <w:smartTagPr>
                <w:attr w:name="Month" w:val="10"/>
                <w:attr w:name="Day" w:val="25"/>
                <w:attr w:name="Year" w:val="1996"/>
              </w:smartTagPr>
              <w:r w:rsidRPr="00177B6D">
                <w:t>25 Oct 1996</w:t>
              </w:r>
            </w:smartTag>
          </w:p>
        </w:tc>
        <w:tc>
          <w:tcPr>
            <w:tcW w:w="1845" w:type="dxa"/>
            <w:tcBorders>
              <w:top w:val="single" w:sz="4" w:space="0" w:color="auto"/>
            </w:tcBorders>
            <w:shd w:val="clear" w:color="auto" w:fill="auto"/>
          </w:tcPr>
          <w:p w14:paraId="44E81BD6" w14:textId="77777777" w:rsidR="004E0D3F" w:rsidRPr="00177B6D" w:rsidRDefault="004E0D3F" w:rsidP="00A302D2">
            <w:pPr>
              <w:pStyle w:val="ENoteTableText"/>
            </w:pPr>
            <w:r w:rsidRPr="00177B6D">
              <w:t>Sch</w:t>
            </w:r>
            <w:r w:rsidR="009163ED" w:rsidRPr="00177B6D">
              <w:t> </w:t>
            </w:r>
            <w:r w:rsidRPr="00177B6D">
              <w:t>4 (items</w:t>
            </w:r>
            <w:r w:rsidR="00CC4F01" w:rsidRPr="00177B6D">
              <w:t> </w:t>
            </w:r>
            <w:r w:rsidRPr="00177B6D">
              <w:t xml:space="preserve">6, 7): </w:t>
            </w:r>
            <w:r w:rsidR="00A302D2" w:rsidRPr="00177B6D">
              <w:t>25 Oct 1996 (s 2(1))</w:t>
            </w:r>
          </w:p>
        </w:tc>
        <w:tc>
          <w:tcPr>
            <w:tcW w:w="1417" w:type="dxa"/>
            <w:tcBorders>
              <w:top w:val="single" w:sz="4" w:space="0" w:color="auto"/>
            </w:tcBorders>
            <w:shd w:val="clear" w:color="auto" w:fill="auto"/>
          </w:tcPr>
          <w:p w14:paraId="1780AC93" w14:textId="77777777" w:rsidR="004E0D3F" w:rsidRPr="00177B6D" w:rsidRDefault="004E0D3F" w:rsidP="004E0D3F">
            <w:pPr>
              <w:pStyle w:val="ENoteTableText"/>
            </w:pPr>
            <w:r w:rsidRPr="00177B6D">
              <w:t>—</w:t>
            </w:r>
          </w:p>
        </w:tc>
      </w:tr>
      <w:tr w:rsidR="004E0D3F" w:rsidRPr="00177B6D" w14:paraId="54202628" w14:textId="77777777" w:rsidTr="004E0D3F">
        <w:trPr>
          <w:cantSplit/>
        </w:trPr>
        <w:tc>
          <w:tcPr>
            <w:tcW w:w="1838" w:type="dxa"/>
            <w:shd w:val="clear" w:color="auto" w:fill="auto"/>
          </w:tcPr>
          <w:p w14:paraId="6462B34E" w14:textId="77777777" w:rsidR="004E0D3F" w:rsidRPr="00177B6D" w:rsidRDefault="004E0D3F" w:rsidP="004E0D3F">
            <w:pPr>
              <w:pStyle w:val="ENoteTableText"/>
            </w:pPr>
            <w:r w:rsidRPr="00177B6D">
              <w:t>Workplace Relations and Other Legislation Amendment Act 1996</w:t>
            </w:r>
          </w:p>
        </w:tc>
        <w:tc>
          <w:tcPr>
            <w:tcW w:w="992" w:type="dxa"/>
            <w:shd w:val="clear" w:color="auto" w:fill="auto"/>
          </w:tcPr>
          <w:p w14:paraId="3985B298" w14:textId="77777777" w:rsidR="004E0D3F" w:rsidRPr="00177B6D" w:rsidRDefault="004E0D3F" w:rsidP="004E0D3F">
            <w:pPr>
              <w:pStyle w:val="ENoteTableText"/>
            </w:pPr>
            <w:r w:rsidRPr="00177B6D">
              <w:t>60, 1996</w:t>
            </w:r>
          </w:p>
        </w:tc>
        <w:tc>
          <w:tcPr>
            <w:tcW w:w="993" w:type="dxa"/>
            <w:shd w:val="clear" w:color="auto" w:fill="auto"/>
          </w:tcPr>
          <w:p w14:paraId="59214357" w14:textId="77777777" w:rsidR="004E0D3F" w:rsidRPr="00177B6D" w:rsidRDefault="004E0D3F" w:rsidP="004E0D3F">
            <w:pPr>
              <w:pStyle w:val="ENoteTableText"/>
            </w:pPr>
            <w:smartTag w:uri="urn:schemas-microsoft-com:office:smarttags" w:element="date">
              <w:smartTagPr>
                <w:attr w:name="Month" w:val="11"/>
                <w:attr w:name="Day" w:val="25"/>
                <w:attr w:name="Year" w:val="1996"/>
              </w:smartTagPr>
              <w:r w:rsidRPr="00177B6D">
                <w:t>25 Nov 1996</w:t>
              </w:r>
            </w:smartTag>
          </w:p>
        </w:tc>
        <w:tc>
          <w:tcPr>
            <w:tcW w:w="1845" w:type="dxa"/>
            <w:shd w:val="clear" w:color="auto" w:fill="auto"/>
          </w:tcPr>
          <w:p w14:paraId="6C213D70" w14:textId="77777777" w:rsidR="004E0D3F" w:rsidRPr="00177B6D" w:rsidRDefault="004E0D3F" w:rsidP="00A302D2">
            <w:pPr>
              <w:pStyle w:val="ENoteTableText"/>
            </w:pPr>
            <w:r w:rsidRPr="00177B6D">
              <w:t>Sch</w:t>
            </w:r>
            <w:r w:rsidR="009163ED" w:rsidRPr="00177B6D">
              <w:t> </w:t>
            </w:r>
            <w:r w:rsidRPr="00177B6D">
              <w:t>19 (item</w:t>
            </w:r>
            <w:r w:rsidR="00CC4F01" w:rsidRPr="00177B6D">
              <w:t> </w:t>
            </w:r>
            <w:r w:rsidRPr="00177B6D">
              <w:t>4):</w:t>
            </w:r>
            <w:r w:rsidR="00A302D2" w:rsidRPr="00177B6D">
              <w:t xml:space="preserve"> 25 Nov 1996 (s 2(1))</w:t>
            </w:r>
          </w:p>
        </w:tc>
        <w:tc>
          <w:tcPr>
            <w:tcW w:w="1417" w:type="dxa"/>
            <w:shd w:val="clear" w:color="auto" w:fill="auto"/>
          </w:tcPr>
          <w:p w14:paraId="523EF3E9" w14:textId="77777777" w:rsidR="004E0D3F" w:rsidRPr="00177B6D" w:rsidRDefault="004E0D3F" w:rsidP="004E0D3F">
            <w:pPr>
              <w:pStyle w:val="ENoteTableText"/>
            </w:pPr>
            <w:r w:rsidRPr="00177B6D">
              <w:t>—</w:t>
            </w:r>
          </w:p>
        </w:tc>
      </w:tr>
      <w:tr w:rsidR="004E0D3F" w:rsidRPr="00177B6D" w14:paraId="5FDC6E8B" w14:textId="77777777" w:rsidTr="004E0D3F">
        <w:trPr>
          <w:cantSplit/>
        </w:trPr>
        <w:tc>
          <w:tcPr>
            <w:tcW w:w="1838" w:type="dxa"/>
            <w:shd w:val="clear" w:color="auto" w:fill="auto"/>
          </w:tcPr>
          <w:p w14:paraId="7064B7AD" w14:textId="77777777" w:rsidR="004E0D3F" w:rsidRPr="00177B6D" w:rsidRDefault="004E0D3F" w:rsidP="004E0D3F">
            <w:pPr>
              <w:pStyle w:val="ENoteTableText"/>
            </w:pPr>
            <w:r w:rsidRPr="00177B6D">
              <w:t>Public Employment (Consequential and Transitional) Amendment Act 1999</w:t>
            </w:r>
          </w:p>
        </w:tc>
        <w:tc>
          <w:tcPr>
            <w:tcW w:w="992" w:type="dxa"/>
            <w:shd w:val="clear" w:color="auto" w:fill="auto"/>
          </w:tcPr>
          <w:p w14:paraId="62E75E4F" w14:textId="77777777" w:rsidR="004E0D3F" w:rsidRPr="00177B6D" w:rsidRDefault="004E0D3F" w:rsidP="004E0D3F">
            <w:pPr>
              <w:pStyle w:val="ENoteTableText"/>
            </w:pPr>
            <w:r w:rsidRPr="00177B6D">
              <w:t>146, 1999</w:t>
            </w:r>
          </w:p>
        </w:tc>
        <w:tc>
          <w:tcPr>
            <w:tcW w:w="993" w:type="dxa"/>
            <w:shd w:val="clear" w:color="auto" w:fill="auto"/>
          </w:tcPr>
          <w:p w14:paraId="6119DD48" w14:textId="77777777" w:rsidR="004E0D3F" w:rsidRPr="00177B6D" w:rsidRDefault="004E0D3F" w:rsidP="004E0D3F">
            <w:pPr>
              <w:pStyle w:val="ENoteTableText"/>
            </w:pPr>
            <w:smartTag w:uri="urn:schemas-microsoft-com:office:smarttags" w:element="date">
              <w:smartTagPr>
                <w:attr w:name="Month" w:val="11"/>
                <w:attr w:name="Day" w:val="11"/>
                <w:attr w:name="Year" w:val="1999"/>
              </w:smartTagPr>
              <w:r w:rsidRPr="00177B6D">
                <w:t>11 Nov 1999</w:t>
              </w:r>
            </w:smartTag>
          </w:p>
        </w:tc>
        <w:tc>
          <w:tcPr>
            <w:tcW w:w="1845" w:type="dxa"/>
            <w:shd w:val="clear" w:color="auto" w:fill="auto"/>
          </w:tcPr>
          <w:p w14:paraId="384AF22B" w14:textId="3281BB9C" w:rsidR="004E0D3F" w:rsidRPr="00177B6D" w:rsidRDefault="004E0D3F" w:rsidP="00A302D2">
            <w:pPr>
              <w:pStyle w:val="ENoteTableText"/>
              <w:rPr>
                <w:i/>
              </w:rPr>
            </w:pPr>
            <w:r w:rsidRPr="00177B6D">
              <w:t>Sch</w:t>
            </w:r>
            <w:r w:rsidR="009163ED" w:rsidRPr="00177B6D">
              <w:t> </w:t>
            </w:r>
            <w:r w:rsidRPr="00177B6D">
              <w:t>1 (items</w:t>
            </w:r>
            <w:r w:rsidR="00CC4F01" w:rsidRPr="00177B6D">
              <w:t> </w:t>
            </w:r>
            <w:r w:rsidRPr="00177B6D">
              <w:t xml:space="preserve">54, 55): </w:t>
            </w:r>
            <w:smartTag w:uri="urn:schemas-microsoft-com:office:smarttags" w:element="date">
              <w:smartTagPr>
                <w:attr w:name="Month" w:val="12"/>
                <w:attr w:name="Day" w:val="5"/>
                <w:attr w:name="Year" w:val="1999"/>
              </w:smartTagPr>
              <w:r w:rsidRPr="00177B6D">
                <w:t>5 Dec 1999</w:t>
              </w:r>
            </w:smartTag>
            <w:r w:rsidRPr="00177B6D">
              <w:t xml:space="preserve"> (</w:t>
            </w:r>
            <w:r w:rsidR="0016585B" w:rsidRPr="00177B6D">
              <w:t xml:space="preserve">s 2(1), (2) and </w:t>
            </w:r>
            <w:r w:rsidR="008E475A" w:rsidRPr="00177B6D">
              <w:t xml:space="preserve">gaz </w:t>
            </w:r>
            <w:r w:rsidRPr="00177B6D">
              <w:t>1999, No S584)</w:t>
            </w:r>
          </w:p>
        </w:tc>
        <w:tc>
          <w:tcPr>
            <w:tcW w:w="1417" w:type="dxa"/>
            <w:shd w:val="clear" w:color="auto" w:fill="auto"/>
          </w:tcPr>
          <w:p w14:paraId="2E391B63" w14:textId="77777777" w:rsidR="004E0D3F" w:rsidRPr="00177B6D" w:rsidRDefault="004E0D3F" w:rsidP="004E0D3F">
            <w:pPr>
              <w:pStyle w:val="ENoteTableText"/>
            </w:pPr>
            <w:r w:rsidRPr="00177B6D">
              <w:t>—</w:t>
            </w:r>
          </w:p>
        </w:tc>
      </w:tr>
      <w:tr w:rsidR="004E0D3F" w:rsidRPr="00177B6D" w14:paraId="63D1E8D8" w14:textId="77777777" w:rsidTr="001D24E8">
        <w:trPr>
          <w:cantSplit/>
        </w:trPr>
        <w:tc>
          <w:tcPr>
            <w:tcW w:w="1838" w:type="dxa"/>
            <w:tcBorders>
              <w:bottom w:val="single" w:sz="4" w:space="0" w:color="auto"/>
            </w:tcBorders>
            <w:shd w:val="clear" w:color="auto" w:fill="auto"/>
          </w:tcPr>
          <w:p w14:paraId="2689B293" w14:textId="77777777" w:rsidR="004E0D3F" w:rsidRPr="00177B6D" w:rsidRDefault="004E0D3F" w:rsidP="004E0D3F">
            <w:pPr>
              <w:pStyle w:val="ENoteTableText"/>
            </w:pPr>
            <w:r w:rsidRPr="00177B6D">
              <w:t>Equal Opportunity for Women in the Workplace Amendment</w:t>
            </w:r>
            <w:r w:rsidRPr="00177B6D">
              <w:rPr>
                <w:sz w:val="22"/>
              </w:rPr>
              <w:t xml:space="preserve"> </w:t>
            </w:r>
            <w:r w:rsidRPr="00177B6D">
              <w:t>Act 1999</w:t>
            </w:r>
          </w:p>
        </w:tc>
        <w:tc>
          <w:tcPr>
            <w:tcW w:w="992" w:type="dxa"/>
            <w:tcBorders>
              <w:bottom w:val="single" w:sz="4" w:space="0" w:color="auto"/>
            </w:tcBorders>
            <w:shd w:val="clear" w:color="auto" w:fill="auto"/>
          </w:tcPr>
          <w:p w14:paraId="0B947058" w14:textId="77777777" w:rsidR="004E0D3F" w:rsidRPr="00177B6D" w:rsidRDefault="004E0D3F" w:rsidP="004E0D3F">
            <w:pPr>
              <w:pStyle w:val="ENoteTableText"/>
            </w:pPr>
            <w:r w:rsidRPr="00177B6D">
              <w:t>183, 1999</w:t>
            </w:r>
          </w:p>
        </w:tc>
        <w:tc>
          <w:tcPr>
            <w:tcW w:w="993" w:type="dxa"/>
            <w:tcBorders>
              <w:bottom w:val="single" w:sz="4" w:space="0" w:color="auto"/>
            </w:tcBorders>
            <w:shd w:val="clear" w:color="auto" w:fill="auto"/>
          </w:tcPr>
          <w:p w14:paraId="58A6A99F" w14:textId="77777777" w:rsidR="004E0D3F" w:rsidRPr="00177B6D" w:rsidRDefault="004E0D3F" w:rsidP="004E0D3F">
            <w:pPr>
              <w:pStyle w:val="ENoteTableText"/>
            </w:pPr>
            <w:smartTag w:uri="urn:schemas-microsoft-com:office:smarttags" w:element="date">
              <w:smartTagPr>
                <w:attr w:name="Month" w:val="12"/>
                <w:attr w:name="Day" w:val="22"/>
                <w:attr w:name="Year" w:val="1999"/>
              </w:smartTagPr>
              <w:r w:rsidRPr="00177B6D">
                <w:t>22 Dec 1999</w:t>
              </w:r>
            </w:smartTag>
          </w:p>
        </w:tc>
        <w:tc>
          <w:tcPr>
            <w:tcW w:w="1845" w:type="dxa"/>
            <w:tcBorders>
              <w:bottom w:val="single" w:sz="4" w:space="0" w:color="auto"/>
            </w:tcBorders>
            <w:shd w:val="clear" w:color="auto" w:fill="auto"/>
          </w:tcPr>
          <w:p w14:paraId="0CC627CF" w14:textId="77777777" w:rsidR="004E0D3F" w:rsidRPr="00177B6D" w:rsidRDefault="004E0D3F" w:rsidP="008E475A">
            <w:pPr>
              <w:pStyle w:val="ENoteTableText"/>
            </w:pPr>
            <w:r w:rsidRPr="00177B6D">
              <w:t>Sch</w:t>
            </w:r>
            <w:r w:rsidR="009163ED" w:rsidRPr="00177B6D">
              <w:t> </w:t>
            </w:r>
            <w:r w:rsidRPr="00177B6D">
              <w:t xml:space="preserve">1 and 3: </w:t>
            </w:r>
            <w:smartTag w:uri="urn:schemas-microsoft-com:office:smarttags" w:element="date">
              <w:smartTagPr>
                <w:attr w:name="Month" w:val="1"/>
                <w:attr w:name="Day" w:val="1"/>
                <w:attr w:name="Year" w:val="2000"/>
              </w:smartTagPr>
              <w:r w:rsidRPr="00177B6D">
                <w:t>1 Jan 2000</w:t>
              </w:r>
            </w:smartTag>
            <w:r w:rsidRPr="00177B6D">
              <w:br/>
              <w:t>Remainder: Royal Assent</w:t>
            </w:r>
          </w:p>
        </w:tc>
        <w:tc>
          <w:tcPr>
            <w:tcW w:w="1417" w:type="dxa"/>
            <w:tcBorders>
              <w:bottom w:val="single" w:sz="4" w:space="0" w:color="auto"/>
            </w:tcBorders>
            <w:shd w:val="clear" w:color="auto" w:fill="auto"/>
          </w:tcPr>
          <w:p w14:paraId="28F1EB05" w14:textId="77777777" w:rsidR="004E0D3F" w:rsidRPr="00177B6D" w:rsidRDefault="004E0D3F" w:rsidP="00F071ED">
            <w:pPr>
              <w:pStyle w:val="ENoteTableText"/>
            </w:pPr>
            <w:r w:rsidRPr="00177B6D">
              <w:t>Sch 3</w:t>
            </w:r>
          </w:p>
        </w:tc>
      </w:tr>
      <w:tr w:rsidR="004E0D3F" w:rsidRPr="00177B6D" w14:paraId="228A7010" w14:textId="77777777" w:rsidTr="001D24E8">
        <w:trPr>
          <w:cantSplit/>
        </w:trPr>
        <w:tc>
          <w:tcPr>
            <w:tcW w:w="1838" w:type="dxa"/>
            <w:tcBorders>
              <w:bottom w:val="single" w:sz="4" w:space="0" w:color="auto"/>
            </w:tcBorders>
            <w:shd w:val="clear" w:color="auto" w:fill="auto"/>
          </w:tcPr>
          <w:p w14:paraId="06DE91FF" w14:textId="77777777" w:rsidR="004E0D3F" w:rsidRPr="00177B6D" w:rsidRDefault="004E0D3F" w:rsidP="004E0D3F">
            <w:pPr>
              <w:pStyle w:val="ENoteTableText"/>
            </w:pPr>
            <w:bookmarkStart w:id="68" w:name="CU_1651076"/>
            <w:bookmarkEnd w:id="68"/>
            <w:r w:rsidRPr="00177B6D">
              <w:t>Corporations (Repeals, Consequentials and Transitionals) Act 2001</w:t>
            </w:r>
          </w:p>
        </w:tc>
        <w:tc>
          <w:tcPr>
            <w:tcW w:w="992" w:type="dxa"/>
            <w:tcBorders>
              <w:bottom w:val="single" w:sz="4" w:space="0" w:color="auto"/>
            </w:tcBorders>
            <w:shd w:val="clear" w:color="auto" w:fill="auto"/>
          </w:tcPr>
          <w:p w14:paraId="239389DA" w14:textId="77777777" w:rsidR="004E0D3F" w:rsidRPr="00177B6D" w:rsidRDefault="004E0D3F" w:rsidP="004E0D3F">
            <w:pPr>
              <w:pStyle w:val="ENoteTableText"/>
            </w:pPr>
            <w:r w:rsidRPr="00177B6D">
              <w:t>55, 2001</w:t>
            </w:r>
          </w:p>
        </w:tc>
        <w:tc>
          <w:tcPr>
            <w:tcW w:w="993" w:type="dxa"/>
            <w:tcBorders>
              <w:bottom w:val="single" w:sz="4" w:space="0" w:color="auto"/>
            </w:tcBorders>
            <w:shd w:val="clear" w:color="auto" w:fill="auto"/>
          </w:tcPr>
          <w:p w14:paraId="6E1C3C18" w14:textId="77777777" w:rsidR="004E0D3F" w:rsidRPr="00177B6D" w:rsidRDefault="004E0D3F" w:rsidP="004E0D3F">
            <w:pPr>
              <w:pStyle w:val="ENoteTableText"/>
            </w:pPr>
            <w:r w:rsidRPr="00177B6D">
              <w:t>28</w:t>
            </w:r>
            <w:r w:rsidR="00CC4F01" w:rsidRPr="00177B6D">
              <w:t> </w:t>
            </w:r>
            <w:r w:rsidRPr="00177B6D">
              <w:t>June 2001</w:t>
            </w:r>
          </w:p>
        </w:tc>
        <w:tc>
          <w:tcPr>
            <w:tcW w:w="1845" w:type="dxa"/>
            <w:tcBorders>
              <w:bottom w:val="single" w:sz="4" w:space="0" w:color="auto"/>
            </w:tcBorders>
            <w:shd w:val="clear" w:color="auto" w:fill="auto"/>
          </w:tcPr>
          <w:p w14:paraId="4C3A64FF" w14:textId="2483F2C5" w:rsidR="004E0D3F" w:rsidRPr="00177B6D" w:rsidRDefault="002774D6" w:rsidP="00CC4F01">
            <w:pPr>
              <w:pStyle w:val="ENoteTableText"/>
            </w:pPr>
            <w:r w:rsidRPr="00177B6D">
              <w:t>s</w:t>
            </w:r>
            <w:r w:rsidR="009163ED" w:rsidRPr="00177B6D">
              <w:t> </w:t>
            </w:r>
            <w:r w:rsidR="004E0D3F" w:rsidRPr="00177B6D">
              <w:t>4–14 and Sch</w:t>
            </w:r>
            <w:r w:rsidR="008E475A" w:rsidRPr="00177B6D">
              <w:t xml:space="preserve"> </w:t>
            </w:r>
            <w:r w:rsidR="004E0D3F" w:rsidRPr="00177B6D">
              <w:t>3 (</w:t>
            </w:r>
            <w:r w:rsidR="004A520A">
              <w:t>item 1</w:t>
            </w:r>
            <w:r w:rsidR="004E0D3F" w:rsidRPr="00177B6D">
              <w:t>73): 15</w:t>
            </w:r>
            <w:r w:rsidR="00CC4F01" w:rsidRPr="00177B6D">
              <w:t> </w:t>
            </w:r>
            <w:r w:rsidR="004E0D3F" w:rsidRPr="00177B6D">
              <w:t>July 2001 (</w:t>
            </w:r>
            <w:r w:rsidR="0016585B" w:rsidRPr="00177B6D">
              <w:t xml:space="preserve">s 2(3) and </w:t>
            </w:r>
            <w:r w:rsidR="008E475A" w:rsidRPr="00177B6D">
              <w:t xml:space="preserve">gaz </w:t>
            </w:r>
            <w:r w:rsidR="004E0D3F" w:rsidRPr="00177B6D">
              <w:t>2001, No. S285</w:t>
            </w:r>
            <w:r w:rsidR="00CC4F01" w:rsidRPr="00177B6D">
              <w:t>)</w:t>
            </w:r>
          </w:p>
        </w:tc>
        <w:tc>
          <w:tcPr>
            <w:tcW w:w="1417" w:type="dxa"/>
            <w:tcBorders>
              <w:bottom w:val="single" w:sz="4" w:space="0" w:color="auto"/>
            </w:tcBorders>
            <w:shd w:val="clear" w:color="auto" w:fill="auto"/>
          </w:tcPr>
          <w:p w14:paraId="77416346" w14:textId="77777777" w:rsidR="004E0D3F" w:rsidRPr="00177B6D" w:rsidRDefault="00A302D2" w:rsidP="00B73E71">
            <w:pPr>
              <w:pStyle w:val="ENoteTableText"/>
            </w:pPr>
            <w:r w:rsidRPr="00177B6D">
              <w:t>s</w:t>
            </w:r>
            <w:r w:rsidR="00CC4F01" w:rsidRPr="00177B6D">
              <w:t> </w:t>
            </w:r>
            <w:r w:rsidR="004E0D3F" w:rsidRPr="00177B6D">
              <w:t>4–14</w:t>
            </w:r>
          </w:p>
        </w:tc>
      </w:tr>
      <w:tr w:rsidR="004E0D3F" w:rsidRPr="00177B6D" w14:paraId="7720C874" w14:textId="77777777" w:rsidTr="00496B08">
        <w:trPr>
          <w:cantSplit/>
        </w:trPr>
        <w:tc>
          <w:tcPr>
            <w:tcW w:w="1838" w:type="dxa"/>
            <w:tcBorders>
              <w:top w:val="single" w:sz="4" w:space="0" w:color="auto"/>
              <w:bottom w:val="single" w:sz="4" w:space="0" w:color="auto"/>
            </w:tcBorders>
            <w:shd w:val="clear" w:color="auto" w:fill="auto"/>
          </w:tcPr>
          <w:p w14:paraId="33F9E490" w14:textId="77777777" w:rsidR="004E0D3F" w:rsidRPr="00177B6D" w:rsidRDefault="004E0D3F" w:rsidP="004E0D3F">
            <w:pPr>
              <w:pStyle w:val="ENoteTableText"/>
            </w:pPr>
            <w:r w:rsidRPr="00177B6D">
              <w:t>Employment, Workplace Relations and Small Business Legislation Amendment (Application of Criminal Code) Act 2001</w:t>
            </w:r>
          </w:p>
        </w:tc>
        <w:tc>
          <w:tcPr>
            <w:tcW w:w="992" w:type="dxa"/>
            <w:tcBorders>
              <w:top w:val="single" w:sz="4" w:space="0" w:color="auto"/>
              <w:bottom w:val="single" w:sz="4" w:space="0" w:color="auto"/>
            </w:tcBorders>
            <w:shd w:val="clear" w:color="auto" w:fill="auto"/>
          </w:tcPr>
          <w:p w14:paraId="14C23E7C" w14:textId="77777777" w:rsidR="004E0D3F" w:rsidRPr="00177B6D" w:rsidRDefault="004E0D3F" w:rsidP="004E0D3F">
            <w:pPr>
              <w:pStyle w:val="ENoteTableText"/>
            </w:pPr>
            <w:r w:rsidRPr="00177B6D">
              <w:t>142, 2001</w:t>
            </w:r>
          </w:p>
        </w:tc>
        <w:tc>
          <w:tcPr>
            <w:tcW w:w="993" w:type="dxa"/>
            <w:tcBorders>
              <w:top w:val="single" w:sz="4" w:space="0" w:color="auto"/>
              <w:bottom w:val="single" w:sz="4" w:space="0" w:color="auto"/>
            </w:tcBorders>
            <w:shd w:val="clear" w:color="auto" w:fill="auto"/>
          </w:tcPr>
          <w:p w14:paraId="7AE3CA2C" w14:textId="77777777" w:rsidR="004E0D3F" w:rsidRPr="00177B6D" w:rsidRDefault="004E0D3F" w:rsidP="004E0D3F">
            <w:pPr>
              <w:pStyle w:val="ENoteTableText"/>
            </w:pPr>
            <w:smartTag w:uri="urn:schemas-microsoft-com:office:smarttags" w:element="date">
              <w:smartTagPr>
                <w:attr w:name="Month" w:val="10"/>
                <w:attr w:name="Day" w:val="1"/>
                <w:attr w:name="Year" w:val="2001"/>
              </w:smartTagPr>
              <w:r w:rsidRPr="00177B6D">
                <w:t>1 Oct 2001</w:t>
              </w:r>
            </w:smartTag>
          </w:p>
        </w:tc>
        <w:tc>
          <w:tcPr>
            <w:tcW w:w="1845" w:type="dxa"/>
            <w:tcBorders>
              <w:top w:val="single" w:sz="4" w:space="0" w:color="auto"/>
              <w:bottom w:val="single" w:sz="4" w:space="0" w:color="auto"/>
            </w:tcBorders>
            <w:shd w:val="clear" w:color="auto" w:fill="auto"/>
          </w:tcPr>
          <w:p w14:paraId="0FD003DB" w14:textId="77777777" w:rsidR="004E0D3F" w:rsidRPr="00177B6D" w:rsidRDefault="00A302D2" w:rsidP="00CC4F01">
            <w:pPr>
              <w:pStyle w:val="ENoteTableText"/>
            </w:pPr>
            <w:r w:rsidRPr="00177B6D">
              <w:t>s</w:t>
            </w:r>
            <w:r w:rsidR="004E0D3F" w:rsidRPr="00177B6D">
              <w:t xml:space="preserve"> 4 and Sch</w:t>
            </w:r>
            <w:r w:rsidR="008E475A" w:rsidRPr="00177B6D">
              <w:t xml:space="preserve"> </w:t>
            </w:r>
            <w:r w:rsidR="004E0D3F" w:rsidRPr="00177B6D">
              <w:t>1 (items</w:t>
            </w:r>
            <w:r w:rsidR="00CC4F01" w:rsidRPr="00177B6D">
              <w:t> </w:t>
            </w:r>
            <w:r w:rsidR="004E0D3F" w:rsidRPr="00177B6D">
              <w:t>10–14): 2 Oct 2001</w:t>
            </w:r>
            <w:r w:rsidR="00CC4F01" w:rsidRPr="00177B6D">
              <w:t xml:space="preserve"> (s 2(1))</w:t>
            </w:r>
          </w:p>
        </w:tc>
        <w:tc>
          <w:tcPr>
            <w:tcW w:w="1417" w:type="dxa"/>
            <w:tcBorders>
              <w:top w:val="single" w:sz="4" w:space="0" w:color="auto"/>
              <w:bottom w:val="single" w:sz="4" w:space="0" w:color="auto"/>
            </w:tcBorders>
            <w:shd w:val="clear" w:color="auto" w:fill="auto"/>
          </w:tcPr>
          <w:p w14:paraId="3A30A46D" w14:textId="77777777" w:rsidR="004E0D3F" w:rsidRPr="00177B6D" w:rsidRDefault="00A302D2" w:rsidP="00F071ED">
            <w:pPr>
              <w:pStyle w:val="ENoteTableText"/>
            </w:pPr>
            <w:r w:rsidRPr="00177B6D">
              <w:t>s</w:t>
            </w:r>
            <w:r w:rsidR="004E0D3F" w:rsidRPr="00177B6D">
              <w:t xml:space="preserve"> 4</w:t>
            </w:r>
          </w:p>
        </w:tc>
      </w:tr>
      <w:tr w:rsidR="004E0D3F" w:rsidRPr="00177B6D" w14:paraId="73131FC5" w14:textId="77777777" w:rsidTr="00496B08">
        <w:trPr>
          <w:cantSplit/>
        </w:trPr>
        <w:tc>
          <w:tcPr>
            <w:tcW w:w="1838" w:type="dxa"/>
            <w:tcBorders>
              <w:bottom w:val="single" w:sz="4" w:space="0" w:color="auto"/>
            </w:tcBorders>
            <w:shd w:val="clear" w:color="auto" w:fill="auto"/>
          </w:tcPr>
          <w:p w14:paraId="3FB708B2" w14:textId="77777777" w:rsidR="004E0D3F" w:rsidRPr="00177B6D" w:rsidRDefault="004E0D3F" w:rsidP="004E0D3F">
            <w:pPr>
              <w:pStyle w:val="ENoteTableText"/>
            </w:pPr>
            <w:bookmarkStart w:id="69" w:name="CU_1854944"/>
            <w:bookmarkEnd w:id="69"/>
            <w:r w:rsidRPr="00177B6D">
              <w:t>Safety, Rehabilitation and Compensation and Other Legislation Amendment Act 2001</w:t>
            </w:r>
          </w:p>
        </w:tc>
        <w:tc>
          <w:tcPr>
            <w:tcW w:w="992" w:type="dxa"/>
            <w:tcBorders>
              <w:bottom w:val="single" w:sz="4" w:space="0" w:color="auto"/>
            </w:tcBorders>
            <w:shd w:val="clear" w:color="auto" w:fill="auto"/>
          </w:tcPr>
          <w:p w14:paraId="6BD5668F" w14:textId="77777777" w:rsidR="004E0D3F" w:rsidRPr="00177B6D" w:rsidRDefault="004E0D3F" w:rsidP="004E0D3F">
            <w:pPr>
              <w:pStyle w:val="ENoteTableText"/>
            </w:pPr>
            <w:r w:rsidRPr="00177B6D">
              <w:t>144, 2001</w:t>
            </w:r>
          </w:p>
        </w:tc>
        <w:tc>
          <w:tcPr>
            <w:tcW w:w="993" w:type="dxa"/>
            <w:tcBorders>
              <w:bottom w:val="single" w:sz="4" w:space="0" w:color="auto"/>
            </w:tcBorders>
            <w:shd w:val="clear" w:color="auto" w:fill="auto"/>
          </w:tcPr>
          <w:p w14:paraId="74CC6A3E" w14:textId="77777777" w:rsidR="004E0D3F" w:rsidRPr="00177B6D" w:rsidRDefault="004E0D3F" w:rsidP="004E0D3F">
            <w:pPr>
              <w:pStyle w:val="ENoteTableText"/>
            </w:pPr>
            <w:smartTag w:uri="urn:schemas-microsoft-com:office:smarttags" w:element="date">
              <w:smartTagPr>
                <w:attr w:name="Month" w:val="10"/>
                <w:attr w:name="Day" w:val="1"/>
                <w:attr w:name="Year" w:val="2001"/>
              </w:smartTagPr>
              <w:r w:rsidRPr="00177B6D">
                <w:t>1 Oct 2001</w:t>
              </w:r>
            </w:smartTag>
          </w:p>
        </w:tc>
        <w:tc>
          <w:tcPr>
            <w:tcW w:w="1845" w:type="dxa"/>
            <w:tcBorders>
              <w:bottom w:val="single" w:sz="4" w:space="0" w:color="auto"/>
            </w:tcBorders>
            <w:shd w:val="clear" w:color="auto" w:fill="auto"/>
          </w:tcPr>
          <w:p w14:paraId="6114B4BF" w14:textId="6488075A" w:rsidR="004E0D3F" w:rsidRPr="00177B6D" w:rsidRDefault="004E0D3F" w:rsidP="00CC4F01">
            <w:pPr>
              <w:pStyle w:val="ENoteTableText"/>
            </w:pPr>
            <w:r w:rsidRPr="00177B6D">
              <w:t>Sch</w:t>
            </w:r>
            <w:r w:rsidR="009163ED" w:rsidRPr="00177B6D">
              <w:t> </w:t>
            </w:r>
            <w:r w:rsidRPr="00177B6D">
              <w:t>3 (</w:t>
            </w:r>
            <w:r w:rsidR="004A520A">
              <w:t>item 1</w:t>
            </w:r>
            <w:r w:rsidRPr="00177B6D">
              <w:t xml:space="preserve">): </w:t>
            </w:r>
            <w:r w:rsidR="00CC4F01" w:rsidRPr="00177B6D">
              <w:t>1 Oct 2001 (s 2(1))</w:t>
            </w:r>
            <w:r w:rsidRPr="00177B6D">
              <w:br/>
              <w:t>Sch</w:t>
            </w:r>
            <w:r w:rsidR="009163ED" w:rsidRPr="00177B6D">
              <w:t> </w:t>
            </w:r>
            <w:r w:rsidRPr="00177B6D">
              <w:t>3 (item</w:t>
            </w:r>
            <w:r w:rsidR="00CC4F01" w:rsidRPr="00177B6D">
              <w:t> 2): 29 Oct 2001 (s 2(3))</w:t>
            </w:r>
          </w:p>
        </w:tc>
        <w:tc>
          <w:tcPr>
            <w:tcW w:w="1417" w:type="dxa"/>
            <w:tcBorders>
              <w:bottom w:val="single" w:sz="4" w:space="0" w:color="auto"/>
            </w:tcBorders>
            <w:shd w:val="clear" w:color="auto" w:fill="auto"/>
          </w:tcPr>
          <w:p w14:paraId="7266F6B3" w14:textId="77777777" w:rsidR="004E0D3F" w:rsidRPr="00177B6D" w:rsidRDefault="004E0D3F" w:rsidP="004E0D3F">
            <w:pPr>
              <w:pStyle w:val="ENoteTableText"/>
            </w:pPr>
            <w:r w:rsidRPr="00177B6D">
              <w:t>—</w:t>
            </w:r>
          </w:p>
        </w:tc>
      </w:tr>
      <w:tr w:rsidR="004E0D3F" w:rsidRPr="00177B6D" w14:paraId="29E44034" w14:textId="77777777" w:rsidTr="00496B08">
        <w:trPr>
          <w:cantSplit/>
        </w:trPr>
        <w:tc>
          <w:tcPr>
            <w:tcW w:w="1838" w:type="dxa"/>
            <w:tcBorders>
              <w:top w:val="single" w:sz="4" w:space="0" w:color="auto"/>
            </w:tcBorders>
            <w:shd w:val="clear" w:color="auto" w:fill="auto"/>
          </w:tcPr>
          <w:p w14:paraId="3FB6B463" w14:textId="77777777" w:rsidR="004E0D3F" w:rsidRPr="00177B6D" w:rsidRDefault="004E0D3F" w:rsidP="004E0D3F">
            <w:pPr>
              <w:pStyle w:val="ENoteTableText"/>
            </w:pPr>
            <w:r w:rsidRPr="00177B6D">
              <w:t>Abolition of Compulsory Age Retirement (Statutory Officeholders) Act 2001</w:t>
            </w:r>
          </w:p>
        </w:tc>
        <w:tc>
          <w:tcPr>
            <w:tcW w:w="992" w:type="dxa"/>
            <w:tcBorders>
              <w:top w:val="single" w:sz="4" w:space="0" w:color="auto"/>
            </w:tcBorders>
            <w:shd w:val="clear" w:color="auto" w:fill="auto"/>
          </w:tcPr>
          <w:p w14:paraId="5F33227D" w14:textId="77777777" w:rsidR="004E0D3F" w:rsidRPr="00177B6D" w:rsidRDefault="004E0D3F" w:rsidP="004E0D3F">
            <w:pPr>
              <w:pStyle w:val="ENoteTableText"/>
            </w:pPr>
            <w:r w:rsidRPr="00177B6D">
              <w:t>159, 2001</w:t>
            </w:r>
          </w:p>
        </w:tc>
        <w:tc>
          <w:tcPr>
            <w:tcW w:w="993" w:type="dxa"/>
            <w:tcBorders>
              <w:top w:val="single" w:sz="4" w:space="0" w:color="auto"/>
            </w:tcBorders>
            <w:shd w:val="clear" w:color="auto" w:fill="auto"/>
          </w:tcPr>
          <w:p w14:paraId="47BEFE29" w14:textId="77777777" w:rsidR="004E0D3F" w:rsidRPr="00177B6D" w:rsidRDefault="004E0D3F" w:rsidP="004E0D3F">
            <w:pPr>
              <w:pStyle w:val="ENoteTableText"/>
            </w:pPr>
            <w:smartTag w:uri="urn:schemas-microsoft-com:office:smarttags" w:element="date">
              <w:smartTagPr>
                <w:attr w:name="Month" w:val="10"/>
                <w:attr w:name="Day" w:val="1"/>
                <w:attr w:name="Year" w:val="2001"/>
              </w:smartTagPr>
              <w:r w:rsidRPr="00177B6D">
                <w:t>1 Oct 2001</w:t>
              </w:r>
            </w:smartTag>
          </w:p>
        </w:tc>
        <w:tc>
          <w:tcPr>
            <w:tcW w:w="1845" w:type="dxa"/>
            <w:tcBorders>
              <w:top w:val="single" w:sz="4" w:space="0" w:color="auto"/>
            </w:tcBorders>
            <w:shd w:val="clear" w:color="auto" w:fill="auto"/>
          </w:tcPr>
          <w:p w14:paraId="05294231" w14:textId="77777777" w:rsidR="004E0D3F" w:rsidRPr="00177B6D" w:rsidRDefault="004E0D3F" w:rsidP="004E0D3F">
            <w:pPr>
              <w:pStyle w:val="ENoteTableText"/>
            </w:pPr>
            <w:smartTag w:uri="urn:schemas-microsoft-com:office:smarttags" w:element="date">
              <w:smartTagPr>
                <w:attr w:name="Month" w:val="10"/>
                <w:attr w:name="Day" w:val="29"/>
                <w:attr w:name="Year" w:val="2001"/>
              </w:smartTagPr>
              <w:r w:rsidRPr="00177B6D">
                <w:t>29 Oct 2001</w:t>
              </w:r>
            </w:smartTag>
          </w:p>
        </w:tc>
        <w:tc>
          <w:tcPr>
            <w:tcW w:w="1417" w:type="dxa"/>
            <w:tcBorders>
              <w:top w:val="single" w:sz="4" w:space="0" w:color="auto"/>
            </w:tcBorders>
            <w:shd w:val="clear" w:color="auto" w:fill="auto"/>
          </w:tcPr>
          <w:p w14:paraId="1ADCF65E" w14:textId="77777777" w:rsidR="004E0D3F" w:rsidRPr="00177B6D" w:rsidRDefault="00A302D2" w:rsidP="00F071ED">
            <w:pPr>
              <w:pStyle w:val="ENoteTableText"/>
            </w:pPr>
            <w:r w:rsidRPr="00177B6D">
              <w:t>Sch</w:t>
            </w:r>
            <w:r w:rsidR="004E0D3F" w:rsidRPr="00177B6D">
              <w:t xml:space="preserve"> 1 (item</w:t>
            </w:r>
            <w:r w:rsidR="00CC4F01" w:rsidRPr="00177B6D">
              <w:t> </w:t>
            </w:r>
            <w:r w:rsidR="004E0D3F" w:rsidRPr="00177B6D">
              <w:t>97)</w:t>
            </w:r>
          </w:p>
        </w:tc>
      </w:tr>
      <w:tr w:rsidR="004E0D3F" w:rsidRPr="00177B6D" w14:paraId="6C031988" w14:textId="77777777" w:rsidTr="004E0D3F">
        <w:trPr>
          <w:cantSplit/>
        </w:trPr>
        <w:tc>
          <w:tcPr>
            <w:tcW w:w="1838" w:type="dxa"/>
            <w:shd w:val="clear" w:color="auto" w:fill="auto"/>
          </w:tcPr>
          <w:p w14:paraId="347FCC61" w14:textId="77777777" w:rsidR="004E0D3F" w:rsidRPr="00177B6D" w:rsidRDefault="004E0D3F" w:rsidP="004E0D3F">
            <w:pPr>
              <w:pStyle w:val="ENoteTableText"/>
            </w:pPr>
            <w:r w:rsidRPr="00177B6D">
              <w:lastRenderedPageBreak/>
              <w:t>Workplace Relations Legislation Amendment (Registration and Accountability of Organisations) (Consequential Provisions) Act 2002</w:t>
            </w:r>
          </w:p>
        </w:tc>
        <w:tc>
          <w:tcPr>
            <w:tcW w:w="992" w:type="dxa"/>
            <w:shd w:val="clear" w:color="auto" w:fill="auto"/>
          </w:tcPr>
          <w:p w14:paraId="25D075A3" w14:textId="77777777" w:rsidR="004E0D3F" w:rsidRPr="00177B6D" w:rsidRDefault="004E0D3F" w:rsidP="004E0D3F">
            <w:pPr>
              <w:pStyle w:val="ENoteTableText"/>
            </w:pPr>
            <w:r w:rsidRPr="00177B6D">
              <w:t>105, 2002</w:t>
            </w:r>
          </w:p>
        </w:tc>
        <w:tc>
          <w:tcPr>
            <w:tcW w:w="993" w:type="dxa"/>
            <w:shd w:val="clear" w:color="auto" w:fill="auto"/>
          </w:tcPr>
          <w:p w14:paraId="493DC43B" w14:textId="77777777" w:rsidR="004E0D3F" w:rsidRPr="00177B6D" w:rsidRDefault="004E0D3F" w:rsidP="004E0D3F">
            <w:pPr>
              <w:pStyle w:val="ENoteTableText"/>
            </w:pPr>
            <w:smartTag w:uri="urn:schemas-microsoft-com:office:smarttags" w:element="date">
              <w:smartTagPr>
                <w:attr w:name="Month" w:val="11"/>
                <w:attr w:name="Day" w:val="14"/>
                <w:attr w:name="Year" w:val="2002"/>
              </w:smartTagPr>
              <w:r w:rsidRPr="00177B6D">
                <w:t>14 Nov 2002</w:t>
              </w:r>
            </w:smartTag>
          </w:p>
        </w:tc>
        <w:tc>
          <w:tcPr>
            <w:tcW w:w="1845" w:type="dxa"/>
            <w:shd w:val="clear" w:color="auto" w:fill="auto"/>
          </w:tcPr>
          <w:p w14:paraId="619DF95A" w14:textId="77777777" w:rsidR="004E0D3F" w:rsidRPr="00177B6D" w:rsidRDefault="004E0D3F" w:rsidP="008E475A">
            <w:pPr>
              <w:pStyle w:val="ENoteTableText"/>
            </w:pPr>
            <w:r w:rsidRPr="00177B6D">
              <w:t>Sch</w:t>
            </w:r>
            <w:r w:rsidR="009163ED" w:rsidRPr="00177B6D">
              <w:t> </w:t>
            </w:r>
            <w:r w:rsidRPr="00177B6D">
              <w:t>3 (item</w:t>
            </w:r>
            <w:r w:rsidR="00CC4F01" w:rsidRPr="00177B6D">
              <w:t> </w:t>
            </w:r>
            <w:r w:rsidRPr="00177B6D">
              <w:t>47): 12</w:t>
            </w:r>
            <w:r w:rsidR="00CC4F01" w:rsidRPr="00177B6D">
              <w:t> </w:t>
            </w:r>
            <w:r w:rsidRPr="00177B6D">
              <w:t>May 2003 (</w:t>
            </w:r>
            <w:r w:rsidR="008E475A" w:rsidRPr="00177B6D">
              <w:t>s</w:t>
            </w:r>
            <w:r w:rsidRPr="00177B6D">
              <w:t xml:space="preserve"> 2 and </w:t>
            </w:r>
            <w:r w:rsidR="008E475A" w:rsidRPr="00177B6D">
              <w:t xml:space="preserve">gaz </w:t>
            </w:r>
            <w:r w:rsidRPr="00177B6D">
              <w:t>2002, No GN49)</w:t>
            </w:r>
          </w:p>
        </w:tc>
        <w:tc>
          <w:tcPr>
            <w:tcW w:w="1417" w:type="dxa"/>
            <w:shd w:val="clear" w:color="auto" w:fill="auto"/>
          </w:tcPr>
          <w:p w14:paraId="0473DD72" w14:textId="77777777" w:rsidR="004E0D3F" w:rsidRPr="00177B6D" w:rsidRDefault="004E0D3F" w:rsidP="004E0D3F">
            <w:pPr>
              <w:pStyle w:val="ENoteTableText"/>
            </w:pPr>
            <w:r w:rsidRPr="00177B6D">
              <w:t>—</w:t>
            </w:r>
          </w:p>
        </w:tc>
      </w:tr>
      <w:tr w:rsidR="004E0D3F" w:rsidRPr="00177B6D" w14:paraId="3C619744" w14:textId="77777777" w:rsidTr="004E0D3F">
        <w:trPr>
          <w:cantSplit/>
        </w:trPr>
        <w:tc>
          <w:tcPr>
            <w:tcW w:w="1838" w:type="dxa"/>
            <w:shd w:val="clear" w:color="auto" w:fill="auto"/>
          </w:tcPr>
          <w:p w14:paraId="4DF75C4F" w14:textId="77777777" w:rsidR="004E0D3F" w:rsidRPr="00177B6D" w:rsidRDefault="004E0D3F" w:rsidP="004E0D3F">
            <w:pPr>
              <w:pStyle w:val="ENoteTableText"/>
            </w:pPr>
            <w:r w:rsidRPr="00177B6D">
              <w:t>Workplace Relations Legislation Amendment Act 2002</w:t>
            </w:r>
          </w:p>
        </w:tc>
        <w:tc>
          <w:tcPr>
            <w:tcW w:w="992" w:type="dxa"/>
            <w:shd w:val="clear" w:color="auto" w:fill="auto"/>
          </w:tcPr>
          <w:p w14:paraId="259D1DBD" w14:textId="77777777" w:rsidR="004E0D3F" w:rsidRPr="00177B6D" w:rsidRDefault="004E0D3F" w:rsidP="004E0D3F">
            <w:pPr>
              <w:pStyle w:val="ENoteTableText"/>
            </w:pPr>
            <w:r w:rsidRPr="00177B6D">
              <w:t>127, 2002</w:t>
            </w:r>
          </w:p>
        </w:tc>
        <w:tc>
          <w:tcPr>
            <w:tcW w:w="993" w:type="dxa"/>
            <w:shd w:val="clear" w:color="auto" w:fill="auto"/>
          </w:tcPr>
          <w:p w14:paraId="178AA9BD" w14:textId="77777777" w:rsidR="004E0D3F" w:rsidRPr="00177B6D" w:rsidRDefault="004E0D3F" w:rsidP="004E0D3F">
            <w:pPr>
              <w:pStyle w:val="ENoteTableText"/>
            </w:pPr>
            <w:smartTag w:uri="urn:schemas-microsoft-com:office:smarttags" w:element="date">
              <w:smartTagPr>
                <w:attr w:name="Month" w:val="12"/>
                <w:attr w:name="Day" w:val="11"/>
                <w:attr w:name="Year" w:val="2002"/>
              </w:smartTagPr>
              <w:r w:rsidRPr="00177B6D">
                <w:t>11 Dec 2002</w:t>
              </w:r>
            </w:smartTag>
          </w:p>
        </w:tc>
        <w:tc>
          <w:tcPr>
            <w:tcW w:w="1845" w:type="dxa"/>
            <w:shd w:val="clear" w:color="auto" w:fill="auto"/>
          </w:tcPr>
          <w:p w14:paraId="3D9E757A" w14:textId="735D8032" w:rsidR="004E0D3F" w:rsidRPr="00177B6D" w:rsidRDefault="004E0D3F" w:rsidP="008E475A">
            <w:pPr>
              <w:pStyle w:val="ENoteTableText"/>
            </w:pPr>
            <w:r w:rsidRPr="00177B6D">
              <w:t>Sch</w:t>
            </w:r>
            <w:r w:rsidR="009163ED" w:rsidRPr="00177B6D">
              <w:t> </w:t>
            </w:r>
            <w:r w:rsidRPr="00177B6D">
              <w:t>3 (</w:t>
            </w:r>
            <w:r w:rsidR="004A520A">
              <w:t>item 1</w:t>
            </w:r>
            <w:r w:rsidRPr="00177B6D">
              <w:t>9): Royal Assent</w:t>
            </w:r>
          </w:p>
        </w:tc>
        <w:tc>
          <w:tcPr>
            <w:tcW w:w="1417" w:type="dxa"/>
            <w:shd w:val="clear" w:color="auto" w:fill="auto"/>
          </w:tcPr>
          <w:p w14:paraId="030D9D8B" w14:textId="77777777" w:rsidR="004E0D3F" w:rsidRPr="00177B6D" w:rsidRDefault="004E0D3F" w:rsidP="004E0D3F">
            <w:pPr>
              <w:pStyle w:val="ENoteTableText"/>
            </w:pPr>
            <w:r w:rsidRPr="00177B6D">
              <w:t>—</w:t>
            </w:r>
          </w:p>
        </w:tc>
      </w:tr>
      <w:tr w:rsidR="004E0D3F" w:rsidRPr="00177B6D" w14:paraId="587C1D94" w14:textId="77777777" w:rsidTr="001D24E8">
        <w:trPr>
          <w:cantSplit/>
        </w:trPr>
        <w:tc>
          <w:tcPr>
            <w:tcW w:w="1838" w:type="dxa"/>
            <w:tcBorders>
              <w:bottom w:val="single" w:sz="4" w:space="0" w:color="auto"/>
            </w:tcBorders>
            <w:shd w:val="clear" w:color="auto" w:fill="auto"/>
          </w:tcPr>
          <w:p w14:paraId="06F4E746" w14:textId="77777777" w:rsidR="004E0D3F" w:rsidRPr="00177B6D" w:rsidRDefault="004E0D3F" w:rsidP="004E0D3F">
            <w:pPr>
              <w:pStyle w:val="ENoteTableText"/>
            </w:pPr>
            <w:r w:rsidRPr="00177B6D">
              <w:t>Higher Education Support (Transitional Provisions and Consequential Amendments) Act 2003</w:t>
            </w:r>
          </w:p>
        </w:tc>
        <w:tc>
          <w:tcPr>
            <w:tcW w:w="992" w:type="dxa"/>
            <w:tcBorders>
              <w:bottom w:val="single" w:sz="4" w:space="0" w:color="auto"/>
            </w:tcBorders>
            <w:shd w:val="clear" w:color="auto" w:fill="auto"/>
          </w:tcPr>
          <w:p w14:paraId="7C590B31" w14:textId="77777777" w:rsidR="004E0D3F" w:rsidRPr="00177B6D" w:rsidRDefault="004E0D3F" w:rsidP="004E0D3F">
            <w:pPr>
              <w:pStyle w:val="ENoteTableText"/>
            </w:pPr>
            <w:r w:rsidRPr="00177B6D">
              <w:t>150, 2003</w:t>
            </w:r>
          </w:p>
        </w:tc>
        <w:tc>
          <w:tcPr>
            <w:tcW w:w="993" w:type="dxa"/>
            <w:tcBorders>
              <w:bottom w:val="single" w:sz="4" w:space="0" w:color="auto"/>
            </w:tcBorders>
            <w:shd w:val="clear" w:color="auto" w:fill="auto"/>
          </w:tcPr>
          <w:p w14:paraId="7F0F61CA" w14:textId="77777777" w:rsidR="004E0D3F" w:rsidRPr="00177B6D" w:rsidRDefault="004E0D3F" w:rsidP="004E0D3F">
            <w:pPr>
              <w:pStyle w:val="ENoteTableText"/>
            </w:pPr>
            <w:smartTag w:uri="urn:schemas-microsoft-com:office:smarttags" w:element="date">
              <w:smartTagPr>
                <w:attr w:name="Month" w:val="12"/>
                <w:attr w:name="Day" w:val="19"/>
                <w:attr w:name="Year" w:val="2003"/>
              </w:smartTagPr>
              <w:r w:rsidRPr="00177B6D">
                <w:t>19 Dec 2003</w:t>
              </w:r>
            </w:smartTag>
          </w:p>
        </w:tc>
        <w:tc>
          <w:tcPr>
            <w:tcW w:w="1845" w:type="dxa"/>
            <w:tcBorders>
              <w:bottom w:val="single" w:sz="4" w:space="0" w:color="auto"/>
            </w:tcBorders>
            <w:shd w:val="clear" w:color="auto" w:fill="auto"/>
          </w:tcPr>
          <w:p w14:paraId="0C27807E" w14:textId="155B8E3B" w:rsidR="004E0D3F" w:rsidRPr="00177B6D" w:rsidRDefault="004E0D3F" w:rsidP="008E475A">
            <w:pPr>
              <w:pStyle w:val="ENoteTableText"/>
            </w:pPr>
            <w:r w:rsidRPr="00177B6D">
              <w:t>Sch</w:t>
            </w:r>
            <w:r w:rsidR="009163ED" w:rsidRPr="00177B6D">
              <w:t> </w:t>
            </w:r>
            <w:r w:rsidRPr="00177B6D">
              <w:t>2 (</w:t>
            </w:r>
            <w:r w:rsidR="004A520A">
              <w:t>item 1</w:t>
            </w:r>
            <w:r w:rsidRPr="00177B6D">
              <w:t xml:space="preserve">02): </w:t>
            </w:r>
            <w:r w:rsidR="008E475A" w:rsidRPr="00177B6D">
              <w:t>1 Jan 2004 (s 2(1) item</w:t>
            </w:r>
            <w:r w:rsidR="00CC4F01" w:rsidRPr="00177B6D">
              <w:t> </w:t>
            </w:r>
            <w:r w:rsidR="008E475A" w:rsidRPr="00177B6D">
              <w:t>8)</w:t>
            </w:r>
          </w:p>
        </w:tc>
        <w:tc>
          <w:tcPr>
            <w:tcW w:w="1417" w:type="dxa"/>
            <w:tcBorders>
              <w:bottom w:val="single" w:sz="4" w:space="0" w:color="auto"/>
            </w:tcBorders>
            <w:shd w:val="clear" w:color="auto" w:fill="auto"/>
          </w:tcPr>
          <w:p w14:paraId="627909DC" w14:textId="77777777" w:rsidR="004E0D3F" w:rsidRPr="00177B6D" w:rsidRDefault="004E0D3F" w:rsidP="004E0D3F">
            <w:pPr>
              <w:pStyle w:val="ENoteTableText"/>
            </w:pPr>
            <w:r w:rsidRPr="00177B6D">
              <w:t>—</w:t>
            </w:r>
          </w:p>
        </w:tc>
      </w:tr>
      <w:tr w:rsidR="004E0D3F" w:rsidRPr="00177B6D" w14:paraId="1A1EFF59" w14:textId="77777777" w:rsidTr="001D24E8">
        <w:trPr>
          <w:cantSplit/>
        </w:trPr>
        <w:tc>
          <w:tcPr>
            <w:tcW w:w="1838" w:type="dxa"/>
            <w:tcBorders>
              <w:bottom w:val="single" w:sz="4" w:space="0" w:color="auto"/>
            </w:tcBorders>
            <w:shd w:val="clear" w:color="auto" w:fill="auto"/>
          </w:tcPr>
          <w:p w14:paraId="2C879CBF" w14:textId="77777777" w:rsidR="004E0D3F" w:rsidRPr="00177B6D" w:rsidRDefault="004E0D3F" w:rsidP="004E0D3F">
            <w:pPr>
              <w:pStyle w:val="ENoteTableText"/>
            </w:pPr>
            <w:bookmarkStart w:id="70" w:name="CU_2352263"/>
            <w:bookmarkEnd w:id="70"/>
            <w:r w:rsidRPr="00177B6D">
              <w:t>Fair Work (State Referral and Consequential and Other Amendments) Act 2009</w:t>
            </w:r>
          </w:p>
        </w:tc>
        <w:tc>
          <w:tcPr>
            <w:tcW w:w="992" w:type="dxa"/>
            <w:tcBorders>
              <w:bottom w:val="single" w:sz="4" w:space="0" w:color="auto"/>
            </w:tcBorders>
            <w:shd w:val="clear" w:color="auto" w:fill="auto"/>
          </w:tcPr>
          <w:p w14:paraId="69950707" w14:textId="77777777" w:rsidR="004E0D3F" w:rsidRPr="00177B6D" w:rsidRDefault="004E0D3F" w:rsidP="004E0D3F">
            <w:pPr>
              <w:pStyle w:val="ENoteTableText"/>
            </w:pPr>
            <w:r w:rsidRPr="00177B6D">
              <w:t>54, 2009</w:t>
            </w:r>
          </w:p>
        </w:tc>
        <w:tc>
          <w:tcPr>
            <w:tcW w:w="993" w:type="dxa"/>
            <w:tcBorders>
              <w:bottom w:val="single" w:sz="4" w:space="0" w:color="auto"/>
            </w:tcBorders>
            <w:shd w:val="clear" w:color="auto" w:fill="auto"/>
          </w:tcPr>
          <w:p w14:paraId="153B87DD" w14:textId="77777777" w:rsidR="004E0D3F" w:rsidRPr="00177B6D" w:rsidRDefault="004E0D3F" w:rsidP="004E0D3F">
            <w:pPr>
              <w:pStyle w:val="ENoteTableText"/>
            </w:pPr>
            <w:r w:rsidRPr="00177B6D">
              <w:t>25</w:t>
            </w:r>
            <w:r w:rsidR="00CC4F01" w:rsidRPr="00177B6D">
              <w:t> </w:t>
            </w:r>
            <w:r w:rsidRPr="00177B6D">
              <w:t>June 2009</w:t>
            </w:r>
          </w:p>
        </w:tc>
        <w:tc>
          <w:tcPr>
            <w:tcW w:w="1845" w:type="dxa"/>
            <w:tcBorders>
              <w:bottom w:val="single" w:sz="4" w:space="0" w:color="auto"/>
            </w:tcBorders>
            <w:shd w:val="clear" w:color="auto" w:fill="auto"/>
          </w:tcPr>
          <w:p w14:paraId="27D7E77A" w14:textId="735CBAA2" w:rsidR="004E0D3F" w:rsidRPr="00177B6D" w:rsidRDefault="004E0D3F" w:rsidP="008E475A">
            <w:pPr>
              <w:pStyle w:val="ENoteTableText"/>
              <w:rPr>
                <w:i/>
              </w:rPr>
            </w:pPr>
            <w:r w:rsidRPr="00177B6D">
              <w:t>Sch</w:t>
            </w:r>
            <w:r w:rsidR="009163ED" w:rsidRPr="00177B6D">
              <w:t> </w:t>
            </w:r>
            <w:r w:rsidRPr="00177B6D">
              <w:t>9 (</w:t>
            </w:r>
            <w:r w:rsidR="004A520A">
              <w:t>item 1</w:t>
            </w:r>
            <w:r w:rsidRPr="00177B6D">
              <w:t xml:space="preserve">): </w:t>
            </w:r>
            <w:r w:rsidR="008E475A" w:rsidRPr="00177B6D">
              <w:t>1</w:t>
            </w:r>
            <w:r w:rsidR="00CC4F01" w:rsidRPr="00177B6D">
              <w:t> </w:t>
            </w:r>
            <w:r w:rsidR="008E475A" w:rsidRPr="00177B6D">
              <w:t>July 2009 (s 2(1) item</w:t>
            </w:r>
            <w:r w:rsidR="00CC4F01" w:rsidRPr="00177B6D">
              <w:t> </w:t>
            </w:r>
            <w:r w:rsidR="008E475A" w:rsidRPr="00177B6D">
              <w:t>31)</w:t>
            </w:r>
          </w:p>
        </w:tc>
        <w:tc>
          <w:tcPr>
            <w:tcW w:w="1417" w:type="dxa"/>
            <w:tcBorders>
              <w:bottom w:val="single" w:sz="4" w:space="0" w:color="auto"/>
            </w:tcBorders>
            <w:shd w:val="clear" w:color="auto" w:fill="auto"/>
          </w:tcPr>
          <w:p w14:paraId="20D80405" w14:textId="77777777" w:rsidR="004E0D3F" w:rsidRPr="00177B6D" w:rsidRDefault="004E0D3F" w:rsidP="004E0D3F">
            <w:pPr>
              <w:pStyle w:val="ENoteTableText"/>
            </w:pPr>
            <w:r w:rsidRPr="00177B6D">
              <w:t>—</w:t>
            </w:r>
          </w:p>
        </w:tc>
      </w:tr>
      <w:tr w:rsidR="004E0D3F" w:rsidRPr="00177B6D" w14:paraId="0606EA0C" w14:textId="77777777" w:rsidTr="00496B08">
        <w:trPr>
          <w:cantSplit/>
        </w:trPr>
        <w:tc>
          <w:tcPr>
            <w:tcW w:w="1838" w:type="dxa"/>
            <w:tcBorders>
              <w:top w:val="single" w:sz="4" w:space="0" w:color="auto"/>
              <w:bottom w:val="single" w:sz="4" w:space="0" w:color="auto"/>
            </w:tcBorders>
            <w:shd w:val="clear" w:color="auto" w:fill="auto"/>
          </w:tcPr>
          <w:p w14:paraId="3236B068" w14:textId="77777777" w:rsidR="004E0D3F" w:rsidRPr="00177B6D" w:rsidRDefault="004E0D3F" w:rsidP="004E0D3F">
            <w:pPr>
              <w:pStyle w:val="ENoteTableText"/>
            </w:pPr>
            <w:r w:rsidRPr="00177B6D">
              <w:t>Sex and Age Discrimination Legislation Amendment Act 2011</w:t>
            </w:r>
          </w:p>
        </w:tc>
        <w:tc>
          <w:tcPr>
            <w:tcW w:w="992" w:type="dxa"/>
            <w:tcBorders>
              <w:top w:val="single" w:sz="4" w:space="0" w:color="auto"/>
              <w:bottom w:val="single" w:sz="4" w:space="0" w:color="auto"/>
            </w:tcBorders>
            <w:shd w:val="clear" w:color="auto" w:fill="auto"/>
          </w:tcPr>
          <w:p w14:paraId="771A4CA9" w14:textId="77777777" w:rsidR="004E0D3F" w:rsidRPr="00177B6D" w:rsidRDefault="004E0D3F" w:rsidP="004E0D3F">
            <w:pPr>
              <w:pStyle w:val="ENoteTableText"/>
            </w:pPr>
            <w:r w:rsidRPr="00177B6D">
              <w:t>40, 2011</w:t>
            </w:r>
          </w:p>
        </w:tc>
        <w:tc>
          <w:tcPr>
            <w:tcW w:w="993" w:type="dxa"/>
            <w:tcBorders>
              <w:top w:val="single" w:sz="4" w:space="0" w:color="auto"/>
              <w:bottom w:val="single" w:sz="4" w:space="0" w:color="auto"/>
            </w:tcBorders>
            <w:shd w:val="clear" w:color="auto" w:fill="auto"/>
          </w:tcPr>
          <w:p w14:paraId="46FBE927" w14:textId="77777777" w:rsidR="004E0D3F" w:rsidRPr="00177B6D" w:rsidRDefault="004E0D3F" w:rsidP="004E0D3F">
            <w:pPr>
              <w:pStyle w:val="ENoteTableText"/>
            </w:pPr>
            <w:r w:rsidRPr="00177B6D">
              <w:t>20</w:t>
            </w:r>
            <w:r w:rsidR="00CC4F01" w:rsidRPr="00177B6D">
              <w:t> </w:t>
            </w:r>
            <w:r w:rsidRPr="00177B6D">
              <w:t>June 2011</w:t>
            </w:r>
          </w:p>
        </w:tc>
        <w:tc>
          <w:tcPr>
            <w:tcW w:w="1845" w:type="dxa"/>
            <w:tcBorders>
              <w:top w:val="single" w:sz="4" w:space="0" w:color="auto"/>
              <w:bottom w:val="single" w:sz="4" w:space="0" w:color="auto"/>
            </w:tcBorders>
            <w:shd w:val="clear" w:color="auto" w:fill="auto"/>
          </w:tcPr>
          <w:p w14:paraId="492C5D73" w14:textId="77777777" w:rsidR="004E0D3F" w:rsidRPr="00177B6D" w:rsidRDefault="004E0D3F" w:rsidP="008E475A">
            <w:pPr>
              <w:pStyle w:val="ENoteTableText"/>
            </w:pPr>
            <w:r w:rsidRPr="00177B6D">
              <w:t>Sch</w:t>
            </w:r>
            <w:r w:rsidR="009163ED" w:rsidRPr="00177B6D">
              <w:t> </w:t>
            </w:r>
            <w:r w:rsidRPr="00177B6D">
              <w:t>1 (item</w:t>
            </w:r>
            <w:r w:rsidR="00CC4F01" w:rsidRPr="00177B6D">
              <w:t> </w:t>
            </w:r>
            <w:r w:rsidRPr="00177B6D">
              <w:t>70): 21</w:t>
            </w:r>
            <w:r w:rsidR="00CC4F01" w:rsidRPr="00177B6D">
              <w:t> </w:t>
            </w:r>
            <w:r w:rsidRPr="00177B6D">
              <w:t>June 2011</w:t>
            </w:r>
          </w:p>
        </w:tc>
        <w:tc>
          <w:tcPr>
            <w:tcW w:w="1417" w:type="dxa"/>
            <w:tcBorders>
              <w:top w:val="single" w:sz="4" w:space="0" w:color="auto"/>
              <w:bottom w:val="single" w:sz="4" w:space="0" w:color="auto"/>
            </w:tcBorders>
            <w:shd w:val="clear" w:color="auto" w:fill="auto"/>
          </w:tcPr>
          <w:p w14:paraId="4609EE47" w14:textId="77777777" w:rsidR="004E0D3F" w:rsidRPr="00177B6D" w:rsidRDefault="004E0D3F" w:rsidP="004E0D3F">
            <w:pPr>
              <w:pStyle w:val="ENoteTableText"/>
            </w:pPr>
            <w:r w:rsidRPr="00177B6D">
              <w:t>—</w:t>
            </w:r>
          </w:p>
        </w:tc>
      </w:tr>
      <w:tr w:rsidR="004E0D3F" w:rsidRPr="00177B6D" w14:paraId="093E5F73" w14:textId="77777777" w:rsidTr="00DC283C">
        <w:trPr>
          <w:cantSplit/>
        </w:trPr>
        <w:tc>
          <w:tcPr>
            <w:tcW w:w="1838" w:type="dxa"/>
            <w:tcBorders>
              <w:bottom w:val="single" w:sz="4" w:space="0" w:color="auto"/>
            </w:tcBorders>
            <w:shd w:val="clear" w:color="auto" w:fill="auto"/>
          </w:tcPr>
          <w:p w14:paraId="524D7014" w14:textId="77777777" w:rsidR="004E0D3F" w:rsidRPr="00177B6D" w:rsidRDefault="004E0D3F" w:rsidP="004E0D3F">
            <w:pPr>
              <w:pStyle w:val="ENoteTableText"/>
            </w:pPr>
            <w:bookmarkStart w:id="71" w:name="CU_2555970"/>
            <w:bookmarkEnd w:id="71"/>
            <w:r w:rsidRPr="00177B6D">
              <w:t>Equal Opportunity for Women in the Workplace Amendment Act 2012</w:t>
            </w:r>
          </w:p>
        </w:tc>
        <w:tc>
          <w:tcPr>
            <w:tcW w:w="992" w:type="dxa"/>
            <w:tcBorders>
              <w:bottom w:val="single" w:sz="4" w:space="0" w:color="auto"/>
            </w:tcBorders>
            <w:shd w:val="clear" w:color="auto" w:fill="auto"/>
          </w:tcPr>
          <w:p w14:paraId="7FD17F10" w14:textId="77777777" w:rsidR="004E0D3F" w:rsidRPr="00177B6D" w:rsidRDefault="004E0D3F" w:rsidP="004E0D3F">
            <w:pPr>
              <w:pStyle w:val="ENoteTableText"/>
            </w:pPr>
            <w:r w:rsidRPr="00177B6D">
              <w:t>179, 2012</w:t>
            </w:r>
          </w:p>
        </w:tc>
        <w:tc>
          <w:tcPr>
            <w:tcW w:w="993" w:type="dxa"/>
            <w:tcBorders>
              <w:bottom w:val="single" w:sz="4" w:space="0" w:color="auto"/>
            </w:tcBorders>
            <w:shd w:val="clear" w:color="auto" w:fill="auto"/>
          </w:tcPr>
          <w:p w14:paraId="230473D0" w14:textId="77777777" w:rsidR="004E0D3F" w:rsidRPr="00177B6D" w:rsidRDefault="004E0D3F" w:rsidP="004E0D3F">
            <w:pPr>
              <w:pStyle w:val="ENoteTableText"/>
            </w:pPr>
            <w:r w:rsidRPr="00177B6D">
              <w:t>6 Dec 2012</w:t>
            </w:r>
          </w:p>
        </w:tc>
        <w:tc>
          <w:tcPr>
            <w:tcW w:w="1845" w:type="dxa"/>
            <w:tcBorders>
              <w:bottom w:val="single" w:sz="4" w:space="0" w:color="auto"/>
            </w:tcBorders>
            <w:shd w:val="clear" w:color="auto" w:fill="auto"/>
          </w:tcPr>
          <w:p w14:paraId="7CDBB4B9" w14:textId="77777777" w:rsidR="004E0D3F" w:rsidRPr="00177B6D" w:rsidRDefault="004E0D3F" w:rsidP="008E475A">
            <w:pPr>
              <w:pStyle w:val="ENoteTableText"/>
            </w:pPr>
            <w:r w:rsidRPr="00177B6D">
              <w:t>Sch</w:t>
            </w:r>
            <w:r w:rsidR="009163ED" w:rsidRPr="00177B6D">
              <w:t> </w:t>
            </w:r>
            <w:r w:rsidRPr="00177B6D">
              <w:t>1 (items</w:t>
            </w:r>
            <w:r w:rsidR="00CC4F01" w:rsidRPr="00177B6D">
              <w:t> </w:t>
            </w:r>
            <w:r w:rsidRPr="00177B6D">
              <w:t>1–73, 75–79): Royal Assent</w:t>
            </w:r>
          </w:p>
        </w:tc>
        <w:tc>
          <w:tcPr>
            <w:tcW w:w="1417" w:type="dxa"/>
            <w:tcBorders>
              <w:bottom w:val="single" w:sz="4" w:space="0" w:color="auto"/>
            </w:tcBorders>
            <w:shd w:val="clear" w:color="auto" w:fill="auto"/>
          </w:tcPr>
          <w:p w14:paraId="13B105F6" w14:textId="77777777" w:rsidR="004E0D3F" w:rsidRPr="00177B6D" w:rsidRDefault="00A302D2" w:rsidP="00F071ED">
            <w:pPr>
              <w:pStyle w:val="ENoteTableText"/>
            </w:pPr>
            <w:r w:rsidRPr="00177B6D">
              <w:t>Sch</w:t>
            </w:r>
            <w:r w:rsidR="004E0D3F" w:rsidRPr="00177B6D">
              <w:t xml:space="preserve"> 1 (items</w:t>
            </w:r>
            <w:r w:rsidR="00CC4F01" w:rsidRPr="00177B6D">
              <w:t> </w:t>
            </w:r>
            <w:r w:rsidR="004E0D3F" w:rsidRPr="00177B6D">
              <w:t>72, 73)</w:t>
            </w:r>
          </w:p>
        </w:tc>
      </w:tr>
      <w:tr w:rsidR="00F177E6" w:rsidRPr="00177B6D" w14:paraId="550A1165" w14:textId="77777777" w:rsidTr="00DC283C">
        <w:trPr>
          <w:cantSplit/>
        </w:trPr>
        <w:tc>
          <w:tcPr>
            <w:tcW w:w="1838" w:type="dxa"/>
            <w:tcBorders>
              <w:top w:val="single" w:sz="4" w:space="0" w:color="auto"/>
              <w:bottom w:val="nil"/>
            </w:tcBorders>
            <w:shd w:val="clear" w:color="auto" w:fill="auto"/>
          </w:tcPr>
          <w:p w14:paraId="38E07148" w14:textId="77777777" w:rsidR="00F177E6" w:rsidRPr="00177B6D" w:rsidRDefault="00F177E6" w:rsidP="004E0D3F">
            <w:pPr>
              <w:pStyle w:val="ENoteTableText"/>
            </w:pPr>
            <w:r w:rsidRPr="00177B6D">
              <w:t>Public Governance, Performance and Accountability (Consequential and Transitional Provisions) Act 2014</w:t>
            </w:r>
          </w:p>
        </w:tc>
        <w:tc>
          <w:tcPr>
            <w:tcW w:w="992" w:type="dxa"/>
            <w:tcBorders>
              <w:top w:val="single" w:sz="4" w:space="0" w:color="auto"/>
              <w:bottom w:val="nil"/>
            </w:tcBorders>
            <w:shd w:val="clear" w:color="auto" w:fill="auto"/>
          </w:tcPr>
          <w:p w14:paraId="15669AF8" w14:textId="77777777" w:rsidR="00F177E6" w:rsidRPr="00177B6D" w:rsidRDefault="00F177E6" w:rsidP="004E0D3F">
            <w:pPr>
              <w:pStyle w:val="ENoteTableText"/>
            </w:pPr>
            <w:r w:rsidRPr="00177B6D">
              <w:t>62, 2014</w:t>
            </w:r>
          </w:p>
        </w:tc>
        <w:tc>
          <w:tcPr>
            <w:tcW w:w="993" w:type="dxa"/>
            <w:tcBorders>
              <w:top w:val="single" w:sz="4" w:space="0" w:color="auto"/>
              <w:bottom w:val="nil"/>
            </w:tcBorders>
            <w:shd w:val="clear" w:color="auto" w:fill="auto"/>
          </w:tcPr>
          <w:p w14:paraId="1C53DE55" w14:textId="77777777" w:rsidR="00F177E6" w:rsidRPr="00177B6D" w:rsidRDefault="00F177E6" w:rsidP="004E0D3F">
            <w:pPr>
              <w:pStyle w:val="ENoteTableText"/>
            </w:pPr>
            <w:r w:rsidRPr="00177B6D">
              <w:t>30</w:t>
            </w:r>
            <w:r w:rsidR="00CC4F01" w:rsidRPr="00177B6D">
              <w:t> </w:t>
            </w:r>
            <w:r w:rsidRPr="00177B6D">
              <w:t>June 2014</w:t>
            </w:r>
          </w:p>
        </w:tc>
        <w:tc>
          <w:tcPr>
            <w:tcW w:w="1845" w:type="dxa"/>
            <w:tcBorders>
              <w:top w:val="single" w:sz="4" w:space="0" w:color="auto"/>
              <w:bottom w:val="nil"/>
            </w:tcBorders>
            <w:shd w:val="clear" w:color="auto" w:fill="auto"/>
          </w:tcPr>
          <w:p w14:paraId="58852C3C" w14:textId="77777777" w:rsidR="00F177E6" w:rsidRPr="00177B6D" w:rsidRDefault="00F177E6" w:rsidP="00DC283C">
            <w:pPr>
              <w:pStyle w:val="ENoteTableText"/>
            </w:pPr>
            <w:r w:rsidRPr="00177B6D">
              <w:t>Sch 6 (item</w:t>
            </w:r>
            <w:r w:rsidR="00CC4F01" w:rsidRPr="00177B6D">
              <w:t> </w:t>
            </w:r>
            <w:r w:rsidRPr="00177B6D">
              <w:t>77)</w:t>
            </w:r>
            <w:r w:rsidR="009413FB" w:rsidRPr="00177B6D">
              <w:t>,</w:t>
            </w:r>
            <w:r w:rsidRPr="00177B6D">
              <w:t xml:space="preserve"> Sch 12 (items</w:t>
            </w:r>
            <w:r w:rsidR="00CC4F01" w:rsidRPr="00177B6D">
              <w:t> </w:t>
            </w:r>
            <w:r w:rsidRPr="00177B6D">
              <w:t>290–299)</w:t>
            </w:r>
            <w:r w:rsidR="009413FB" w:rsidRPr="00177B6D">
              <w:t xml:space="preserve"> and Sch 14</w:t>
            </w:r>
            <w:r w:rsidRPr="00177B6D">
              <w:t xml:space="preserve">: </w:t>
            </w:r>
            <w:r w:rsidR="00930DFA" w:rsidRPr="00177B6D">
              <w:t>1</w:t>
            </w:r>
            <w:r w:rsidR="00CC4F01" w:rsidRPr="00177B6D">
              <w:t> </w:t>
            </w:r>
            <w:r w:rsidR="00930DFA" w:rsidRPr="00177B6D">
              <w:t>July 2014 (s</w:t>
            </w:r>
            <w:r w:rsidR="00DC283C" w:rsidRPr="00177B6D">
              <w:t> </w:t>
            </w:r>
            <w:r w:rsidR="00930DFA" w:rsidRPr="00177B6D">
              <w:t>2(1) item</w:t>
            </w:r>
            <w:r w:rsidR="009413FB" w:rsidRPr="00177B6D">
              <w:t>s</w:t>
            </w:r>
            <w:r w:rsidR="00CC4F01" w:rsidRPr="00177B6D">
              <w:t> </w:t>
            </w:r>
            <w:r w:rsidR="00930DFA" w:rsidRPr="00177B6D">
              <w:t>6</w:t>
            </w:r>
            <w:r w:rsidR="009413FB" w:rsidRPr="00177B6D">
              <w:t>, 14</w:t>
            </w:r>
            <w:r w:rsidR="00930DFA" w:rsidRPr="00177B6D">
              <w:t>)</w:t>
            </w:r>
          </w:p>
        </w:tc>
        <w:tc>
          <w:tcPr>
            <w:tcW w:w="1417" w:type="dxa"/>
            <w:tcBorders>
              <w:top w:val="single" w:sz="4" w:space="0" w:color="auto"/>
              <w:bottom w:val="nil"/>
            </w:tcBorders>
            <w:shd w:val="clear" w:color="auto" w:fill="auto"/>
          </w:tcPr>
          <w:p w14:paraId="07FECCF9" w14:textId="77777777" w:rsidR="00F177E6" w:rsidRPr="00177B6D" w:rsidRDefault="009413FB" w:rsidP="00F071ED">
            <w:pPr>
              <w:pStyle w:val="ENoteTableText"/>
            </w:pPr>
            <w:r w:rsidRPr="00177B6D">
              <w:t>Sch 14</w:t>
            </w:r>
          </w:p>
        </w:tc>
      </w:tr>
      <w:tr w:rsidR="009413FB" w:rsidRPr="00177B6D" w14:paraId="7E3AB4FB" w14:textId="77777777" w:rsidTr="00DC283C">
        <w:trPr>
          <w:cantSplit/>
        </w:trPr>
        <w:tc>
          <w:tcPr>
            <w:tcW w:w="1838" w:type="dxa"/>
            <w:tcBorders>
              <w:top w:val="nil"/>
              <w:bottom w:val="nil"/>
            </w:tcBorders>
            <w:shd w:val="clear" w:color="auto" w:fill="auto"/>
          </w:tcPr>
          <w:p w14:paraId="7E4A3E95" w14:textId="77777777" w:rsidR="009413FB" w:rsidRPr="00177B6D" w:rsidRDefault="009413FB" w:rsidP="00BB08BC">
            <w:pPr>
              <w:pStyle w:val="ENoteTTIndentHeading"/>
              <w:keepNext w:val="0"/>
            </w:pPr>
            <w:r w:rsidRPr="00177B6D">
              <w:lastRenderedPageBreak/>
              <w:t>as amended by</w:t>
            </w:r>
          </w:p>
        </w:tc>
        <w:tc>
          <w:tcPr>
            <w:tcW w:w="992" w:type="dxa"/>
            <w:tcBorders>
              <w:top w:val="nil"/>
              <w:bottom w:val="nil"/>
            </w:tcBorders>
            <w:shd w:val="clear" w:color="auto" w:fill="auto"/>
          </w:tcPr>
          <w:p w14:paraId="014FD3BE" w14:textId="77777777" w:rsidR="009413FB" w:rsidRPr="00177B6D" w:rsidRDefault="009413FB" w:rsidP="00BB08BC">
            <w:pPr>
              <w:pStyle w:val="ENoteTableText"/>
            </w:pPr>
          </w:p>
        </w:tc>
        <w:tc>
          <w:tcPr>
            <w:tcW w:w="993" w:type="dxa"/>
            <w:tcBorders>
              <w:top w:val="nil"/>
              <w:bottom w:val="nil"/>
            </w:tcBorders>
            <w:shd w:val="clear" w:color="auto" w:fill="auto"/>
          </w:tcPr>
          <w:p w14:paraId="6E7ACC01" w14:textId="77777777" w:rsidR="009413FB" w:rsidRPr="00177B6D" w:rsidRDefault="009413FB" w:rsidP="00BB08BC">
            <w:pPr>
              <w:pStyle w:val="ENoteTableText"/>
            </w:pPr>
          </w:p>
        </w:tc>
        <w:tc>
          <w:tcPr>
            <w:tcW w:w="1845" w:type="dxa"/>
            <w:tcBorders>
              <w:top w:val="nil"/>
              <w:bottom w:val="nil"/>
            </w:tcBorders>
            <w:shd w:val="clear" w:color="auto" w:fill="auto"/>
          </w:tcPr>
          <w:p w14:paraId="77F1341A" w14:textId="77777777" w:rsidR="009413FB" w:rsidRPr="00177B6D" w:rsidRDefault="009413FB" w:rsidP="00BB08BC">
            <w:pPr>
              <w:pStyle w:val="ENoteTableText"/>
            </w:pPr>
          </w:p>
        </w:tc>
        <w:tc>
          <w:tcPr>
            <w:tcW w:w="1417" w:type="dxa"/>
            <w:tcBorders>
              <w:top w:val="nil"/>
              <w:bottom w:val="nil"/>
            </w:tcBorders>
            <w:shd w:val="clear" w:color="auto" w:fill="auto"/>
          </w:tcPr>
          <w:p w14:paraId="7B68CAD8" w14:textId="77777777" w:rsidR="009413FB" w:rsidRPr="00177B6D" w:rsidRDefault="009413FB" w:rsidP="00BB08BC">
            <w:pPr>
              <w:pStyle w:val="ENoteTableText"/>
            </w:pPr>
          </w:p>
        </w:tc>
      </w:tr>
      <w:tr w:rsidR="009413FB" w:rsidRPr="00177B6D" w14:paraId="33DC7B18" w14:textId="77777777" w:rsidTr="00BB08BC">
        <w:trPr>
          <w:cantSplit/>
        </w:trPr>
        <w:tc>
          <w:tcPr>
            <w:tcW w:w="1838" w:type="dxa"/>
            <w:tcBorders>
              <w:top w:val="nil"/>
              <w:bottom w:val="nil"/>
            </w:tcBorders>
            <w:shd w:val="clear" w:color="auto" w:fill="auto"/>
          </w:tcPr>
          <w:p w14:paraId="2D3DEC68" w14:textId="77777777" w:rsidR="009413FB" w:rsidRPr="00177B6D" w:rsidRDefault="009413FB" w:rsidP="00BB08BC">
            <w:pPr>
              <w:pStyle w:val="ENoteTTi"/>
              <w:keepNext w:val="0"/>
            </w:pPr>
            <w:r w:rsidRPr="00177B6D">
              <w:t>Public Governance and Resources Legislation Amendment Act (No.</w:t>
            </w:r>
            <w:r w:rsidR="00CC4F01" w:rsidRPr="00177B6D">
              <w:t> </w:t>
            </w:r>
            <w:r w:rsidRPr="00177B6D">
              <w:t>1) 2015</w:t>
            </w:r>
          </w:p>
        </w:tc>
        <w:tc>
          <w:tcPr>
            <w:tcW w:w="992" w:type="dxa"/>
            <w:tcBorders>
              <w:top w:val="nil"/>
              <w:bottom w:val="nil"/>
            </w:tcBorders>
            <w:shd w:val="clear" w:color="auto" w:fill="auto"/>
          </w:tcPr>
          <w:p w14:paraId="3BA328EC" w14:textId="77777777" w:rsidR="009413FB" w:rsidRPr="00177B6D" w:rsidRDefault="009413FB" w:rsidP="00BB08BC">
            <w:pPr>
              <w:pStyle w:val="ENoteTableText"/>
            </w:pPr>
            <w:r w:rsidRPr="00177B6D">
              <w:t>36, 2015</w:t>
            </w:r>
          </w:p>
        </w:tc>
        <w:tc>
          <w:tcPr>
            <w:tcW w:w="993" w:type="dxa"/>
            <w:tcBorders>
              <w:top w:val="nil"/>
              <w:bottom w:val="nil"/>
            </w:tcBorders>
            <w:shd w:val="clear" w:color="auto" w:fill="auto"/>
          </w:tcPr>
          <w:p w14:paraId="7D65C916" w14:textId="77777777" w:rsidR="009413FB" w:rsidRPr="00177B6D" w:rsidRDefault="009413FB" w:rsidP="00BB08BC">
            <w:pPr>
              <w:pStyle w:val="ENoteTableText"/>
            </w:pPr>
            <w:r w:rsidRPr="00177B6D">
              <w:t>13 Apr 2015</w:t>
            </w:r>
          </w:p>
        </w:tc>
        <w:tc>
          <w:tcPr>
            <w:tcW w:w="1845" w:type="dxa"/>
            <w:tcBorders>
              <w:top w:val="nil"/>
              <w:bottom w:val="nil"/>
            </w:tcBorders>
            <w:shd w:val="clear" w:color="auto" w:fill="auto"/>
          </w:tcPr>
          <w:p w14:paraId="44E04BA6" w14:textId="77777777" w:rsidR="009413FB" w:rsidRPr="00177B6D" w:rsidRDefault="009413FB" w:rsidP="00BB08BC">
            <w:pPr>
              <w:pStyle w:val="ENoteTableText"/>
            </w:pPr>
            <w:r w:rsidRPr="00177B6D">
              <w:t>Sch 2 (items</w:t>
            </w:r>
            <w:r w:rsidR="00CC4F01" w:rsidRPr="00177B6D">
              <w:t> </w:t>
            </w:r>
            <w:r w:rsidRPr="00177B6D">
              <w:t>7–9) and Sch 7: 14 Apr 2015 (s 2)</w:t>
            </w:r>
          </w:p>
        </w:tc>
        <w:tc>
          <w:tcPr>
            <w:tcW w:w="1417" w:type="dxa"/>
            <w:tcBorders>
              <w:top w:val="nil"/>
              <w:bottom w:val="nil"/>
            </w:tcBorders>
            <w:shd w:val="clear" w:color="auto" w:fill="auto"/>
          </w:tcPr>
          <w:p w14:paraId="6BC3067B" w14:textId="77777777" w:rsidR="009413FB" w:rsidRPr="00177B6D" w:rsidRDefault="009413FB" w:rsidP="00BB08BC">
            <w:pPr>
              <w:pStyle w:val="ENoteTableText"/>
            </w:pPr>
            <w:r w:rsidRPr="00177B6D">
              <w:t>Sch 7</w:t>
            </w:r>
          </w:p>
        </w:tc>
      </w:tr>
      <w:tr w:rsidR="009413FB" w:rsidRPr="00177B6D" w14:paraId="0C3744C2" w14:textId="77777777" w:rsidTr="00BB08BC">
        <w:trPr>
          <w:cantSplit/>
        </w:trPr>
        <w:tc>
          <w:tcPr>
            <w:tcW w:w="1838" w:type="dxa"/>
            <w:tcBorders>
              <w:top w:val="nil"/>
              <w:bottom w:val="nil"/>
            </w:tcBorders>
            <w:shd w:val="clear" w:color="auto" w:fill="auto"/>
          </w:tcPr>
          <w:p w14:paraId="2C6B1C77" w14:textId="77777777" w:rsidR="009413FB" w:rsidRPr="00177B6D" w:rsidRDefault="009413FB" w:rsidP="00BB08BC">
            <w:pPr>
              <w:pStyle w:val="ENoteTTIndentHeadingSub"/>
              <w:keepNext w:val="0"/>
            </w:pPr>
            <w:r w:rsidRPr="00177B6D">
              <w:t>as amended by</w:t>
            </w:r>
          </w:p>
        </w:tc>
        <w:tc>
          <w:tcPr>
            <w:tcW w:w="992" w:type="dxa"/>
            <w:tcBorders>
              <w:top w:val="nil"/>
              <w:bottom w:val="nil"/>
            </w:tcBorders>
            <w:shd w:val="clear" w:color="auto" w:fill="auto"/>
          </w:tcPr>
          <w:p w14:paraId="242FC56B" w14:textId="77777777" w:rsidR="009413FB" w:rsidRPr="00177B6D" w:rsidRDefault="009413FB" w:rsidP="00BB08BC">
            <w:pPr>
              <w:pStyle w:val="ENoteTableText"/>
            </w:pPr>
          </w:p>
        </w:tc>
        <w:tc>
          <w:tcPr>
            <w:tcW w:w="993" w:type="dxa"/>
            <w:tcBorders>
              <w:top w:val="nil"/>
              <w:bottom w:val="nil"/>
            </w:tcBorders>
            <w:shd w:val="clear" w:color="auto" w:fill="auto"/>
          </w:tcPr>
          <w:p w14:paraId="57B55896" w14:textId="77777777" w:rsidR="009413FB" w:rsidRPr="00177B6D" w:rsidRDefault="009413FB" w:rsidP="00BB08BC">
            <w:pPr>
              <w:pStyle w:val="ENoteTableText"/>
            </w:pPr>
          </w:p>
        </w:tc>
        <w:tc>
          <w:tcPr>
            <w:tcW w:w="1845" w:type="dxa"/>
            <w:tcBorders>
              <w:top w:val="nil"/>
              <w:bottom w:val="nil"/>
            </w:tcBorders>
            <w:shd w:val="clear" w:color="auto" w:fill="auto"/>
          </w:tcPr>
          <w:p w14:paraId="63144D9A" w14:textId="77777777" w:rsidR="009413FB" w:rsidRPr="00177B6D" w:rsidRDefault="009413FB" w:rsidP="00BB08BC">
            <w:pPr>
              <w:pStyle w:val="ENoteTableText"/>
            </w:pPr>
          </w:p>
        </w:tc>
        <w:tc>
          <w:tcPr>
            <w:tcW w:w="1417" w:type="dxa"/>
            <w:tcBorders>
              <w:top w:val="nil"/>
              <w:bottom w:val="nil"/>
            </w:tcBorders>
            <w:shd w:val="clear" w:color="auto" w:fill="auto"/>
          </w:tcPr>
          <w:p w14:paraId="1CF2085B" w14:textId="77777777" w:rsidR="009413FB" w:rsidRPr="00177B6D" w:rsidRDefault="009413FB" w:rsidP="00BB08BC">
            <w:pPr>
              <w:pStyle w:val="ENoteTableText"/>
            </w:pPr>
          </w:p>
        </w:tc>
      </w:tr>
      <w:tr w:rsidR="009413FB" w:rsidRPr="00177B6D" w14:paraId="50EEC072" w14:textId="77777777" w:rsidTr="00BB08BC">
        <w:trPr>
          <w:cantSplit/>
        </w:trPr>
        <w:tc>
          <w:tcPr>
            <w:tcW w:w="1838" w:type="dxa"/>
            <w:tcBorders>
              <w:top w:val="nil"/>
              <w:bottom w:val="nil"/>
            </w:tcBorders>
            <w:shd w:val="clear" w:color="auto" w:fill="auto"/>
          </w:tcPr>
          <w:p w14:paraId="3F5574B5" w14:textId="77777777" w:rsidR="009413FB" w:rsidRPr="00177B6D" w:rsidRDefault="009413FB" w:rsidP="00BB08BC">
            <w:pPr>
              <w:pStyle w:val="ENoteTTiSub"/>
              <w:keepNext w:val="0"/>
            </w:pPr>
            <w:r w:rsidRPr="00177B6D">
              <w:t>Acts and Instruments (Framework Reform) (Consequential Provisions) Act 2015</w:t>
            </w:r>
          </w:p>
        </w:tc>
        <w:tc>
          <w:tcPr>
            <w:tcW w:w="992" w:type="dxa"/>
            <w:tcBorders>
              <w:top w:val="nil"/>
              <w:bottom w:val="nil"/>
            </w:tcBorders>
            <w:shd w:val="clear" w:color="auto" w:fill="auto"/>
          </w:tcPr>
          <w:p w14:paraId="4C6B205D" w14:textId="77777777" w:rsidR="009413FB" w:rsidRPr="00177B6D" w:rsidRDefault="009413FB" w:rsidP="00BB08BC">
            <w:pPr>
              <w:pStyle w:val="ENoteTableText"/>
            </w:pPr>
            <w:r w:rsidRPr="00177B6D">
              <w:t>126, 2015</w:t>
            </w:r>
          </w:p>
        </w:tc>
        <w:tc>
          <w:tcPr>
            <w:tcW w:w="993" w:type="dxa"/>
            <w:tcBorders>
              <w:top w:val="nil"/>
              <w:bottom w:val="nil"/>
            </w:tcBorders>
            <w:shd w:val="clear" w:color="auto" w:fill="auto"/>
          </w:tcPr>
          <w:p w14:paraId="44C57D1B" w14:textId="77777777" w:rsidR="009413FB" w:rsidRPr="00177B6D" w:rsidRDefault="009413FB" w:rsidP="00BB08BC">
            <w:pPr>
              <w:pStyle w:val="ENoteTableText"/>
            </w:pPr>
            <w:r w:rsidRPr="00177B6D">
              <w:t>10 Sept 2015</w:t>
            </w:r>
          </w:p>
        </w:tc>
        <w:tc>
          <w:tcPr>
            <w:tcW w:w="1845" w:type="dxa"/>
            <w:tcBorders>
              <w:top w:val="nil"/>
              <w:bottom w:val="nil"/>
            </w:tcBorders>
            <w:shd w:val="clear" w:color="auto" w:fill="auto"/>
          </w:tcPr>
          <w:p w14:paraId="675D4F2C" w14:textId="77777777" w:rsidR="009413FB" w:rsidRPr="00177B6D" w:rsidRDefault="009413FB" w:rsidP="00BB08BC">
            <w:pPr>
              <w:pStyle w:val="ENoteTableText"/>
            </w:pPr>
            <w:r w:rsidRPr="00177B6D">
              <w:t>Sch 1 (item</w:t>
            </w:r>
            <w:r w:rsidR="00CC4F01" w:rsidRPr="00177B6D">
              <w:t> </w:t>
            </w:r>
            <w:r w:rsidRPr="00177B6D">
              <w:t>486): 5 Mar 2016 (s 2(1) item</w:t>
            </w:r>
            <w:r w:rsidR="00CC4F01" w:rsidRPr="00177B6D">
              <w:t> </w:t>
            </w:r>
            <w:r w:rsidRPr="00177B6D">
              <w:t>2)</w:t>
            </w:r>
          </w:p>
        </w:tc>
        <w:tc>
          <w:tcPr>
            <w:tcW w:w="1417" w:type="dxa"/>
            <w:tcBorders>
              <w:top w:val="nil"/>
              <w:bottom w:val="nil"/>
            </w:tcBorders>
            <w:shd w:val="clear" w:color="auto" w:fill="auto"/>
          </w:tcPr>
          <w:p w14:paraId="01B32713" w14:textId="77777777" w:rsidR="009413FB" w:rsidRPr="00177B6D" w:rsidRDefault="009413FB" w:rsidP="00BB08BC">
            <w:pPr>
              <w:pStyle w:val="ENoteTableText"/>
            </w:pPr>
            <w:r w:rsidRPr="00177B6D">
              <w:t>—</w:t>
            </w:r>
          </w:p>
        </w:tc>
      </w:tr>
      <w:tr w:rsidR="009413FB" w:rsidRPr="00177B6D" w14:paraId="2ACA93C9" w14:textId="77777777" w:rsidTr="00BB08BC">
        <w:trPr>
          <w:cantSplit/>
        </w:trPr>
        <w:tc>
          <w:tcPr>
            <w:tcW w:w="1838" w:type="dxa"/>
            <w:tcBorders>
              <w:top w:val="nil"/>
              <w:bottom w:val="single" w:sz="4" w:space="0" w:color="auto"/>
            </w:tcBorders>
            <w:shd w:val="clear" w:color="auto" w:fill="auto"/>
          </w:tcPr>
          <w:p w14:paraId="7259A643" w14:textId="77777777" w:rsidR="009413FB" w:rsidRPr="00177B6D" w:rsidRDefault="009413FB" w:rsidP="00BB08BC">
            <w:pPr>
              <w:pStyle w:val="ENoteTTi"/>
              <w:keepNext w:val="0"/>
            </w:pPr>
            <w:r w:rsidRPr="00177B6D">
              <w:t>Acts and Instruments (Framework Reform) (Consequential Provisions) Act 2015</w:t>
            </w:r>
          </w:p>
        </w:tc>
        <w:tc>
          <w:tcPr>
            <w:tcW w:w="992" w:type="dxa"/>
            <w:tcBorders>
              <w:top w:val="nil"/>
              <w:bottom w:val="single" w:sz="4" w:space="0" w:color="auto"/>
            </w:tcBorders>
            <w:shd w:val="clear" w:color="auto" w:fill="auto"/>
          </w:tcPr>
          <w:p w14:paraId="744C48CE" w14:textId="77777777" w:rsidR="009413FB" w:rsidRPr="00177B6D" w:rsidRDefault="009413FB" w:rsidP="00BB08BC">
            <w:pPr>
              <w:pStyle w:val="ENoteTableText"/>
            </w:pPr>
            <w:r w:rsidRPr="00177B6D">
              <w:t>126, 2015</w:t>
            </w:r>
          </w:p>
        </w:tc>
        <w:tc>
          <w:tcPr>
            <w:tcW w:w="993" w:type="dxa"/>
            <w:tcBorders>
              <w:top w:val="nil"/>
              <w:bottom w:val="single" w:sz="4" w:space="0" w:color="auto"/>
            </w:tcBorders>
            <w:shd w:val="clear" w:color="auto" w:fill="auto"/>
          </w:tcPr>
          <w:p w14:paraId="2D91F967" w14:textId="77777777" w:rsidR="009413FB" w:rsidRPr="00177B6D" w:rsidRDefault="009413FB" w:rsidP="00BB08BC">
            <w:pPr>
              <w:pStyle w:val="ENoteTableText"/>
            </w:pPr>
            <w:r w:rsidRPr="00177B6D">
              <w:t>10 Sept 2015</w:t>
            </w:r>
          </w:p>
        </w:tc>
        <w:tc>
          <w:tcPr>
            <w:tcW w:w="1845" w:type="dxa"/>
            <w:tcBorders>
              <w:top w:val="nil"/>
              <w:bottom w:val="single" w:sz="4" w:space="0" w:color="auto"/>
            </w:tcBorders>
            <w:shd w:val="clear" w:color="auto" w:fill="auto"/>
          </w:tcPr>
          <w:p w14:paraId="5419B3EA" w14:textId="77777777" w:rsidR="009413FB" w:rsidRPr="00177B6D" w:rsidRDefault="009413FB" w:rsidP="00BB08BC">
            <w:pPr>
              <w:pStyle w:val="ENoteTableText"/>
            </w:pPr>
            <w:r w:rsidRPr="00177B6D">
              <w:t>Sch 1 (item</w:t>
            </w:r>
            <w:r w:rsidR="00CC4F01" w:rsidRPr="00177B6D">
              <w:t> </w:t>
            </w:r>
            <w:r w:rsidRPr="00177B6D">
              <w:t>495): 5 Mar 2016 (s 2(1) item</w:t>
            </w:r>
            <w:r w:rsidR="00CC4F01" w:rsidRPr="00177B6D">
              <w:t> </w:t>
            </w:r>
            <w:r w:rsidRPr="00177B6D">
              <w:t>2)</w:t>
            </w:r>
          </w:p>
        </w:tc>
        <w:tc>
          <w:tcPr>
            <w:tcW w:w="1417" w:type="dxa"/>
            <w:tcBorders>
              <w:top w:val="nil"/>
              <w:bottom w:val="single" w:sz="4" w:space="0" w:color="auto"/>
            </w:tcBorders>
            <w:shd w:val="clear" w:color="auto" w:fill="auto"/>
          </w:tcPr>
          <w:p w14:paraId="79180D7E" w14:textId="77777777" w:rsidR="009413FB" w:rsidRPr="00177B6D" w:rsidRDefault="009413FB" w:rsidP="00BB08BC">
            <w:pPr>
              <w:pStyle w:val="ENoteTableText"/>
            </w:pPr>
            <w:r w:rsidRPr="00177B6D">
              <w:t>—</w:t>
            </w:r>
          </w:p>
        </w:tc>
      </w:tr>
      <w:tr w:rsidR="00F11A1A" w:rsidRPr="00177B6D" w14:paraId="54077EBD" w14:textId="77777777" w:rsidTr="00D860E6">
        <w:trPr>
          <w:cantSplit/>
        </w:trPr>
        <w:tc>
          <w:tcPr>
            <w:tcW w:w="1838" w:type="dxa"/>
            <w:tcBorders>
              <w:top w:val="single" w:sz="4" w:space="0" w:color="auto"/>
              <w:bottom w:val="single" w:sz="4" w:space="0" w:color="auto"/>
            </w:tcBorders>
            <w:shd w:val="clear" w:color="auto" w:fill="auto"/>
          </w:tcPr>
          <w:p w14:paraId="389446FC" w14:textId="77777777" w:rsidR="00F11A1A" w:rsidRPr="00177B6D" w:rsidRDefault="00F11A1A" w:rsidP="004E0D3F">
            <w:pPr>
              <w:pStyle w:val="ENoteTableText"/>
            </w:pPr>
            <w:r w:rsidRPr="00177B6D">
              <w:t>Statute Law Revision Act (No.</w:t>
            </w:r>
            <w:r w:rsidR="00CC4F01" w:rsidRPr="00177B6D">
              <w:t> </w:t>
            </w:r>
            <w:r w:rsidRPr="00177B6D">
              <w:t>1) 2015</w:t>
            </w:r>
          </w:p>
        </w:tc>
        <w:tc>
          <w:tcPr>
            <w:tcW w:w="992" w:type="dxa"/>
            <w:tcBorders>
              <w:top w:val="single" w:sz="4" w:space="0" w:color="auto"/>
              <w:bottom w:val="single" w:sz="4" w:space="0" w:color="auto"/>
            </w:tcBorders>
            <w:shd w:val="clear" w:color="auto" w:fill="auto"/>
          </w:tcPr>
          <w:p w14:paraId="2B73F788" w14:textId="77777777" w:rsidR="00F11A1A" w:rsidRPr="00177B6D" w:rsidRDefault="00F11A1A" w:rsidP="004E0D3F">
            <w:pPr>
              <w:pStyle w:val="ENoteTableText"/>
            </w:pPr>
            <w:r w:rsidRPr="00177B6D">
              <w:t>5, 2015</w:t>
            </w:r>
          </w:p>
        </w:tc>
        <w:tc>
          <w:tcPr>
            <w:tcW w:w="993" w:type="dxa"/>
            <w:tcBorders>
              <w:top w:val="single" w:sz="4" w:space="0" w:color="auto"/>
              <w:bottom w:val="single" w:sz="4" w:space="0" w:color="auto"/>
            </w:tcBorders>
            <w:shd w:val="clear" w:color="auto" w:fill="auto"/>
          </w:tcPr>
          <w:p w14:paraId="1AEBE8E9" w14:textId="77777777" w:rsidR="00F11A1A" w:rsidRPr="00177B6D" w:rsidRDefault="00F11A1A" w:rsidP="004E0D3F">
            <w:pPr>
              <w:pStyle w:val="ENoteTableText"/>
            </w:pPr>
            <w:r w:rsidRPr="00177B6D">
              <w:t>25 Feb 2015</w:t>
            </w:r>
          </w:p>
        </w:tc>
        <w:tc>
          <w:tcPr>
            <w:tcW w:w="1845" w:type="dxa"/>
            <w:tcBorders>
              <w:top w:val="single" w:sz="4" w:space="0" w:color="auto"/>
              <w:bottom w:val="single" w:sz="4" w:space="0" w:color="auto"/>
            </w:tcBorders>
            <w:shd w:val="clear" w:color="auto" w:fill="auto"/>
          </w:tcPr>
          <w:p w14:paraId="6752F794" w14:textId="77777777" w:rsidR="00F11A1A" w:rsidRPr="00177B6D" w:rsidRDefault="00F11A1A" w:rsidP="00930DFA">
            <w:pPr>
              <w:pStyle w:val="ENoteTableText"/>
            </w:pPr>
            <w:r w:rsidRPr="00177B6D">
              <w:t>Sch 1 (items</w:t>
            </w:r>
            <w:r w:rsidR="00CC4F01" w:rsidRPr="00177B6D">
              <w:t> </w:t>
            </w:r>
            <w:r w:rsidRPr="00177B6D">
              <w:t>43, 44): 25 Mar 2015 (s 2(1) item</w:t>
            </w:r>
            <w:r w:rsidR="00CC4F01" w:rsidRPr="00177B6D">
              <w:t> </w:t>
            </w:r>
            <w:r w:rsidRPr="00177B6D">
              <w:t>2)</w:t>
            </w:r>
          </w:p>
        </w:tc>
        <w:tc>
          <w:tcPr>
            <w:tcW w:w="1417" w:type="dxa"/>
            <w:tcBorders>
              <w:top w:val="single" w:sz="4" w:space="0" w:color="auto"/>
              <w:bottom w:val="single" w:sz="4" w:space="0" w:color="auto"/>
            </w:tcBorders>
            <w:shd w:val="clear" w:color="auto" w:fill="auto"/>
          </w:tcPr>
          <w:p w14:paraId="74F0C6CC" w14:textId="77777777" w:rsidR="00F11A1A" w:rsidRPr="00177B6D" w:rsidRDefault="00F11A1A" w:rsidP="00F071ED">
            <w:pPr>
              <w:pStyle w:val="ENoteTableText"/>
            </w:pPr>
            <w:r w:rsidRPr="00177B6D">
              <w:t>—</w:t>
            </w:r>
          </w:p>
        </w:tc>
      </w:tr>
      <w:tr w:rsidR="009413FB" w:rsidRPr="00177B6D" w14:paraId="5A7852B3" w14:textId="77777777" w:rsidTr="00840136">
        <w:trPr>
          <w:cantSplit/>
        </w:trPr>
        <w:tc>
          <w:tcPr>
            <w:tcW w:w="1838" w:type="dxa"/>
            <w:tcBorders>
              <w:top w:val="single" w:sz="4" w:space="0" w:color="auto"/>
              <w:bottom w:val="single" w:sz="4" w:space="0" w:color="auto"/>
            </w:tcBorders>
            <w:shd w:val="clear" w:color="auto" w:fill="auto"/>
          </w:tcPr>
          <w:p w14:paraId="3E95F19A" w14:textId="77777777" w:rsidR="009413FB" w:rsidRPr="00177B6D" w:rsidRDefault="009413FB" w:rsidP="004E0D3F">
            <w:pPr>
              <w:pStyle w:val="ENoteTableText"/>
            </w:pPr>
            <w:r w:rsidRPr="00177B6D">
              <w:t>Acts and Instruments (Framework Reform) (Consequential Provisions) Act 2015</w:t>
            </w:r>
          </w:p>
        </w:tc>
        <w:tc>
          <w:tcPr>
            <w:tcW w:w="992" w:type="dxa"/>
            <w:tcBorders>
              <w:top w:val="single" w:sz="4" w:space="0" w:color="auto"/>
              <w:bottom w:val="single" w:sz="4" w:space="0" w:color="auto"/>
            </w:tcBorders>
            <w:shd w:val="clear" w:color="auto" w:fill="auto"/>
          </w:tcPr>
          <w:p w14:paraId="19626BBA" w14:textId="77777777" w:rsidR="009413FB" w:rsidRPr="00177B6D" w:rsidRDefault="009413FB" w:rsidP="004E0D3F">
            <w:pPr>
              <w:pStyle w:val="ENoteTableText"/>
            </w:pPr>
            <w:r w:rsidRPr="00177B6D">
              <w:t>126, 2015</w:t>
            </w:r>
          </w:p>
        </w:tc>
        <w:tc>
          <w:tcPr>
            <w:tcW w:w="993" w:type="dxa"/>
            <w:tcBorders>
              <w:top w:val="single" w:sz="4" w:space="0" w:color="auto"/>
              <w:bottom w:val="single" w:sz="4" w:space="0" w:color="auto"/>
            </w:tcBorders>
            <w:shd w:val="clear" w:color="auto" w:fill="auto"/>
          </w:tcPr>
          <w:p w14:paraId="6FCB7CAF" w14:textId="77777777" w:rsidR="009413FB" w:rsidRPr="00177B6D" w:rsidRDefault="009413FB" w:rsidP="004E0D3F">
            <w:pPr>
              <w:pStyle w:val="ENoteTableText"/>
            </w:pPr>
            <w:r w:rsidRPr="00177B6D">
              <w:t>10 Sept 2015</w:t>
            </w:r>
          </w:p>
        </w:tc>
        <w:tc>
          <w:tcPr>
            <w:tcW w:w="1845" w:type="dxa"/>
            <w:tcBorders>
              <w:top w:val="single" w:sz="4" w:space="0" w:color="auto"/>
              <w:bottom w:val="single" w:sz="4" w:space="0" w:color="auto"/>
            </w:tcBorders>
            <w:shd w:val="clear" w:color="auto" w:fill="auto"/>
          </w:tcPr>
          <w:p w14:paraId="6C7B35AA" w14:textId="77777777" w:rsidR="009413FB" w:rsidRPr="00177B6D" w:rsidRDefault="009413FB" w:rsidP="00D860E6">
            <w:pPr>
              <w:pStyle w:val="ENoteTableText"/>
            </w:pPr>
            <w:r w:rsidRPr="00177B6D">
              <w:t>Sch 1 (items</w:t>
            </w:r>
            <w:r w:rsidR="00CC4F01" w:rsidRPr="00177B6D">
              <w:t> </w:t>
            </w:r>
            <w:r w:rsidRPr="00177B6D">
              <w:t>670, 671): 5</w:t>
            </w:r>
            <w:r w:rsidR="00D860E6" w:rsidRPr="00177B6D">
              <w:t> </w:t>
            </w:r>
            <w:r w:rsidRPr="00177B6D">
              <w:t>Mar 2016 (s 2(1) item</w:t>
            </w:r>
            <w:r w:rsidR="00CC4F01" w:rsidRPr="00177B6D">
              <w:t> </w:t>
            </w:r>
            <w:r w:rsidRPr="00177B6D">
              <w:t>2)</w:t>
            </w:r>
          </w:p>
        </w:tc>
        <w:tc>
          <w:tcPr>
            <w:tcW w:w="1417" w:type="dxa"/>
            <w:tcBorders>
              <w:top w:val="single" w:sz="4" w:space="0" w:color="auto"/>
              <w:bottom w:val="single" w:sz="4" w:space="0" w:color="auto"/>
            </w:tcBorders>
            <w:shd w:val="clear" w:color="auto" w:fill="auto"/>
          </w:tcPr>
          <w:p w14:paraId="4DC6B0C5" w14:textId="77777777" w:rsidR="009413FB" w:rsidRPr="00177B6D" w:rsidRDefault="009413FB" w:rsidP="00F071ED">
            <w:pPr>
              <w:pStyle w:val="ENoteTableText"/>
            </w:pPr>
            <w:r w:rsidRPr="00177B6D">
              <w:t>—</w:t>
            </w:r>
          </w:p>
        </w:tc>
      </w:tr>
      <w:tr w:rsidR="0023161B" w:rsidRPr="00177B6D" w14:paraId="0AB33012" w14:textId="77777777" w:rsidTr="00C2381C">
        <w:trPr>
          <w:cantSplit/>
        </w:trPr>
        <w:tc>
          <w:tcPr>
            <w:tcW w:w="1838" w:type="dxa"/>
            <w:tcBorders>
              <w:top w:val="single" w:sz="4" w:space="0" w:color="auto"/>
              <w:bottom w:val="single" w:sz="4" w:space="0" w:color="auto"/>
            </w:tcBorders>
            <w:shd w:val="clear" w:color="auto" w:fill="auto"/>
          </w:tcPr>
          <w:p w14:paraId="550994C3" w14:textId="77777777" w:rsidR="0023161B" w:rsidRPr="00177B6D" w:rsidRDefault="0023161B" w:rsidP="004E0D3F">
            <w:pPr>
              <w:pStyle w:val="ENoteTableText"/>
            </w:pPr>
            <w:r w:rsidRPr="00177B6D">
              <w:t>Territories Legislation Amendment Act 2016</w:t>
            </w:r>
          </w:p>
        </w:tc>
        <w:tc>
          <w:tcPr>
            <w:tcW w:w="992" w:type="dxa"/>
            <w:tcBorders>
              <w:top w:val="single" w:sz="4" w:space="0" w:color="auto"/>
              <w:bottom w:val="single" w:sz="4" w:space="0" w:color="auto"/>
            </w:tcBorders>
            <w:shd w:val="clear" w:color="auto" w:fill="auto"/>
          </w:tcPr>
          <w:p w14:paraId="6B9CE0B8" w14:textId="77777777" w:rsidR="0023161B" w:rsidRPr="00177B6D" w:rsidRDefault="0023161B" w:rsidP="004E0D3F">
            <w:pPr>
              <w:pStyle w:val="ENoteTableText"/>
            </w:pPr>
            <w:r w:rsidRPr="00177B6D">
              <w:t>33, 2016</w:t>
            </w:r>
          </w:p>
        </w:tc>
        <w:tc>
          <w:tcPr>
            <w:tcW w:w="993" w:type="dxa"/>
            <w:tcBorders>
              <w:top w:val="single" w:sz="4" w:space="0" w:color="auto"/>
              <w:bottom w:val="single" w:sz="4" w:space="0" w:color="auto"/>
            </w:tcBorders>
            <w:shd w:val="clear" w:color="auto" w:fill="auto"/>
          </w:tcPr>
          <w:p w14:paraId="7C65D18D" w14:textId="77777777" w:rsidR="0023161B" w:rsidRPr="00177B6D" w:rsidRDefault="0023161B" w:rsidP="004E0D3F">
            <w:pPr>
              <w:pStyle w:val="ENoteTableText"/>
            </w:pPr>
            <w:r w:rsidRPr="00177B6D">
              <w:t>23 Mar 2016</w:t>
            </w:r>
          </w:p>
        </w:tc>
        <w:tc>
          <w:tcPr>
            <w:tcW w:w="1845" w:type="dxa"/>
            <w:tcBorders>
              <w:top w:val="single" w:sz="4" w:space="0" w:color="auto"/>
              <w:bottom w:val="single" w:sz="4" w:space="0" w:color="auto"/>
            </w:tcBorders>
            <w:shd w:val="clear" w:color="auto" w:fill="auto"/>
          </w:tcPr>
          <w:p w14:paraId="6924FED6" w14:textId="77777777" w:rsidR="0023161B" w:rsidRPr="00177B6D" w:rsidRDefault="0023161B" w:rsidP="00D860E6">
            <w:pPr>
              <w:pStyle w:val="ENoteTableText"/>
            </w:pPr>
            <w:r w:rsidRPr="00177B6D">
              <w:t>Sch 5 (items</w:t>
            </w:r>
            <w:r w:rsidR="00CC4F01" w:rsidRPr="00177B6D">
              <w:t> </w:t>
            </w:r>
            <w:r w:rsidRPr="00177B6D">
              <w:t>102, 103): 1</w:t>
            </w:r>
            <w:r w:rsidR="00CC4F01" w:rsidRPr="00177B6D">
              <w:t> </w:t>
            </w:r>
            <w:r w:rsidRPr="00177B6D">
              <w:t>July 2016 (s 2(1) item</w:t>
            </w:r>
            <w:r w:rsidR="00CC4F01" w:rsidRPr="00177B6D">
              <w:t> </w:t>
            </w:r>
            <w:r w:rsidRPr="00177B6D">
              <w:t>7)</w:t>
            </w:r>
          </w:p>
        </w:tc>
        <w:tc>
          <w:tcPr>
            <w:tcW w:w="1417" w:type="dxa"/>
            <w:tcBorders>
              <w:top w:val="single" w:sz="4" w:space="0" w:color="auto"/>
              <w:bottom w:val="single" w:sz="4" w:space="0" w:color="auto"/>
            </w:tcBorders>
            <w:shd w:val="clear" w:color="auto" w:fill="auto"/>
          </w:tcPr>
          <w:p w14:paraId="4B51583E" w14:textId="77777777" w:rsidR="0023161B" w:rsidRPr="00177B6D" w:rsidRDefault="0023161B" w:rsidP="00F071ED">
            <w:pPr>
              <w:pStyle w:val="ENoteTableText"/>
            </w:pPr>
            <w:r w:rsidRPr="00177B6D">
              <w:t>—</w:t>
            </w:r>
          </w:p>
        </w:tc>
      </w:tr>
      <w:tr w:rsidR="00160A95" w:rsidRPr="00177B6D" w14:paraId="08FEC5F4" w14:textId="77777777" w:rsidTr="005D6724">
        <w:trPr>
          <w:cantSplit/>
        </w:trPr>
        <w:tc>
          <w:tcPr>
            <w:tcW w:w="1838" w:type="dxa"/>
            <w:tcBorders>
              <w:top w:val="single" w:sz="4" w:space="0" w:color="auto"/>
              <w:bottom w:val="single" w:sz="4" w:space="0" w:color="auto"/>
            </w:tcBorders>
            <w:shd w:val="clear" w:color="auto" w:fill="auto"/>
          </w:tcPr>
          <w:p w14:paraId="1747EB72" w14:textId="164B2A33" w:rsidR="00160A95" w:rsidRPr="00177B6D" w:rsidRDefault="00C2381C" w:rsidP="004E0D3F">
            <w:pPr>
              <w:pStyle w:val="ENoteTableText"/>
            </w:pPr>
            <w:r w:rsidRPr="00177B6D">
              <w:t>Anti</w:t>
            </w:r>
            <w:r w:rsidR="004A520A">
              <w:noBreakHyphen/>
            </w:r>
            <w:r w:rsidRPr="00177B6D">
              <w:t>Discrimination and Human Rights Legislation Amendment (Respect at Work) Act 2022</w:t>
            </w:r>
          </w:p>
        </w:tc>
        <w:tc>
          <w:tcPr>
            <w:tcW w:w="992" w:type="dxa"/>
            <w:tcBorders>
              <w:top w:val="single" w:sz="4" w:space="0" w:color="auto"/>
              <w:bottom w:val="single" w:sz="4" w:space="0" w:color="auto"/>
            </w:tcBorders>
            <w:shd w:val="clear" w:color="auto" w:fill="auto"/>
          </w:tcPr>
          <w:p w14:paraId="3D204423" w14:textId="77777777" w:rsidR="00160A95" w:rsidRPr="00177B6D" w:rsidRDefault="00160A95" w:rsidP="004E0D3F">
            <w:pPr>
              <w:pStyle w:val="ENoteTableText"/>
            </w:pPr>
            <w:r w:rsidRPr="00177B6D">
              <w:t>85, 2022</w:t>
            </w:r>
          </w:p>
        </w:tc>
        <w:tc>
          <w:tcPr>
            <w:tcW w:w="993" w:type="dxa"/>
            <w:tcBorders>
              <w:top w:val="single" w:sz="4" w:space="0" w:color="auto"/>
              <w:bottom w:val="single" w:sz="4" w:space="0" w:color="auto"/>
            </w:tcBorders>
            <w:shd w:val="clear" w:color="auto" w:fill="auto"/>
          </w:tcPr>
          <w:p w14:paraId="19E2D6BF" w14:textId="77777777" w:rsidR="00160A95" w:rsidRPr="00177B6D" w:rsidRDefault="00160A95" w:rsidP="004E0D3F">
            <w:pPr>
              <w:pStyle w:val="ENoteTableText"/>
            </w:pPr>
            <w:r w:rsidRPr="00177B6D">
              <w:t>12 Dec 2022</w:t>
            </w:r>
          </w:p>
        </w:tc>
        <w:tc>
          <w:tcPr>
            <w:tcW w:w="1845" w:type="dxa"/>
            <w:tcBorders>
              <w:top w:val="single" w:sz="4" w:space="0" w:color="auto"/>
              <w:bottom w:val="single" w:sz="4" w:space="0" w:color="auto"/>
            </w:tcBorders>
            <w:shd w:val="clear" w:color="auto" w:fill="auto"/>
          </w:tcPr>
          <w:p w14:paraId="2E5523AC" w14:textId="77777777" w:rsidR="00160A95" w:rsidRPr="00177B6D" w:rsidRDefault="00160A95" w:rsidP="00D860E6">
            <w:pPr>
              <w:pStyle w:val="ENoteTableText"/>
            </w:pPr>
            <w:r w:rsidRPr="00177B6D">
              <w:t xml:space="preserve">Sch 6: 13 Dec 2022 (s 2(1) </w:t>
            </w:r>
            <w:r w:rsidR="00C209CE" w:rsidRPr="00177B6D">
              <w:t>item 6</w:t>
            </w:r>
            <w:r w:rsidRPr="00177B6D">
              <w:t>)</w:t>
            </w:r>
          </w:p>
        </w:tc>
        <w:tc>
          <w:tcPr>
            <w:tcW w:w="1417" w:type="dxa"/>
            <w:tcBorders>
              <w:top w:val="single" w:sz="4" w:space="0" w:color="auto"/>
              <w:bottom w:val="single" w:sz="4" w:space="0" w:color="auto"/>
            </w:tcBorders>
            <w:shd w:val="clear" w:color="auto" w:fill="auto"/>
          </w:tcPr>
          <w:p w14:paraId="13463F80" w14:textId="77777777" w:rsidR="00160A95" w:rsidRPr="00177B6D" w:rsidRDefault="00160A95" w:rsidP="00F071ED">
            <w:pPr>
              <w:pStyle w:val="ENoteTableText"/>
            </w:pPr>
            <w:r w:rsidRPr="00177B6D">
              <w:t>—</w:t>
            </w:r>
          </w:p>
        </w:tc>
      </w:tr>
      <w:tr w:rsidR="00C34586" w:rsidRPr="00177B6D" w14:paraId="48F5908F" w14:textId="77777777" w:rsidTr="00003C97">
        <w:trPr>
          <w:cantSplit/>
        </w:trPr>
        <w:tc>
          <w:tcPr>
            <w:tcW w:w="1838" w:type="dxa"/>
            <w:tcBorders>
              <w:top w:val="single" w:sz="4" w:space="0" w:color="auto"/>
              <w:bottom w:val="single" w:sz="4" w:space="0" w:color="auto"/>
            </w:tcBorders>
            <w:shd w:val="clear" w:color="auto" w:fill="auto"/>
          </w:tcPr>
          <w:p w14:paraId="30FCDAD0" w14:textId="77777777" w:rsidR="00C34586" w:rsidRPr="00177B6D" w:rsidRDefault="00C34586" w:rsidP="004E0D3F">
            <w:pPr>
              <w:pStyle w:val="ENoteTableText"/>
            </w:pPr>
            <w:r w:rsidRPr="00177B6D">
              <w:lastRenderedPageBreak/>
              <w:t>Workplace Gender Equality Amendment (Closing the Gender Pay Gap) Act 2023</w:t>
            </w:r>
          </w:p>
        </w:tc>
        <w:tc>
          <w:tcPr>
            <w:tcW w:w="992" w:type="dxa"/>
            <w:tcBorders>
              <w:top w:val="single" w:sz="4" w:space="0" w:color="auto"/>
              <w:bottom w:val="single" w:sz="4" w:space="0" w:color="auto"/>
            </w:tcBorders>
            <w:shd w:val="clear" w:color="auto" w:fill="auto"/>
          </w:tcPr>
          <w:p w14:paraId="6F6327BD" w14:textId="77777777" w:rsidR="00C34586" w:rsidRPr="00177B6D" w:rsidRDefault="00C34586" w:rsidP="004E0D3F">
            <w:pPr>
              <w:pStyle w:val="ENoteTableText"/>
            </w:pPr>
            <w:r w:rsidRPr="00177B6D">
              <w:t>18, 2023</w:t>
            </w:r>
          </w:p>
        </w:tc>
        <w:tc>
          <w:tcPr>
            <w:tcW w:w="993" w:type="dxa"/>
            <w:tcBorders>
              <w:top w:val="single" w:sz="4" w:space="0" w:color="auto"/>
              <w:bottom w:val="single" w:sz="4" w:space="0" w:color="auto"/>
            </w:tcBorders>
            <w:shd w:val="clear" w:color="auto" w:fill="auto"/>
          </w:tcPr>
          <w:p w14:paraId="49F8771E" w14:textId="77777777" w:rsidR="00C34586" w:rsidRPr="00177B6D" w:rsidRDefault="00C34586" w:rsidP="004E0D3F">
            <w:pPr>
              <w:pStyle w:val="ENoteTableText"/>
            </w:pPr>
            <w:r w:rsidRPr="00177B6D">
              <w:t>11 Apr 2023</w:t>
            </w:r>
          </w:p>
        </w:tc>
        <w:tc>
          <w:tcPr>
            <w:tcW w:w="1845" w:type="dxa"/>
            <w:tcBorders>
              <w:top w:val="single" w:sz="4" w:space="0" w:color="auto"/>
              <w:bottom w:val="single" w:sz="4" w:space="0" w:color="auto"/>
            </w:tcBorders>
            <w:shd w:val="clear" w:color="auto" w:fill="auto"/>
          </w:tcPr>
          <w:p w14:paraId="5BFEA4AB" w14:textId="4CEDDABB" w:rsidR="00C34586" w:rsidRPr="00177B6D" w:rsidRDefault="00C34586" w:rsidP="00D860E6">
            <w:pPr>
              <w:pStyle w:val="ENoteTableText"/>
            </w:pPr>
            <w:r w:rsidRPr="00177B6D">
              <w:t xml:space="preserve">12 Apr 2023 (s 2(1) </w:t>
            </w:r>
            <w:r w:rsidR="004A520A">
              <w:t>item 1</w:t>
            </w:r>
            <w:r w:rsidRPr="00177B6D">
              <w:t>)</w:t>
            </w:r>
          </w:p>
        </w:tc>
        <w:tc>
          <w:tcPr>
            <w:tcW w:w="1417" w:type="dxa"/>
            <w:tcBorders>
              <w:top w:val="single" w:sz="4" w:space="0" w:color="auto"/>
              <w:bottom w:val="single" w:sz="4" w:space="0" w:color="auto"/>
            </w:tcBorders>
            <w:shd w:val="clear" w:color="auto" w:fill="auto"/>
          </w:tcPr>
          <w:p w14:paraId="53002E1A" w14:textId="77777777" w:rsidR="00C34586" w:rsidRPr="00177B6D" w:rsidRDefault="00C34586" w:rsidP="00F071ED">
            <w:pPr>
              <w:pStyle w:val="ENoteTableText"/>
            </w:pPr>
            <w:r w:rsidRPr="00177B6D">
              <w:t>Sch 1 (</w:t>
            </w:r>
            <w:r w:rsidR="000C556C" w:rsidRPr="00177B6D">
              <w:t>items 3</w:t>
            </w:r>
            <w:r w:rsidRPr="00177B6D">
              <w:t>4</w:t>
            </w:r>
            <w:r w:rsidR="005D6724" w:rsidRPr="00177B6D">
              <w:t>–</w:t>
            </w:r>
            <w:r w:rsidRPr="00177B6D">
              <w:t>37)</w:t>
            </w:r>
          </w:p>
        </w:tc>
      </w:tr>
      <w:tr w:rsidR="00C45869" w:rsidRPr="00177B6D" w14:paraId="33C024F4" w14:textId="77777777" w:rsidTr="00496B08">
        <w:trPr>
          <w:cantSplit/>
        </w:trPr>
        <w:tc>
          <w:tcPr>
            <w:tcW w:w="1838" w:type="dxa"/>
            <w:tcBorders>
              <w:top w:val="single" w:sz="4" w:space="0" w:color="auto"/>
              <w:bottom w:val="single" w:sz="12" w:space="0" w:color="auto"/>
            </w:tcBorders>
            <w:shd w:val="clear" w:color="auto" w:fill="auto"/>
          </w:tcPr>
          <w:p w14:paraId="3717BD7B" w14:textId="24688C10" w:rsidR="00C45869" w:rsidRPr="00177B6D" w:rsidRDefault="00C45869" w:rsidP="004E0D3F">
            <w:pPr>
              <w:pStyle w:val="ENoteTableText"/>
            </w:pPr>
            <w:r w:rsidRPr="00177B6D">
              <w:t>Workplace Gender Equality Amendment (Setting Gender Equality Targets) Act 2025</w:t>
            </w:r>
          </w:p>
        </w:tc>
        <w:tc>
          <w:tcPr>
            <w:tcW w:w="992" w:type="dxa"/>
            <w:tcBorders>
              <w:top w:val="single" w:sz="4" w:space="0" w:color="auto"/>
              <w:bottom w:val="single" w:sz="12" w:space="0" w:color="auto"/>
            </w:tcBorders>
            <w:shd w:val="clear" w:color="auto" w:fill="auto"/>
          </w:tcPr>
          <w:p w14:paraId="24CCD919" w14:textId="63E596DF" w:rsidR="00C45869" w:rsidRPr="00177B6D" w:rsidRDefault="00287437" w:rsidP="004E0D3F">
            <w:pPr>
              <w:pStyle w:val="ENoteTableText"/>
            </w:pPr>
            <w:r w:rsidRPr="00177B6D">
              <w:t>25, 2025</w:t>
            </w:r>
          </w:p>
        </w:tc>
        <w:tc>
          <w:tcPr>
            <w:tcW w:w="993" w:type="dxa"/>
            <w:tcBorders>
              <w:top w:val="single" w:sz="4" w:space="0" w:color="auto"/>
              <w:bottom w:val="single" w:sz="12" w:space="0" w:color="auto"/>
            </w:tcBorders>
            <w:shd w:val="clear" w:color="auto" w:fill="auto"/>
          </w:tcPr>
          <w:p w14:paraId="61B15D83" w14:textId="3A14AB28" w:rsidR="00C45869" w:rsidRPr="00177B6D" w:rsidRDefault="00287437" w:rsidP="004E0D3F">
            <w:pPr>
              <w:pStyle w:val="ENoteTableText"/>
            </w:pPr>
            <w:r w:rsidRPr="00177B6D">
              <w:t>27 Mar 2025</w:t>
            </w:r>
          </w:p>
        </w:tc>
        <w:tc>
          <w:tcPr>
            <w:tcW w:w="1845" w:type="dxa"/>
            <w:tcBorders>
              <w:top w:val="single" w:sz="4" w:space="0" w:color="auto"/>
              <w:bottom w:val="single" w:sz="12" w:space="0" w:color="auto"/>
            </w:tcBorders>
            <w:shd w:val="clear" w:color="auto" w:fill="auto"/>
          </w:tcPr>
          <w:p w14:paraId="6C5D44BA" w14:textId="33C3A897" w:rsidR="00C45869" w:rsidRPr="00177B6D" w:rsidRDefault="00287437" w:rsidP="00D860E6">
            <w:pPr>
              <w:pStyle w:val="ENoteTableText"/>
            </w:pPr>
            <w:r w:rsidRPr="00177B6D">
              <w:t xml:space="preserve">4 Apr 2025 (s 2(1) </w:t>
            </w:r>
            <w:r w:rsidR="004A520A">
              <w:t>item 1</w:t>
            </w:r>
            <w:r w:rsidRPr="00177B6D">
              <w:t>)</w:t>
            </w:r>
          </w:p>
        </w:tc>
        <w:tc>
          <w:tcPr>
            <w:tcW w:w="1417" w:type="dxa"/>
            <w:tcBorders>
              <w:top w:val="single" w:sz="4" w:space="0" w:color="auto"/>
              <w:bottom w:val="single" w:sz="12" w:space="0" w:color="auto"/>
            </w:tcBorders>
            <w:shd w:val="clear" w:color="auto" w:fill="auto"/>
          </w:tcPr>
          <w:p w14:paraId="5122811D" w14:textId="2949A9CC" w:rsidR="00C45869" w:rsidRPr="00177B6D" w:rsidRDefault="00287437" w:rsidP="00F071ED">
            <w:pPr>
              <w:pStyle w:val="ENoteTableText"/>
            </w:pPr>
            <w:r w:rsidRPr="00177B6D">
              <w:t>Sch 1 (</w:t>
            </w:r>
            <w:r w:rsidR="004A520A">
              <w:t>item 1</w:t>
            </w:r>
            <w:r w:rsidRPr="00177B6D">
              <w:t>5)</w:t>
            </w:r>
          </w:p>
        </w:tc>
      </w:tr>
    </w:tbl>
    <w:p w14:paraId="0FB7941F" w14:textId="77777777" w:rsidR="004E0D3F" w:rsidRPr="00177B6D" w:rsidRDefault="004E0D3F" w:rsidP="00177B6D">
      <w:pPr>
        <w:pStyle w:val="Tabletext"/>
      </w:pPr>
    </w:p>
    <w:p w14:paraId="250E3368" w14:textId="77777777" w:rsidR="00F071ED" w:rsidRPr="00177B6D" w:rsidRDefault="00F071ED" w:rsidP="009163ED">
      <w:pPr>
        <w:pStyle w:val="ENotesHeading2"/>
        <w:pageBreakBefore/>
        <w:outlineLvl w:val="9"/>
      </w:pPr>
      <w:bookmarkStart w:id="72" w:name="_Toc195097075"/>
      <w:r w:rsidRPr="00177B6D">
        <w:lastRenderedPageBreak/>
        <w:t>Endnote 4—Amendment history</w:t>
      </w:r>
      <w:bookmarkEnd w:id="72"/>
    </w:p>
    <w:p w14:paraId="2CD6DDBF" w14:textId="77777777" w:rsidR="0046009B" w:rsidRPr="00177B6D" w:rsidRDefault="0046009B" w:rsidP="00C1509A">
      <w:pPr>
        <w:pStyle w:val="Tabletext"/>
      </w:pPr>
    </w:p>
    <w:tbl>
      <w:tblPr>
        <w:tblW w:w="7082" w:type="dxa"/>
        <w:tblLayout w:type="fixed"/>
        <w:tblLook w:val="0000" w:firstRow="0" w:lastRow="0" w:firstColumn="0" w:lastColumn="0" w:noHBand="0" w:noVBand="0"/>
      </w:tblPr>
      <w:tblGrid>
        <w:gridCol w:w="2551"/>
        <w:gridCol w:w="4531"/>
      </w:tblGrid>
      <w:tr w:rsidR="004E0D3F" w:rsidRPr="00177B6D" w14:paraId="19214164" w14:textId="77777777" w:rsidTr="007005E6">
        <w:trPr>
          <w:cantSplit/>
          <w:tblHeader/>
        </w:trPr>
        <w:tc>
          <w:tcPr>
            <w:tcW w:w="2551" w:type="dxa"/>
            <w:tcBorders>
              <w:top w:val="single" w:sz="12" w:space="0" w:color="auto"/>
              <w:bottom w:val="single" w:sz="12" w:space="0" w:color="auto"/>
            </w:tcBorders>
            <w:shd w:val="clear" w:color="auto" w:fill="auto"/>
          </w:tcPr>
          <w:p w14:paraId="4A05AE5F" w14:textId="77777777" w:rsidR="004E0D3F" w:rsidRPr="00177B6D" w:rsidRDefault="004E0D3F" w:rsidP="001F39B5">
            <w:pPr>
              <w:pStyle w:val="ENoteTableHeading"/>
            </w:pPr>
            <w:r w:rsidRPr="00177B6D">
              <w:t>Provision affected</w:t>
            </w:r>
          </w:p>
        </w:tc>
        <w:tc>
          <w:tcPr>
            <w:tcW w:w="4531" w:type="dxa"/>
            <w:tcBorders>
              <w:top w:val="single" w:sz="12" w:space="0" w:color="auto"/>
              <w:bottom w:val="single" w:sz="12" w:space="0" w:color="auto"/>
            </w:tcBorders>
            <w:shd w:val="clear" w:color="auto" w:fill="auto"/>
          </w:tcPr>
          <w:p w14:paraId="56FF3F03" w14:textId="77777777" w:rsidR="004E0D3F" w:rsidRPr="00177B6D" w:rsidRDefault="004E0D3F" w:rsidP="001F39B5">
            <w:pPr>
              <w:pStyle w:val="ENoteTableHeading"/>
            </w:pPr>
            <w:r w:rsidRPr="00177B6D">
              <w:t>How affected</w:t>
            </w:r>
          </w:p>
        </w:tc>
      </w:tr>
      <w:tr w:rsidR="004E0D3F" w:rsidRPr="00177B6D" w14:paraId="6AE41A7E" w14:textId="77777777" w:rsidTr="007005E6">
        <w:trPr>
          <w:cantSplit/>
        </w:trPr>
        <w:tc>
          <w:tcPr>
            <w:tcW w:w="2551" w:type="dxa"/>
            <w:tcBorders>
              <w:top w:val="single" w:sz="12" w:space="0" w:color="auto"/>
            </w:tcBorders>
            <w:shd w:val="clear" w:color="auto" w:fill="auto"/>
          </w:tcPr>
          <w:p w14:paraId="2BD65100" w14:textId="77777777" w:rsidR="004E0D3F" w:rsidRPr="00177B6D" w:rsidRDefault="004E0D3F" w:rsidP="002774D6">
            <w:pPr>
              <w:pStyle w:val="ENoteTableText"/>
              <w:tabs>
                <w:tab w:val="center" w:leader="dot" w:pos="2268"/>
              </w:tabs>
            </w:pPr>
            <w:r w:rsidRPr="00177B6D">
              <w:t>Title</w:t>
            </w:r>
            <w:r w:rsidRPr="00177B6D">
              <w:tab/>
            </w:r>
          </w:p>
        </w:tc>
        <w:tc>
          <w:tcPr>
            <w:tcW w:w="4531" w:type="dxa"/>
            <w:tcBorders>
              <w:top w:val="single" w:sz="12" w:space="0" w:color="auto"/>
            </w:tcBorders>
            <w:shd w:val="clear" w:color="auto" w:fill="auto"/>
          </w:tcPr>
          <w:p w14:paraId="57EE4544" w14:textId="77777777" w:rsidR="004E0D3F" w:rsidRPr="00177B6D" w:rsidRDefault="004E0D3F" w:rsidP="004E0D3F">
            <w:pPr>
              <w:pStyle w:val="ENoteTableText"/>
            </w:pPr>
            <w:r w:rsidRPr="00177B6D">
              <w:t>am No</w:t>
            </w:r>
            <w:r w:rsidR="009163ED" w:rsidRPr="00177B6D">
              <w:t> </w:t>
            </w:r>
            <w:r w:rsidRPr="00177B6D">
              <w:t>181, 1992; No</w:t>
            </w:r>
            <w:r w:rsidR="009163ED" w:rsidRPr="00177B6D">
              <w:t> </w:t>
            </w:r>
            <w:r w:rsidRPr="00177B6D">
              <w:t>183, 1999; No</w:t>
            </w:r>
            <w:r w:rsidR="009163ED" w:rsidRPr="00177B6D">
              <w:t> </w:t>
            </w:r>
            <w:r w:rsidRPr="00177B6D">
              <w:t>179, 2012</w:t>
            </w:r>
            <w:r w:rsidR="00C34586" w:rsidRPr="00177B6D">
              <w:t>; No 18, 2023</w:t>
            </w:r>
          </w:p>
        </w:tc>
      </w:tr>
      <w:tr w:rsidR="004E0D3F" w:rsidRPr="00177B6D" w14:paraId="2B8AFA7A" w14:textId="77777777" w:rsidTr="007005E6">
        <w:trPr>
          <w:cantSplit/>
        </w:trPr>
        <w:tc>
          <w:tcPr>
            <w:tcW w:w="2551" w:type="dxa"/>
            <w:shd w:val="clear" w:color="auto" w:fill="auto"/>
          </w:tcPr>
          <w:p w14:paraId="4BD936FA" w14:textId="77777777" w:rsidR="004E0D3F" w:rsidRPr="00177B6D" w:rsidRDefault="004E0D3F" w:rsidP="004E0D3F">
            <w:pPr>
              <w:pStyle w:val="ENoteTableText"/>
            </w:pPr>
            <w:r w:rsidRPr="00177B6D">
              <w:rPr>
                <w:b/>
              </w:rPr>
              <w:t>Part</w:t>
            </w:r>
            <w:r w:rsidR="002774D6" w:rsidRPr="00177B6D">
              <w:rPr>
                <w:b/>
              </w:rPr>
              <w:t> </w:t>
            </w:r>
            <w:r w:rsidRPr="00177B6D">
              <w:rPr>
                <w:b/>
              </w:rPr>
              <w:t>I</w:t>
            </w:r>
          </w:p>
        </w:tc>
        <w:tc>
          <w:tcPr>
            <w:tcW w:w="4531" w:type="dxa"/>
            <w:shd w:val="clear" w:color="auto" w:fill="auto"/>
          </w:tcPr>
          <w:p w14:paraId="671F018A" w14:textId="77777777" w:rsidR="004E0D3F" w:rsidRPr="00177B6D" w:rsidRDefault="004E0D3F" w:rsidP="004E0D3F">
            <w:pPr>
              <w:pStyle w:val="ENoteTableText"/>
            </w:pPr>
          </w:p>
        </w:tc>
      </w:tr>
      <w:tr w:rsidR="004E0D3F" w:rsidRPr="00177B6D" w14:paraId="4A8F26A8" w14:textId="77777777" w:rsidTr="007005E6">
        <w:trPr>
          <w:cantSplit/>
        </w:trPr>
        <w:tc>
          <w:tcPr>
            <w:tcW w:w="2551" w:type="dxa"/>
            <w:shd w:val="clear" w:color="auto" w:fill="auto"/>
          </w:tcPr>
          <w:p w14:paraId="0DB7F104" w14:textId="77777777" w:rsidR="004E0D3F" w:rsidRPr="00177B6D" w:rsidRDefault="002774D6" w:rsidP="002774D6">
            <w:pPr>
              <w:pStyle w:val="ENoteTableText"/>
              <w:tabs>
                <w:tab w:val="center" w:leader="dot" w:pos="2268"/>
              </w:tabs>
            </w:pPr>
            <w:r w:rsidRPr="00177B6D">
              <w:t>s</w:t>
            </w:r>
            <w:r w:rsidR="004E0D3F" w:rsidRPr="00177B6D">
              <w:t xml:space="preserve"> 1</w:t>
            </w:r>
            <w:r w:rsidR="004E0D3F" w:rsidRPr="00177B6D">
              <w:tab/>
            </w:r>
          </w:p>
        </w:tc>
        <w:tc>
          <w:tcPr>
            <w:tcW w:w="4531" w:type="dxa"/>
            <w:shd w:val="clear" w:color="auto" w:fill="auto"/>
          </w:tcPr>
          <w:p w14:paraId="64A5DFFF" w14:textId="77777777" w:rsidR="004E0D3F" w:rsidRPr="00177B6D" w:rsidRDefault="004E0D3F" w:rsidP="004E0D3F">
            <w:pPr>
              <w:pStyle w:val="ENoteTableText"/>
            </w:pPr>
            <w:r w:rsidRPr="00177B6D">
              <w:t>am No</w:t>
            </w:r>
            <w:r w:rsidR="009163ED" w:rsidRPr="00177B6D">
              <w:t> </w:t>
            </w:r>
            <w:r w:rsidRPr="00177B6D">
              <w:t>183, 1999; No</w:t>
            </w:r>
            <w:r w:rsidR="009163ED" w:rsidRPr="00177B6D">
              <w:t> </w:t>
            </w:r>
            <w:r w:rsidRPr="00177B6D">
              <w:t>179, 2012</w:t>
            </w:r>
          </w:p>
        </w:tc>
      </w:tr>
      <w:tr w:rsidR="004E0D3F" w:rsidRPr="00177B6D" w14:paraId="240E20F8" w14:textId="77777777" w:rsidTr="007005E6">
        <w:trPr>
          <w:cantSplit/>
        </w:trPr>
        <w:tc>
          <w:tcPr>
            <w:tcW w:w="2551" w:type="dxa"/>
            <w:shd w:val="clear" w:color="auto" w:fill="auto"/>
          </w:tcPr>
          <w:p w14:paraId="70CADFE2" w14:textId="77777777" w:rsidR="004E0D3F" w:rsidRPr="00177B6D" w:rsidRDefault="002774D6" w:rsidP="002774D6">
            <w:pPr>
              <w:pStyle w:val="ENoteTableText"/>
              <w:tabs>
                <w:tab w:val="center" w:leader="dot" w:pos="2268"/>
              </w:tabs>
            </w:pPr>
            <w:r w:rsidRPr="00177B6D">
              <w:t>s</w:t>
            </w:r>
            <w:r w:rsidR="004E0D3F" w:rsidRPr="00177B6D">
              <w:t xml:space="preserve"> 2A</w:t>
            </w:r>
            <w:r w:rsidR="004E0D3F" w:rsidRPr="00177B6D">
              <w:tab/>
            </w:r>
          </w:p>
        </w:tc>
        <w:tc>
          <w:tcPr>
            <w:tcW w:w="4531" w:type="dxa"/>
            <w:shd w:val="clear" w:color="auto" w:fill="auto"/>
          </w:tcPr>
          <w:p w14:paraId="31FBCDAD" w14:textId="77777777" w:rsidR="004E0D3F" w:rsidRPr="00177B6D" w:rsidRDefault="004E0D3F" w:rsidP="004E0D3F">
            <w:pPr>
              <w:pStyle w:val="ENoteTableText"/>
            </w:pPr>
            <w:r w:rsidRPr="00177B6D">
              <w:t>ad No</w:t>
            </w:r>
            <w:r w:rsidR="009163ED" w:rsidRPr="00177B6D">
              <w:t> </w:t>
            </w:r>
            <w:r w:rsidRPr="00177B6D">
              <w:t>183, 1999</w:t>
            </w:r>
          </w:p>
        </w:tc>
      </w:tr>
      <w:tr w:rsidR="004E0D3F" w:rsidRPr="00177B6D" w14:paraId="220D86E8" w14:textId="77777777" w:rsidTr="007005E6">
        <w:trPr>
          <w:cantSplit/>
        </w:trPr>
        <w:tc>
          <w:tcPr>
            <w:tcW w:w="2551" w:type="dxa"/>
            <w:shd w:val="clear" w:color="auto" w:fill="auto"/>
          </w:tcPr>
          <w:p w14:paraId="4D1389A2" w14:textId="77777777" w:rsidR="004E0D3F" w:rsidRPr="00177B6D" w:rsidRDefault="004E0D3F" w:rsidP="004E0D3F">
            <w:pPr>
              <w:pStyle w:val="ENoteTableText"/>
            </w:pPr>
          </w:p>
        </w:tc>
        <w:tc>
          <w:tcPr>
            <w:tcW w:w="4531" w:type="dxa"/>
            <w:shd w:val="clear" w:color="auto" w:fill="auto"/>
          </w:tcPr>
          <w:p w14:paraId="0193E6E5" w14:textId="77777777" w:rsidR="004E0D3F" w:rsidRPr="00177B6D" w:rsidRDefault="004E0D3F" w:rsidP="004E0D3F">
            <w:pPr>
              <w:pStyle w:val="ENoteTableText"/>
            </w:pPr>
            <w:r w:rsidRPr="00177B6D">
              <w:t>rs No</w:t>
            </w:r>
            <w:r w:rsidR="009163ED" w:rsidRPr="00177B6D">
              <w:t> </w:t>
            </w:r>
            <w:r w:rsidRPr="00177B6D">
              <w:t>179, 2012</w:t>
            </w:r>
          </w:p>
        </w:tc>
      </w:tr>
      <w:tr w:rsidR="004E0D3F" w:rsidRPr="00177B6D" w14:paraId="7DE3BD4A" w14:textId="77777777" w:rsidTr="007005E6">
        <w:trPr>
          <w:cantSplit/>
        </w:trPr>
        <w:tc>
          <w:tcPr>
            <w:tcW w:w="2551" w:type="dxa"/>
            <w:shd w:val="clear" w:color="auto" w:fill="auto"/>
          </w:tcPr>
          <w:p w14:paraId="7BFD3018" w14:textId="77777777" w:rsidR="004E0D3F" w:rsidRPr="00177B6D" w:rsidRDefault="002774D6" w:rsidP="002774D6">
            <w:pPr>
              <w:pStyle w:val="ENoteTableText"/>
              <w:tabs>
                <w:tab w:val="center" w:leader="dot" w:pos="2268"/>
              </w:tabs>
            </w:pPr>
            <w:r w:rsidRPr="00177B6D">
              <w:t>s</w:t>
            </w:r>
            <w:r w:rsidR="004E0D3F" w:rsidRPr="00177B6D">
              <w:t xml:space="preserve"> 2B</w:t>
            </w:r>
            <w:r w:rsidR="004E0D3F" w:rsidRPr="00177B6D">
              <w:tab/>
            </w:r>
          </w:p>
        </w:tc>
        <w:tc>
          <w:tcPr>
            <w:tcW w:w="4531" w:type="dxa"/>
            <w:shd w:val="clear" w:color="auto" w:fill="auto"/>
          </w:tcPr>
          <w:p w14:paraId="3B2B0ECE" w14:textId="77777777" w:rsidR="004E0D3F" w:rsidRPr="00177B6D" w:rsidRDefault="004E0D3F" w:rsidP="004E0D3F">
            <w:pPr>
              <w:pStyle w:val="ENoteTableText"/>
            </w:pPr>
            <w:r w:rsidRPr="00177B6D">
              <w:t>ad No</w:t>
            </w:r>
            <w:r w:rsidR="009163ED" w:rsidRPr="00177B6D">
              <w:t> </w:t>
            </w:r>
            <w:r w:rsidRPr="00177B6D">
              <w:t>179, 2012</w:t>
            </w:r>
          </w:p>
        </w:tc>
      </w:tr>
      <w:tr w:rsidR="00C34586" w:rsidRPr="00177B6D" w14:paraId="3C8B7DAE" w14:textId="77777777" w:rsidTr="007005E6">
        <w:trPr>
          <w:cantSplit/>
        </w:trPr>
        <w:tc>
          <w:tcPr>
            <w:tcW w:w="2551" w:type="dxa"/>
            <w:shd w:val="clear" w:color="auto" w:fill="auto"/>
          </w:tcPr>
          <w:p w14:paraId="24E1B286" w14:textId="77777777" w:rsidR="00C34586" w:rsidRPr="00177B6D" w:rsidRDefault="00C34586" w:rsidP="002774D6">
            <w:pPr>
              <w:pStyle w:val="ENoteTableText"/>
              <w:tabs>
                <w:tab w:val="center" w:leader="dot" w:pos="2268"/>
              </w:tabs>
            </w:pPr>
          </w:p>
        </w:tc>
        <w:tc>
          <w:tcPr>
            <w:tcW w:w="4531" w:type="dxa"/>
            <w:shd w:val="clear" w:color="auto" w:fill="auto"/>
          </w:tcPr>
          <w:p w14:paraId="018A953A" w14:textId="58865CF4" w:rsidR="00C34586" w:rsidRPr="00177B6D" w:rsidRDefault="00C34586" w:rsidP="004E0D3F">
            <w:pPr>
              <w:pStyle w:val="ENoteTableText"/>
            </w:pPr>
            <w:r w:rsidRPr="00177B6D">
              <w:t>am No 18, 2023</w:t>
            </w:r>
            <w:r w:rsidR="00287437" w:rsidRPr="00177B6D">
              <w:t>; No 25, 2025</w:t>
            </w:r>
          </w:p>
        </w:tc>
      </w:tr>
      <w:tr w:rsidR="004E0D3F" w:rsidRPr="00177B6D" w14:paraId="4F0B1E42" w14:textId="77777777" w:rsidTr="007005E6">
        <w:trPr>
          <w:cantSplit/>
        </w:trPr>
        <w:tc>
          <w:tcPr>
            <w:tcW w:w="2551" w:type="dxa"/>
            <w:shd w:val="clear" w:color="auto" w:fill="auto"/>
          </w:tcPr>
          <w:p w14:paraId="4E614B1C" w14:textId="77777777" w:rsidR="004E0D3F" w:rsidRPr="00177B6D" w:rsidRDefault="002774D6" w:rsidP="002774D6">
            <w:pPr>
              <w:pStyle w:val="ENoteTableText"/>
              <w:tabs>
                <w:tab w:val="center" w:leader="dot" w:pos="2268"/>
              </w:tabs>
            </w:pPr>
            <w:r w:rsidRPr="00177B6D">
              <w:t>s</w:t>
            </w:r>
            <w:r w:rsidR="004E0D3F" w:rsidRPr="00177B6D">
              <w:t xml:space="preserve"> 3</w:t>
            </w:r>
            <w:r w:rsidR="004E0D3F" w:rsidRPr="00177B6D">
              <w:tab/>
            </w:r>
          </w:p>
        </w:tc>
        <w:tc>
          <w:tcPr>
            <w:tcW w:w="4531" w:type="dxa"/>
            <w:shd w:val="clear" w:color="auto" w:fill="auto"/>
          </w:tcPr>
          <w:p w14:paraId="058B60BE" w14:textId="1BB8036D" w:rsidR="004E0D3F" w:rsidRPr="00177B6D" w:rsidRDefault="004E0D3F" w:rsidP="008E475A">
            <w:pPr>
              <w:pStyle w:val="ENoteTableText"/>
            </w:pPr>
            <w:r w:rsidRPr="00177B6D">
              <w:t>am No 80</w:t>
            </w:r>
            <w:r w:rsidR="008E475A" w:rsidRPr="00177B6D">
              <w:t>, 1988; No</w:t>
            </w:r>
            <w:r w:rsidRPr="00177B6D">
              <w:t xml:space="preserve"> 87, 1988; No</w:t>
            </w:r>
            <w:r w:rsidR="009163ED" w:rsidRPr="00177B6D">
              <w:t> </w:t>
            </w:r>
            <w:r w:rsidRPr="00177B6D">
              <w:t>30, 1989; No 105</w:t>
            </w:r>
            <w:r w:rsidR="008E475A" w:rsidRPr="00177B6D">
              <w:t>, 1992; No</w:t>
            </w:r>
            <w:r w:rsidRPr="00177B6D">
              <w:t xml:space="preserve"> 181, 1992; No</w:t>
            </w:r>
            <w:r w:rsidR="009163ED" w:rsidRPr="00177B6D">
              <w:t> </w:t>
            </w:r>
            <w:r w:rsidRPr="00177B6D">
              <w:t>60, 1996; No</w:t>
            </w:r>
            <w:r w:rsidR="009163ED" w:rsidRPr="00177B6D">
              <w:t> </w:t>
            </w:r>
            <w:r w:rsidRPr="00177B6D">
              <w:t>183, 1999; No</w:t>
            </w:r>
            <w:r w:rsidR="009163ED" w:rsidRPr="00177B6D">
              <w:t> </w:t>
            </w:r>
            <w:r w:rsidRPr="00177B6D">
              <w:t>55, 2001; No 105</w:t>
            </w:r>
            <w:r w:rsidR="008E475A" w:rsidRPr="00177B6D">
              <w:t>, 2002; No</w:t>
            </w:r>
            <w:r w:rsidRPr="00177B6D">
              <w:t xml:space="preserve"> 127, 2002; No</w:t>
            </w:r>
            <w:r w:rsidR="009163ED" w:rsidRPr="00177B6D">
              <w:t> </w:t>
            </w:r>
            <w:r w:rsidRPr="00177B6D">
              <w:t>150, 2003; No</w:t>
            </w:r>
            <w:r w:rsidR="009163ED" w:rsidRPr="00177B6D">
              <w:t> </w:t>
            </w:r>
            <w:r w:rsidRPr="00177B6D">
              <w:t>54, 2009; No</w:t>
            </w:r>
            <w:r w:rsidR="009163ED" w:rsidRPr="00177B6D">
              <w:t> </w:t>
            </w:r>
            <w:r w:rsidRPr="00177B6D">
              <w:t>40, 2011; No</w:t>
            </w:r>
            <w:r w:rsidR="009163ED" w:rsidRPr="00177B6D">
              <w:t> </w:t>
            </w:r>
            <w:r w:rsidRPr="00177B6D">
              <w:t>179, 2012</w:t>
            </w:r>
            <w:r w:rsidR="00536792" w:rsidRPr="00177B6D">
              <w:t>; No 5, 2015</w:t>
            </w:r>
            <w:r w:rsidR="0023161B" w:rsidRPr="00177B6D">
              <w:t>; No 33, 2016</w:t>
            </w:r>
            <w:r w:rsidR="00160A95" w:rsidRPr="00177B6D">
              <w:t>; No 85, 2022</w:t>
            </w:r>
            <w:r w:rsidR="00C34586" w:rsidRPr="00177B6D">
              <w:t>; No 18, 2023</w:t>
            </w:r>
            <w:r w:rsidR="00287437" w:rsidRPr="00177B6D">
              <w:t>; No 25, 2025</w:t>
            </w:r>
          </w:p>
        </w:tc>
      </w:tr>
      <w:tr w:rsidR="0023161B" w:rsidRPr="00177B6D" w14:paraId="5E4EBA4E" w14:textId="77777777" w:rsidTr="007005E6">
        <w:trPr>
          <w:cantSplit/>
        </w:trPr>
        <w:tc>
          <w:tcPr>
            <w:tcW w:w="2551" w:type="dxa"/>
            <w:shd w:val="clear" w:color="auto" w:fill="auto"/>
          </w:tcPr>
          <w:p w14:paraId="78949D85" w14:textId="77777777" w:rsidR="0023161B" w:rsidRPr="00177B6D" w:rsidRDefault="0023161B" w:rsidP="002774D6">
            <w:pPr>
              <w:pStyle w:val="ENoteTableText"/>
              <w:tabs>
                <w:tab w:val="center" w:leader="dot" w:pos="2268"/>
              </w:tabs>
            </w:pPr>
            <w:r w:rsidRPr="00177B6D">
              <w:t>s 4</w:t>
            </w:r>
            <w:r w:rsidRPr="00177B6D">
              <w:tab/>
            </w:r>
          </w:p>
        </w:tc>
        <w:tc>
          <w:tcPr>
            <w:tcW w:w="4531" w:type="dxa"/>
            <w:shd w:val="clear" w:color="auto" w:fill="auto"/>
          </w:tcPr>
          <w:p w14:paraId="786BE575" w14:textId="77777777" w:rsidR="0023161B" w:rsidRPr="00177B6D" w:rsidRDefault="0023161B" w:rsidP="008E475A">
            <w:pPr>
              <w:pStyle w:val="ENoteTableText"/>
            </w:pPr>
            <w:r w:rsidRPr="00177B6D">
              <w:t>rep No 33, 2016</w:t>
            </w:r>
          </w:p>
        </w:tc>
      </w:tr>
      <w:tr w:rsidR="00160A95" w:rsidRPr="00177B6D" w14:paraId="43A42FA6" w14:textId="77777777" w:rsidTr="007005E6">
        <w:trPr>
          <w:cantSplit/>
        </w:trPr>
        <w:tc>
          <w:tcPr>
            <w:tcW w:w="2551" w:type="dxa"/>
            <w:shd w:val="clear" w:color="auto" w:fill="auto"/>
          </w:tcPr>
          <w:p w14:paraId="0D4E2578" w14:textId="77777777" w:rsidR="00160A95" w:rsidRPr="00177B6D" w:rsidRDefault="00160A95" w:rsidP="002774D6">
            <w:pPr>
              <w:pStyle w:val="ENoteTableText"/>
              <w:tabs>
                <w:tab w:val="center" w:leader="dot" w:pos="2268"/>
              </w:tabs>
            </w:pPr>
          </w:p>
        </w:tc>
        <w:tc>
          <w:tcPr>
            <w:tcW w:w="4531" w:type="dxa"/>
            <w:shd w:val="clear" w:color="auto" w:fill="auto"/>
          </w:tcPr>
          <w:p w14:paraId="0A002BFD" w14:textId="77777777" w:rsidR="00160A95" w:rsidRPr="00177B6D" w:rsidRDefault="00160A95" w:rsidP="008E475A">
            <w:pPr>
              <w:pStyle w:val="ENoteTableText"/>
            </w:pPr>
            <w:r w:rsidRPr="00177B6D">
              <w:t>ad No 85, 2022</w:t>
            </w:r>
          </w:p>
        </w:tc>
      </w:tr>
      <w:tr w:rsidR="00287437" w:rsidRPr="00177B6D" w14:paraId="67656C5B" w14:textId="77777777" w:rsidTr="007005E6">
        <w:trPr>
          <w:cantSplit/>
        </w:trPr>
        <w:tc>
          <w:tcPr>
            <w:tcW w:w="2551" w:type="dxa"/>
            <w:shd w:val="clear" w:color="auto" w:fill="auto"/>
          </w:tcPr>
          <w:p w14:paraId="775128CD" w14:textId="77777777" w:rsidR="00287437" w:rsidRPr="00177B6D" w:rsidRDefault="00287437" w:rsidP="002774D6">
            <w:pPr>
              <w:pStyle w:val="ENoteTableText"/>
              <w:tabs>
                <w:tab w:val="center" w:leader="dot" w:pos="2268"/>
              </w:tabs>
            </w:pPr>
          </w:p>
        </w:tc>
        <w:tc>
          <w:tcPr>
            <w:tcW w:w="4531" w:type="dxa"/>
            <w:shd w:val="clear" w:color="auto" w:fill="auto"/>
          </w:tcPr>
          <w:p w14:paraId="7F9738A7" w14:textId="6F41BAEF" w:rsidR="00287437" w:rsidRPr="00177B6D" w:rsidRDefault="00287437" w:rsidP="008E475A">
            <w:pPr>
              <w:pStyle w:val="ENoteTableText"/>
            </w:pPr>
            <w:r w:rsidRPr="00177B6D">
              <w:t>am No 25, 2025</w:t>
            </w:r>
          </w:p>
        </w:tc>
      </w:tr>
      <w:tr w:rsidR="00287437" w:rsidRPr="00177B6D" w14:paraId="3688F475" w14:textId="77777777" w:rsidTr="007005E6">
        <w:trPr>
          <w:cantSplit/>
        </w:trPr>
        <w:tc>
          <w:tcPr>
            <w:tcW w:w="2551" w:type="dxa"/>
            <w:shd w:val="clear" w:color="auto" w:fill="auto"/>
          </w:tcPr>
          <w:p w14:paraId="4C8E410B" w14:textId="660ECEB1" w:rsidR="00287437" w:rsidRPr="00177B6D" w:rsidRDefault="00287437" w:rsidP="002774D6">
            <w:pPr>
              <w:pStyle w:val="ENoteTableText"/>
              <w:tabs>
                <w:tab w:val="center" w:leader="dot" w:pos="2268"/>
              </w:tabs>
            </w:pPr>
            <w:r w:rsidRPr="00177B6D">
              <w:t>s 4A</w:t>
            </w:r>
            <w:r w:rsidRPr="00177B6D">
              <w:tab/>
            </w:r>
          </w:p>
        </w:tc>
        <w:tc>
          <w:tcPr>
            <w:tcW w:w="4531" w:type="dxa"/>
            <w:shd w:val="clear" w:color="auto" w:fill="auto"/>
          </w:tcPr>
          <w:p w14:paraId="086219EB" w14:textId="46FBA4AA" w:rsidR="00287437" w:rsidRPr="00177B6D" w:rsidRDefault="00287437" w:rsidP="008E475A">
            <w:pPr>
              <w:pStyle w:val="ENoteTableText"/>
            </w:pPr>
            <w:r w:rsidRPr="00177B6D">
              <w:t>ad No 25, 2025</w:t>
            </w:r>
          </w:p>
        </w:tc>
      </w:tr>
      <w:tr w:rsidR="004E0D3F" w:rsidRPr="00177B6D" w14:paraId="307B7F11" w14:textId="77777777" w:rsidTr="007005E6">
        <w:trPr>
          <w:cantSplit/>
        </w:trPr>
        <w:tc>
          <w:tcPr>
            <w:tcW w:w="2551" w:type="dxa"/>
            <w:shd w:val="clear" w:color="auto" w:fill="auto"/>
          </w:tcPr>
          <w:p w14:paraId="0CC4C9A0" w14:textId="77777777" w:rsidR="004E0D3F" w:rsidRPr="00177B6D" w:rsidRDefault="002774D6" w:rsidP="002774D6">
            <w:pPr>
              <w:pStyle w:val="ENoteTableText"/>
              <w:tabs>
                <w:tab w:val="center" w:leader="dot" w:pos="2268"/>
              </w:tabs>
            </w:pPr>
            <w:r w:rsidRPr="00177B6D">
              <w:t>s</w:t>
            </w:r>
            <w:r w:rsidR="004E0D3F" w:rsidRPr="00177B6D">
              <w:t xml:space="preserve"> 5</w:t>
            </w:r>
            <w:r w:rsidR="004E0D3F" w:rsidRPr="00177B6D">
              <w:tab/>
            </w:r>
          </w:p>
        </w:tc>
        <w:tc>
          <w:tcPr>
            <w:tcW w:w="4531" w:type="dxa"/>
            <w:shd w:val="clear" w:color="auto" w:fill="auto"/>
          </w:tcPr>
          <w:p w14:paraId="7477BC30" w14:textId="77777777" w:rsidR="004E0D3F" w:rsidRPr="00177B6D" w:rsidRDefault="004E0D3F" w:rsidP="004E0D3F">
            <w:pPr>
              <w:pStyle w:val="ENoteTableText"/>
            </w:pPr>
            <w:r w:rsidRPr="00177B6D">
              <w:t>am No</w:t>
            </w:r>
            <w:r w:rsidR="009163ED" w:rsidRPr="00177B6D">
              <w:t> </w:t>
            </w:r>
            <w:r w:rsidRPr="00177B6D">
              <w:t>105, 1992; No</w:t>
            </w:r>
            <w:r w:rsidR="009163ED" w:rsidRPr="00177B6D">
              <w:t> </w:t>
            </w:r>
            <w:r w:rsidRPr="00177B6D">
              <w:t>183, 1999; No</w:t>
            </w:r>
            <w:r w:rsidR="009163ED" w:rsidRPr="00177B6D">
              <w:t> </w:t>
            </w:r>
            <w:r w:rsidRPr="00177B6D">
              <w:t>179, 2012</w:t>
            </w:r>
            <w:r w:rsidR="00160A95" w:rsidRPr="00177B6D">
              <w:t>; No 85, 2022</w:t>
            </w:r>
          </w:p>
        </w:tc>
      </w:tr>
      <w:tr w:rsidR="004E0D3F" w:rsidRPr="00177B6D" w14:paraId="1C219771" w14:textId="77777777" w:rsidTr="007005E6">
        <w:trPr>
          <w:cantSplit/>
        </w:trPr>
        <w:tc>
          <w:tcPr>
            <w:tcW w:w="2551" w:type="dxa"/>
            <w:shd w:val="clear" w:color="auto" w:fill="auto"/>
          </w:tcPr>
          <w:p w14:paraId="0CC66BF2" w14:textId="77777777" w:rsidR="004E0D3F" w:rsidRPr="00177B6D" w:rsidRDefault="002774D6" w:rsidP="002774D6">
            <w:pPr>
              <w:pStyle w:val="ENoteTableText"/>
              <w:tabs>
                <w:tab w:val="center" w:leader="dot" w:pos="2268"/>
              </w:tabs>
            </w:pPr>
            <w:r w:rsidRPr="00177B6D">
              <w:t>s</w:t>
            </w:r>
            <w:r w:rsidR="00AB1AB5" w:rsidRPr="00177B6D">
              <w:t xml:space="preserve"> 5A</w:t>
            </w:r>
            <w:r w:rsidR="004E0D3F" w:rsidRPr="00177B6D">
              <w:tab/>
            </w:r>
          </w:p>
        </w:tc>
        <w:tc>
          <w:tcPr>
            <w:tcW w:w="4531" w:type="dxa"/>
            <w:shd w:val="clear" w:color="auto" w:fill="auto"/>
          </w:tcPr>
          <w:p w14:paraId="3327E24E" w14:textId="77777777" w:rsidR="004E0D3F" w:rsidRPr="00177B6D" w:rsidRDefault="004E0D3F" w:rsidP="004E0D3F">
            <w:pPr>
              <w:pStyle w:val="ENoteTableText"/>
            </w:pPr>
            <w:r w:rsidRPr="00177B6D">
              <w:t>ad No</w:t>
            </w:r>
            <w:r w:rsidR="009163ED" w:rsidRPr="00177B6D">
              <w:t> </w:t>
            </w:r>
            <w:r w:rsidRPr="00177B6D">
              <w:t>142, 2001</w:t>
            </w:r>
          </w:p>
        </w:tc>
      </w:tr>
      <w:tr w:rsidR="00160A95" w:rsidRPr="00177B6D" w14:paraId="67825602" w14:textId="77777777" w:rsidTr="007005E6">
        <w:trPr>
          <w:cantSplit/>
        </w:trPr>
        <w:tc>
          <w:tcPr>
            <w:tcW w:w="2551" w:type="dxa"/>
            <w:shd w:val="clear" w:color="auto" w:fill="auto"/>
          </w:tcPr>
          <w:p w14:paraId="4FBB7A01" w14:textId="77777777" w:rsidR="00160A95" w:rsidRPr="00177B6D" w:rsidRDefault="00160A95" w:rsidP="002774D6">
            <w:pPr>
              <w:pStyle w:val="ENoteTableText"/>
              <w:tabs>
                <w:tab w:val="center" w:leader="dot" w:pos="2268"/>
              </w:tabs>
            </w:pPr>
            <w:r w:rsidRPr="00177B6D">
              <w:t>s 5B</w:t>
            </w:r>
            <w:r w:rsidRPr="00177B6D">
              <w:tab/>
            </w:r>
          </w:p>
        </w:tc>
        <w:tc>
          <w:tcPr>
            <w:tcW w:w="4531" w:type="dxa"/>
            <w:shd w:val="clear" w:color="auto" w:fill="auto"/>
          </w:tcPr>
          <w:p w14:paraId="66445BCB" w14:textId="77777777" w:rsidR="00160A95" w:rsidRPr="00177B6D" w:rsidRDefault="00160A95" w:rsidP="004E0D3F">
            <w:pPr>
              <w:pStyle w:val="ENoteTableText"/>
            </w:pPr>
            <w:r w:rsidRPr="00177B6D">
              <w:t>ad No 85, 2022</w:t>
            </w:r>
          </w:p>
        </w:tc>
      </w:tr>
      <w:tr w:rsidR="004E0D3F" w:rsidRPr="00177B6D" w14:paraId="2C1A0662" w14:textId="77777777" w:rsidTr="007005E6">
        <w:trPr>
          <w:cantSplit/>
        </w:trPr>
        <w:tc>
          <w:tcPr>
            <w:tcW w:w="2551" w:type="dxa"/>
            <w:shd w:val="clear" w:color="auto" w:fill="auto"/>
          </w:tcPr>
          <w:p w14:paraId="0E2A6DB6" w14:textId="77777777" w:rsidR="004E0D3F" w:rsidRPr="00177B6D" w:rsidRDefault="004E0D3F" w:rsidP="002774D6">
            <w:pPr>
              <w:pStyle w:val="ENoteTableText"/>
              <w:tabs>
                <w:tab w:val="center" w:leader="dot" w:pos="2268"/>
              </w:tabs>
            </w:pPr>
            <w:r w:rsidRPr="00177B6D">
              <w:t>Part II</w:t>
            </w:r>
            <w:r w:rsidR="008E475A" w:rsidRPr="00177B6D">
              <w:t xml:space="preserve"> heading</w:t>
            </w:r>
            <w:r w:rsidRPr="00177B6D">
              <w:tab/>
            </w:r>
          </w:p>
        </w:tc>
        <w:tc>
          <w:tcPr>
            <w:tcW w:w="4531" w:type="dxa"/>
            <w:shd w:val="clear" w:color="auto" w:fill="auto"/>
          </w:tcPr>
          <w:p w14:paraId="0CBF9093" w14:textId="77777777" w:rsidR="004E0D3F" w:rsidRPr="00177B6D" w:rsidRDefault="004E0D3F" w:rsidP="004E0D3F">
            <w:pPr>
              <w:pStyle w:val="ENoteTableText"/>
            </w:pPr>
            <w:r w:rsidRPr="00177B6D">
              <w:t>rs No</w:t>
            </w:r>
            <w:r w:rsidR="009163ED" w:rsidRPr="00177B6D">
              <w:t> </w:t>
            </w:r>
            <w:r w:rsidRPr="00177B6D">
              <w:t>183, 1999</w:t>
            </w:r>
          </w:p>
        </w:tc>
      </w:tr>
      <w:tr w:rsidR="004E0D3F" w:rsidRPr="00177B6D" w14:paraId="48BF6DE7" w14:textId="77777777" w:rsidTr="007005E6">
        <w:trPr>
          <w:cantSplit/>
        </w:trPr>
        <w:tc>
          <w:tcPr>
            <w:tcW w:w="2551" w:type="dxa"/>
            <w:shd w:val="clear" w:color="auto" w:fill="auto"/>
          </w:tcPr>
          <w:p w14:paraId="7D73B32B" w14:textId="77777777" w:rsidR="004E0D3F" w:rsidRPr="00177B6D" w:rsidRDefault="004E0D3F" w:rsidP="004E0D3F">
            <w:pPr>
              <w:pStyle w:val="ENoteTableText"/>
            </w:pPr>
          </w:p>
        </w:tc>
        <w:tc>
          <w:tcPr>
            <w:tcW w:w="4531" w:type="dxa"/>
            <w:shd w:val="clear" w:color="auto" w:fill="auto"/>
          </w:tcPr>
          <w:p w14:paraId="5AAD6318" w14:textId="77777777" w:rsidR="004E0D3F" w:rsidRPr="00177B6D" w:rsidRDefault="004E0D3F" w:rsidP="004E0D3F">
            <w:pPr>
              <w:pStyle w:val="ENoteTableText"/>
            </w:pPr>
            <w:r w:rsidRPr="00177B6D">
              <w:t>rep No</w:t>
            </w:r>
            <w:r w:rsidR="009163ED" w:rsidRPr="00177B6D">
              <w:t> </w:t>
            </w:r>
            <w:r w:rsidRPr="00177B6D">
              <w:t>179, 2012</w:t>
            </w:r>
          </w:p>
        </w:tc>
      </w:tr>
      <w:tr w:rsidR="004E0D3F" w:rsidRPr="00177B6D" w14:paraId="40892F3B" w14:textId="77777777" w:rsidTr="007005E6">
        <w:trPr>
          <w:cantSplit/>
        </w:trPr>
        <w:tc>
          <w:tcPr>
            <w:tcW w:w="2551" w:type="dxa"/>
            <w:shd w:val="clear" w:color="auto" w:fill="auto"/>
          </w:tcPr>
          <w:p w14:paraId="72E81D1E" w14:textId="77777777" w:rsidR="004E0D3F" w:rsidRPr="00177B6D" w:rsidRDefault="004E0D3F" w:rsidP="002774D6">
            <w:pPr>
              <w:pStyle w:val="ENoteTableText"/>
              <w:tabs>
                <w:tab w:val="center" w:leader="dot" w:pos="2268"/>
              </w:tabs>
            </w:pPr>
            <w:r w:rsidRPr="00177B6D">
              <w:t>Part</w:t>
            </w:r>
            <w:r w:rsidR="002774D6" w:rsidRPr="00177B6D">
              <w:t> </w:t>
            </w:r>
            <w:r w:rsidRPr="00177B6D">
              <w:t>II</w:t>
            </w:r>
            <w:r w:rsidRPr="00177B6D">
              <w:tab/>
            </w:r>
          </w:p>
        </w:tc>
        <w:tc>
          <w:tcPr>
            <w:tcW w:w="4531" w:type="dxa"/>
            <w:shd w:val="clear" w:color="auto" w:fill="auto"/>
          </w:tcPr>
          <w:p w14:paraId="4DB1FECF" w14:textId="77777777" w:rsidR="004E0D3F" w:rsidRPr="00177B6D" w:rsidRDefault="004E0D3F" w:rsidP="004E0D3F">
            <w:pPr>
              <w:pStyle w:val="ENoteTableText"/>
            </w:pPr>
            <w:r w:rsidRPr="00177B6D">
              <w:t>rep No</w:t>
            </w:r>
            <w:r w:rsidR="009163ED" w:rsidRPr="00177B6D">
              <w:t> </w:t>
            </w:r>
            <w:r w:rsidRPr="00177B6D">
              <w:t>179, 2012</w:t>
            </w:r>
          </w:p>
        </w:tc>
      </w:tr>
      <w:tr w:rsidR="004E0D3F" w:rsidRPr="00177B6D" w14:paraId="7D93605E" w14:textId="77777777" w:rsidTr="007005E6">
        <w:trPr>
          <w:cantSplit/>
        </w:trPr>
        <w:tc>
          <w:tcPr>
            <w:tcW w:w="2551" w:type="dxa"/>
            <w:shd w:val="clear" w:color="auto" w:fill="auto"/>
          </w:tcPr>
          <w:p w14:paraId="69E5B0B7" w14:textId="77777777" w:rsidR="004E0D3F" w:rsidRPr="00177B6D" w:rsidRDefault="002774D6" w:rsidP="002774D6">
            <w:pPr>
              <w:pStyle w:val="ENoteTableText"/>
              <w:tabs>
                <w:tab w:val="center" w:leader="dot" w:pos="2268"/>
              </w:tabs>
            </w:pPr>
            <w:r w:rsidRPr="00177B6D">
              <w:t>s</w:t>
            </w:r>
            <w:r w:rsidR="004E0D3F" w:rsidRPr="00177B6D">
              <w:t xml:space="preserve"> 6</w:t>
            </w:r>
            <w:r w:rsidR="004E0D3F" w:rsidRPr="00177B6D">
              <w:tab/>
            </w:r>
          </w:p>
        </w:tc>
        <w:tc>
          <w:tcPr>
            <w:tcW w:w="4531" w:type="dxa"/>
            <w:shd w:val="clear" w:color="auto" w:fill="auto"/>
          </w:tcPr>
          <w:p w14:paraId="2BB944DB" w14:textId="77777777" w:rsidR="004E0D3F" w:rsidRPr="00177B6D" w:rsidRDefault="004E0D3F" w:rsidP="004E0D3F">
            <w:pPr>
              <w:pStyle w:val="ENoteTableText"/>
            </w:pPr>
            <w:r w:rsidRPr="00177B6D">
              <w:t>rs No</w:t>
            </w:r>
            <w:r w:rsidR="009163ED" w:rsidRPr="00177B6D">
              <w:t> </w:t>
            </w:r>
            <w:r w:rsidRPr="00177B6D">
              <w:t>183, 1999</w:t>
            </w:r>
          </w:p>
        </w:tc>
      </w:tr>
      <w:tr w:rsidR="004E0D3F" w:rsidRPr="00177B6D" w14:paraId="008ABB1A" w14:textId="77777777" w:rsidTr="007005E6">
        <w:trPr>
          <w:cantSplit/>
        </w:trPr>
        <w:tc>
          <w:tcPr>
            <w:tcW w:w="2551" w:type="dxa"/>
            <w:shd w:val="clear" w:color="auto" w:fill="auto"/>
          </w:tcPr>
          <w:p w14:paraId="19E4FC0C" w14:textId="77777777" w:rsidR="004E0D3F" w:rsidRPr="00177B6D" w:rsidRDefault="004E0D3F" w:rsidP="004E0D3F">
            <w:pPr>
              <w:pStyle w:val="ENoteTableText"/>
            </w:pPr>
          </w:p>
        </w:tc>
        <w:tc>
          <w:tcPr>
            <w:tcW w:w="4531" w:type="dxa"/>
            <w:shd w:val="clear" w:color="auto" w:fill="auto"/>
          </w:tcPr>
          <w:p w14:paraId="00A6229E" w14:textId="77777777" w:rsidR="004E0D3F" w:rsidRPr="00177B6D" w:rsidRDefault="004E0D3F" w:rsidP="004E0D3F">
            <w:pPr>
              <w:pStyle w:val="ENoteTableText"/>
            </w:pPr>
            <w:r w:rsidRPr="00177B6D">
              <w:t>rep No</w:t>
            </w:r>
            <w:r w:rsidR="009163ED" w:rsidRPr="00177B6D">
              <w:t> </w:t>
            </w:r>
            <w:r w:rsidRPr="00177B6D">
              <w:t>179, 2012</w:t>
            </w:r>
          </w:p>
        </w:tc>
      </w:tr>
      <w:tr w:rsidR="004E0D3F" w:rsidRPr="00177B6D" w14:paraId="4D1FF7C4" w14:textId="77777777" w:rsidTr="007005E6">
        <w:trPr>
          <w:cantSplit/>
        </w:trPr>
        <w:tc>
          <w:tcPr>
            <w:tcW w:w="2551" w:type="dxa"/>
            <w:shd w:val="clear" w:color="auto" w:fill="auto"/>
          </w:tcPr>
          <w:p w14:paraId="653894A8" w14:textId="77777777" w:rsidR="004E0D3F" w:rsidRPr="00177B6D" w:rsidRDefault="002774D6" w:rsidP="002774D6">
            <w:pPr>
              <w:pStyle w:val="ENoteTableText"/>
              <w:tabs>
                <w:tab w:val="center" w:leader="dot" w:pos="2268"/>
              </w:tabs>
            </w:pPr>
            <w:r w:rsidRPr="00177B6D">
              <w:t>s</w:t>
            </w:r>
            <w:r w:rsidR="004E0D3F" w:rsidRPr="00177B6D">
              <w:t xml:space="preserve"> 7</w:t>
            </w:r>
            <w:r w:rsidR="004E0D3F" w:rsidRPr="00177B6D">
              <w:tab/>
            </w:r>
          </w:p>
        </w:tc>
        <w:tc>
          <w:tcPr>
            <w:tcW w:w="4531" w:type="dxa"/>
            <w:shd w:val="clear" w:color="auto" w:fill="auto"/>
          </w:tcPr>
          <w:p w14:paraId="46ABEFEB" w14:textId="77777777" w:rsidR="004E0D3F" w:rsidRPr="00177B6D" w:rsidRDefault="004E0D3F" w:rsidP="004E0D3F">
            <w:pPr>
              <w:pStyle w:val="ENoteTableText"/>
            </w:pPr>
            <w:r w:rsidRPr="00177B6D">
              <w:t>am No</w:t>
            </w:r>
            <w:r w:rsidR="009163ED" w:rsidRPr="00177B6D">
              <w:t> </w:t>
            </w:r>
            <w:r w:rsidRPr="00177B6D">
              <w:t>30, 1989</w:t>
            </w:r>
          </w:p>
        </w:tc>
      </w:tr>
      <w:tr w:rsidR="004E0D3F" w:rsidRPr="00177B6D" w14:paraId="3F66A594" w14:textId="77777777" w:rsidTr="007005E6">
        <w:trPr>
          <w:cantSplit/>
        </w:trPr>
        <w:tc>
          <w:tcPr>
            <w:tcW w:w="2551" w:type="dxa"/>
            <w:shd w:val="clear" w:color="auto" w:fill="auto"/>
          </w:tcPr>
          <w:p w14:paraId="5E70FB89" w14:textId="77777777" w:rsidR="004E0D3F" w:rsidRPr="00177B6D" w:rsidRDefault="004E0D3F" w:rsidP="004E0D3F">
            <w:pPr>
              <w:pStyle w:val="ENoteTableText"/>
            </w:pPr>
          </w:p>
        </w:tc>
        <w:tc>
          <w:tcPr>
            <w:tcW w:w="4531" w:type="dxa"/>
            <w:shd w:val="clear" w:color="auto" w:fill="auto"/>
          </w:tcPr>
          <w:p w14:paraId="2F6E8EBD" w14:textId="77777777" w:rsidR="004E0D3F" w:rsidRPr="00177B6D" w:rsidRDefault="004E0D3F" w:rsidP="004E0D3F">
            <w:pPr>
              <w:pStyle w:val="ENoteTableText"/>
            </w:pPr>
            <w:r w:rsidRPr="00177B6D">
              <w:t>rep No</w:t>
            </w:r>
            <w:r w:rsidR="009163ED" w:rsidRPr="00177B6D">
              <w:t> </w:t>
            </w:r>
            <w:r w:rsidRPr="00177B6D">
              <w:t>183, 1999</w:t>
            </w:r>
          </w:p>
        </w:tc>
      </w:tr>
      <w:tr w:rsidR="004E0D3F" w:rsidRPr="00177B6D" w14:paraId="319219D5" w14:textId="77777777" w:rsidTr="007005E6">
        <w:trPr>
          <w:cantSplit/>
        </w:trPr>
        <w:tc>
          <w:tcPr>
            <w:tcW w:w="2551" w:type="dxa"/>
            <w:shd w:val="clear" w:color="auto" w:fill="auto"/>
          </w:tcPr>
          <w:p w14:paraId="5FEAEC17" w14:textId="77777777" w:rsidR="004E0D3F" w:rsidRPr="00177B6D" w:rsidRDefault="002774D6" w:rsidP="002774D6">
            <w:pPr>
              <w:pStyle w:val="ENoteTableText"/>
              <w:tabs>
                <w:tab w:val="center" w:leader="dot" w:pos="2268"/>
              </w:tabs>
            </w:pPr>
            <w:r w:rsidRPr="00177B6D">
              <w:t>s</w:t>
            </w:r>
            <w:r w:rsidR="004E0D3F" w:rsidRPr="00177B6D">
              <w:t xml:space="preserve"> 8</w:t>
            </w:r>
            <w:r w:rsidR="004E0D3F" w:rsidRPr="00177B6D">
              <w:tab/>
            </w:r>
          </w:p>
        </w:tc>
        <w:tc>
          <w:tcPr>
            <w:tcW w:w="4531" w:type="dxa"/>
            <w:shd w:val="clear" w:color="auto" w:fill="auto"/>
          </w:tcPr>
          <w:p w14:paraId="52701994" w14:textId="77777777" w:rsidR="004E0D3F" w:rsidRPr="00177B6D" w:rsidRDefault="004E0D3F" w:rsidP="004E0D3F">
            <w:pPr>
              <w:pStyle w:val="ENoteTableText"/>
            </w:pPr>
            <w:r w:rsidRPr="00177B6D">
              <w:t>rs No</w:t>
            </w:r>
            <w:r w:rsidR="009163ED" w:rsidRPr="00177B6D">
              <w:t> </w:t>
            </w:r>
            <w:r w:rsidRPr="00177B6D">
              <w:t>183, 1999</w:t>
            </w:r>
          </w:p>
        </w:tc>
      </w:tr>
      <w:tr w:rsidR="004E0D3F" w:rsidRPr="00177B6D" w14:paraId="521A4B20" w14:textId="77777777" w:rsidTr="007005E6">
        <w:trPr>
          <w:cantSplit/>
        </w:trPr>
        <w:tc>
          <w:tcPr>
            <w:tcW w:w="2551" w:type="dxa"/>
            <w:shd w:val="clear" w:color="auto" w:fill="auto"/>
          </w:tcPr>
          <w:p w14:paraId="4CF5DCC4" w14:textId="77777777" w:rsidR="004E0D3F" w:rsidRPr="00177B6D" w:rsidRDefault="004E0D3F" w:rsidP="004E0D3F">
            <w:pPr>
              <w:pStyle w:val="ENoteTableText"/>
            </w:pPr>
          </w:p>
        </w:tc>
        <w:tc>
          <w:tcPr>
            <w:tcW w:w="4531" w:type="dxa"/>
            <w:shd w:val="clear" w:color="auto" w:fill="auto"/>
          </w:tcPr>
          <w:p w14:paraId="0F23239F" w14:textId="77777777" w:rsidR="004E0D3F" w:rsidRPr="00177B6D" w:rsidRDefault="004E0D3F" w:rsidP="004E0D3F">
            <w:pPr>
              <w:pStyle w:val="ENoteTableText"/>
            </w:pPr>
            <w:r w:rsidRPr="00177B6D">
              <w:t>rep No</w:t>
            </w:r>
            <w:r w:rsidR="009163ED" w:rsidRPr="00177B6D">
              <w:t> </w:t>
            </w:r>
            <w:r w:rsidRPr="00177B6D">
              <w:t>179, 2012</w:t>
            </w:r>
          </w:p>
        </w:tc>
      </w:tr>
      <w:tr w:rsidR="004E0D3F" w:rsidRPr="00177B6D" w14:paraId="50DCFDAB" w14:textId="77777777" w:rsidTr="007005E6">
        <w:trPr>
          <w:cantSplit/>
        </w:trPr>
        <w:tc>
          <w:tcPr>
            <w:tcW w:w="2551" w:type="dxa"/>
            <w:shd w:val="clear" w:color="auto" w:fill="auto"/>
          </w:tcPr>
          <w:p w14:paraId="55C0E596" w14:textId="77777777" w:rsidR="004E0D3F" w:rsidRPr="00177B6D" w:rsidRDefault="004E0D3F" w:rsidP="00785161">
            <w:pPr>
              <w:pStyle w:val="ENoteTableText"/>
              <w:keepNext/>
            </w:pPr>
            <w:r w:rsidRPr="00177B6D">
              <w:rPr>
                <w:b/>
              </w:rPr>
              <w:lastRenderedPageBreak/>
              <w:t>Part</w:t>
            </w:r>
            <w:r w:rsidR="002774D6" w:rsidRPr="00177B6D">
              <w:rPr>
                <w:b/>
              </w:rPr>
              <w:t> </w:t>
            </w:r>
            <w:r w:rsidRPr="00177B6D">
              <w:rPr>
                <w:b/>
              </w:rPr>
              <w:t>III</w:t>
            </w:r>
          </w:p>
        </w:tc>
        <w:tc>
          <w:tcPr>
            <w:tcW w:w="4531" w:type="dxa"/>
            <w:shd w:val="clear" w:color="auto" w:fill="auto"/>
          </w:tcPr>
          <w:p w14:paraId="643498F6" w14:textId="77777777" w:rsidR="004E0D3F" w:rsidRPr="00177B6D" w:rsidRDefault="004E0D3F" w:rsidP="004E0D3F">
            <w:pPr>
              <w:pStyle w:val="ENoteTableText"/>
            </w:pPr>
          </w:p>
        </w:tc>
      </w:tr>
      <w:tr w:rsidR="004E0D3F" w:rsidRPr="00177B6D" w14:paraId="2696C6C5" w14:textId="77777777" w:rsidTr="007005E6">
        <w:trPr>
          <w:cantSplit/>
        </w:trPr>
        <w:tc>
          <w:tcPr>
            <w:tcW w:w="2551" w:type="dxa"/>
            <w:shd w:val="clear" w:color="auto" w:fill="auto"/>
          </w:tcPr>
          <w:p w14:paraId="48FC5CF7" w14:textId="77777777" w:rsidR="004E0D3F" w:rsidRPr="00177B6D" w:rsidRDefault="004E0D3F" w:rsidP="002774D6">
            <w:pPr>
              <w:pStyle w:val="ENoteTableText"/>
              <w:tabs>
                <w:tab w:val="center" w:leader="dot" w:pos="2268"/>
              </w:tabs>
            </w:pPr>
            <w:r w:rsidRPr="00177B6D">
              <w:t>Part III</w:t>
            </w:r>
            <w:r w:rsidR="008E475A" w:rsidRPr="00177B6D">
              <w:t xml:space="preserve"> heading</w:t>
            </w:r>
            <w:r w:rsidRPr="00177B6D">
              <w:tab/>
            </w:r>
          </w:p>
        </w:tc>
        <w:tc>
          <w:tcPr>
            <w:tcW w:w="4531" w:type="dxa"/>
            <w:shd w:val="clear" w:color="auto" w:fill="auto"/>
          </w:tcPr>
          <w:p w14:paraId="14875363" w14:textId="77777777" w:rsidR="004E0D3F" w:rsidRPr="00177B6D" w:rsidRDefault="004E0D3F" w:rsidP="004E0D3F">
            <w:pPr>
              <w:pStyle w:val="ENoteTableText"/>
            </w:pPr>
            <w:r w:rsidRPr="00177B6D">
              <w:t>rs No</w:t>
            </w:r>
            <w:r w:rsidR="009163ED" w:rsidRPr="00177B6D">
              <w:t> </w:t>
            </w:r>
            <w:r w:rsidRPr="00177B6D">
              <w:t>181, 1992; No</w:t>
            </w:r>
            <w:r w:rsidR="009163ED" w:rsidRPr="00177B6D">
              <w:t> </w:t>
            </w:r>
            <w:r w:rsidRPr="00177B6D">
              <w:t>183, 1999; No</w:t>
            </w:r>
            <w:r w:rsidR="009163ED" w:rsidRPr="00177B6D">
              <w:t> </w:t>
            </w:r>
            <w:r w:rsidRPr="00177B6D">
              <w:t>179, 2012</w:t>
            </w:r>
          </w:p>
        </w:tc>
      </w:tr>
      <w:tr w:rsidR="004E0D3F" w:rsidRPr="00177B6D" w14:paraId="60EF523B" w14:textId="77777777" w:rsidTr="007005E6">
        <w:trPr>
          <w:cantSplit/>
        </w:trPr>
        <w:tc>
          <w:tcPr>
            <w:tcW w:w="2551" w:type="dxa"/>
            <w:shd w:val="clear" w:color="auto" w:fill="auto"/>
          </w:tcPr>
          <w:p w14:paraId="01544A30" w14:textId="77777777" w:rsidR="004E0D3F" w:rsidRPr="00177B6D" w:rsidRDefault="002774D6" w:rsidP="002774D6">
            <w:pPr>
              <w:pStyle w:val="ENoteTableText"/>
              <w:tabs>
                <w:tab w:val="center" w:leader="dot" w:pos="2268"/>
              </w:tabs>
            </w:pPr>
            <w:r w:rsidRPr="00177B6D">
              <w:t>s</w:t>
            </w:r>
            <w:r w:rsidR="004E0D3F" w:rsidRPr="00177B6D">
              <w:t xml:space="preserve"> 8A</w:t>
            </w:r>
            <w:r w:rsidR="004E0D3F" w:rsidRPr="00177B6D">
              <w:tab/>
            </w:r>
          </w:p>
        </w:tc>
        <w:tc>
          <w:tcPr>
            <w:tcW w:w="4531" w:type="dxa"/>
            <w:shd w:val="clear" w:color="auto" w:fill="auto"/>
          </w:tcPr>
          <w:p w14:paraId="19AEC604" w14:textId="77777777" w:rsidR="004E0D3F" w:rsidRPr="00177B6D" w:rsidRDefault="004E0D3F" w:rsidP="004E0D3F">
            <w:pPr>
              <w:pStyle w:val="ENoteTableText"/>
            </w:pPr>
            <w:r w:rsidRPr="00177B6D">
              <w:t>ad No</w:t>
            </w:r>
            <w:r w:rsidR="009163ED" w:rsidRPr="00177B6D">
              <w:t> </w:t>
            </w:r>
            <w:r w:rsidRPr="00177B6D">
              <w:t>181, 1992</w:t>
            </w:r>
          </w:p>
        </w:tc>
      </w:tr>
      <w:tr w:rsidR="004E0D3F" w:rsidRPr="00177B6D" w14:paraId="7BFCAF75" w14:textId="77777777" w:rsidTr="007005E6">
        <w:trPr>
          <w:cantSplit/>
        </w:trPr>
        <w:tc>
          <w:tcPr>
            <w:tcW w:w="2551" w:type="dxa"/>
            <w:shd w:val="clear" w:color="auto" w:fill="auto"/>
          </w:tcPr>
          <w:p w14:paraId="5832916A" w14:textId="77777777" w:rsidR="004E0D3F" w:rsidRPr="00177B6D" w:rsidRDefault="004E0D3F" w:rsidP="004E0D3F">
            <w:pPr>
              <w:pStyle w:val="ENoteTableText"/>
            </w:pPr>
          </w:p>
        </w:tc>
        <w:tc>
          <w:tcPr>
            <w:tcW w:w="4531" w:type="dxa"/>
            <w:shd w:val="clear" w:color="auto" w:fill="auto"/>
          </w:tcPr>
          <w:p w14:paraId="270167ED" w14:textId="77777777" w:rsidR="004E0D3F" w:rsidRPr="00177B6D" w:rsidRDefault="004E0D3F" w:rsidP="004E0D3F">
            <w:pPr>
              <w:pStyle w:val="ENoteTableText"/>
            </w:pPr>
            <w:r w:rsidRPr="00177B6D">
              <w:t>am No</w:t>
            </w:r>
            <w:r w:rsidR="009163ED" w:rsidRPr="00177B6D">
              <w:t> </w:t>
            </w:r>
            <w:r w:rsidRPr="00177B6D">
              <w:t>183, 1999; No</w:t>
            </w:r>
            <w:r w:rsidR="009163ED" w:rsidRPr="00177B6D">
              <w:t> </w:t>
            </w:r>
            <w:r w:rsidRPr="00177B6D">
              <w:t>179, 2012</w:t>
            </w:r>
            <w:r w:rsidR="00F177E6" w:rsidRPr="00177B6D">
              <w:t>; No 62, 2014</w:t>
            </w:r>
            <w:r w:rsidR="00C34586" w:rsidRPr="00177B6D">
              <w:t>; No 18, 2023</w:t>
            </w:r>
          </w:p>
        </w:tc>
      </w:tr>
      <w:tr w:rsidR="004E0D3F" w:rsidRPr="00177B6D" w14:paraId="3B93E317" w14:textId="77777777" w:rsidTr="007005E6">
        <w:trPr>
          <w:cantSplit/>
        </w:trPr>
        <w:tc>
          <w:tcPr>
            <w:tcW w:w="2551" w:type="dxa"/>
            <w:shd w:val="clear" w:color="auto" w:fill="auto"/>
          </w:tcPr>
          <w:p w14:paraId="27E41CD5" w14:textId="77777777" w:rsidR="004E0D3F" w:rsidRPr="00177B6D" w:rsidRDefault="002774D6" w:rsidP="002774D6">
            <w:pPr>
              <w:pStyle w:val="ENoteTableText"/>
              <w:tabs>
                <w:tab w:val="center" w:leader="dot" w:pos="2268"/>
              </w:tabs>
            </w:pPr>
            <w:r w:rsidRPr="00177B6D">
              <w:t>s</w:t>
            </w:r>
            <w:r w:rsidR="004E0D3F" w:rsidRPr="00177B6D">
              <w:t xml:space="preserve"> 9</w:t>
            </w:r>
            <w:r w:rsidR="004E0D3F" w:rsidRPr="00177B6D">
              <w:tab/>
            </w:r>
          </w:p>
        </w:tc>
        <w:tc>
          <w:tcPr>
            <w:tcW w:w="4531" w:type="dxa"/>
            <w:shd w:val="clear" w:color="auto" w:fill="auto"/>
          </w:tcPr>
          <w:p w14:paraId="7532DEA2" w14:textId="77777777" w:rsidR="004E0D3F" w:rsidRPr="00177B6D" w:rsidRDefault="004E0D3F" w:rsidP="004E0D3F">
            <w:pPr>
              <w:pStyle w:val="ENoteTableText"/>
            </w:pPr>
            <w:r w:rsidRPr="00177B6D">
              <w:t>am No</w:t>
            </w:r>
            <w:r w:rsidR="009163ED" w:rsidRPr="00177B6D">
              <w:t> </w:t>
            </w:r>
            <w:r w:rsidRPr="00177B6D">
              <w:t>181, 1992; No</w:t>
            </w:r>
            <w:r w:rsidR="009163ED" w:rsidRPr="00177B6D">
              <w:t> </w:t>
            </w:r>
            <w:r w:rsidRPr="00177B6D">
              <w:t>183, 1999; No</w:t>
            </w:r>
            <w:r w:rsidR="009163ED" w:rsidRPr="00177B6D">
              <w:t> </w:t>
            </w:r>
            <w:r w:rsidRPr="00177B6D">
              <w:t>179, 2012</w:t>
            </w:r>
          </w:p>
        </w:tc>
      </w:tr>
      <w:tr w:rsidR="00FE6C5E" w:rsidRPr="00177B6D" w14:paraId="41B4F5B0" w14:textId="77777777" w:rsidTr="007005E6">
        <w:trPr>
          <w:cantSplit/>
        </w:trPr>
        <w:tc>
          <w:tcPr>
            <w:tcW w:w="2551" w:type="dxa"/>
            <w:shd w:val="clear" w:color="auto" w:fill="auto"/>
          </w:tcPr>
          <w:p w14:paraId="337BB51C" w14:textId="77777777" w:rsidR="00FE6C5E" w:rsidRPr="00177B6D" w:rsidRDefault="00FE6C5E" w:rsidP="002774D6">
            <w:pPr>
              <w:pStyle w:val="ENoteTableText"/>
              <w:tabs>
                <w:tab w:val="center" w:leader="dot" w:pos="2268"/>
              </w:tabs>
            </w:pPr>
          </w:p>
        </w:tc>
        <w:tc>
          <w:tcPr>
            <w:tcW w:w="4531" w:type="dxa"/>
            <w:shd w:val="clear" w:color="auto" w:fill="auto"/>
          </w:tcPr>
          <w:p w14:paraId="2BDFBF27" w14:textId="77777777" w:rsidR="00FE6C5E" w:rsidRPr="00177B6D" w:rsidRDefault="00FE6C5E" w:rsidP="004E0D3F">
            <w:pPr>
              <w:pStyle w:val="ENoteTableText"/>
            </w:pPr>
            <w:r w:rsidRPr="00177B6D">
              <w:t>rep No 18, 2023</w:t>
            </w:r>
          </w:p>
        </w:tc>
      </w:tr>
      <w:tr w:rsidR="004E0D3F" w:rsidRPr="00177B6D" w14:paraId="1D2B3FE3" w14:textId="77777777" w:rsidTr="007005E6">
        <w:trPr>
          <w:cantSplit/>
        </w:trPr>
        <w:tc>
          <w:tcPr>
            <w:tcW w:w="2551" w:type="dxa"/>
            <w:shd w:val="clear" w:color="auto" w:fill="auto"/>
          </w:tcPr>
          <w:p w14:paraId="56423575" w14:textId="77777777" w:rsidR="004E0D3F" w:rsidRPr="00177B6D" w:rsidRDefault="002774D6" w:rsidP="002774D6">
            <w:pPr>
              <w:pStyle w:val="ENoteTableText"/>
              <w:tabs>
                <w:tab w:val="center" w:leader="dot" w:pos="2268"/>
              </w:tabs>
            </w:pPr>
            <w:r w:rsidRPr="00177B6D">
              <w:t>s</w:t>
            </w:r>
            <w:r w:rsidR="004E0D3F" w:rsidRPr="00177B6D">
              <w:t xml:space="preserve"> 10</w:t>
            </w:r>
            <w:r w:rsidR="004E0D3F" w:rsidRPr="00177B6D">
              <w:tab/>
            </w:r>
          </w:p>
        </w:tc>
        <w:tc>
          <w:tcPr>
            <w:tcW w:w="4531" w:type="dxa"/>
            <w:shd w:val="clear" w:color="auto" w:fill="auto"/>
          </w:tcPr>
          <w:p w14:paraId="45099F26" w14:textId="77777777" w:rsidR="004E0D3F" w:rsidRPr="00177B6D" w:rsidRDefault="004E0D3F" w:rsidP="004E0D3F">
            <w:pPr>
              <w:pStyle w:val="ENoteTableText"/>
            </w:pPr>
            <w:r w:rsidRPr="00177B6D">
              <w:t>am No</w:t>
            </w:r>
            <w:r w:rsidR="009163ED" w:rsidRPr="00177B6D">
              <w:t> </w:t>
            </w:r>
            <w:r w:rsidRPr="00177B6D">
              <w:t>181, 1992; No</w:t>
            </w:r>
            <w:r w:rsidR="009163ED" w:rsidRPr="00177B6D">
              <w:t> </w:t>
            </w:r>
            <w:r w:rsidRPr="00177B6D">
              <w:t>183, 1999; No</w:t>
            </w:r>
            <w:r w:rsidR="009163ED" w:rsidRPr="00177B6D">
              <w:t> </w:t>
            </w:r>
            <w:r w:rsidRPr="00177B6D">
              <w:t>179, 2012</w:t>
            </w:r>
          </w:p>
        </w:tc>
      </w:tr>
      <w:tr w:rsidR="004E0D3F" w:rsidRPr="00177B6D" w14:paraId="41BBF4E1" w14:textId="77777777" w:rsidTr="007005E6">
        <w:trPr>
          <w:cantSplit/>
        </w:trPr>
        <w:tc>
          <w:tcPr>
            <w:tcW w:w="2551" w:type="dxa"/>
            <w:shd w:val="clear" w:color="auto" w:fill="auto"/>
          </w:tcPr>
          <w:p w14:paraId="1F3E9B18" w14:textId="77777777" w:rsidR="004E0D3F" w:rsidRPr="00177B6D" w:rsidRDefault="002774D6" w:rsidP="002774D6">
            <w:pPr>
              <w:pStyle w:val="ENoteTableText"/>
              <w:tabs>
                <w:tab w:val="center" w:leader="dot" w:pos="2268"/>
              </w:tabs>
            </w:pPr>
            <w:r w:rsidRPr="00177B6D">
              <w:t>s</w:t>
            </w:r>
            <w:r w:rsidR="004E0D3F" w:rsidRPr="00177B6D">
              <w:t xml:space="preserve"> 11</w:t>
            </w:r>
            <w:r w:rsidR="004E0D3F" w:rsidRPr="00177B6D">
              <w:tab/>
            </w:r>
          </w:p>
        </w:tc>
        <w:tc>
          <w:tcPr>
            <w:tcW w:w="4531" w:type="dxa"/>
            <w:shd w:val="clear" w:color="auto" w:fill="auto"/>
          </w:tcPr>
          <w:p w14:paraId="3FD0A0F7" w14:textId="77777777" w:rsidR="004E0D3F" w:rsidRPr="00177B6D" w:rsidRDefault="004E0D3F" w:rsidP="004E0D3F">
            <w:pPr>
              <w:pStyle w:val="ENoteTableText"/>
            </w:pPr>
            <w:r w:rsidRPr="00177B6D">
              <w:t>am No</w:t>
            </w:r>
            <w:r w:rsidR="009163ED" w:rsidRPr="00177B6D">
              <w:t> </w:t>
            </w:r>
            <w:r w:rsidRPr="00177B6D">
              <w:t>181, 1992</w:t>
            </w:r>
          </w:p>
        </w:tc>
      </w:tr>
      <w:tr w:rsidR="004E0D3F" w:rsidRPr="00177B6D" w14:paraId="55B4E7EE" w14:textId="77777777" w:rsidTr="007005E6">
        <w:trPr>
          <w:cantSplit/>
        </w:trPr>
        <w:tc>
          <w:tcPr>
            <w:tcW w:w="2551" w:type="dxa"/>
            <w:shd w:val="clear" w:color="auto" w:fill="auto"/>
          </w:tcPr>
          <w:p w14:paraId="62AE2AB6" w14:textId="77777777" w:rsidR="004E0D3F" w:rsidRPr="00177B6D" w:rsidRDefault="002774D6" w:rsidP="002774D6">
            <w:pPr>
              <w:pStyle w:val="ENoteTableText"/>
              <w:tabs>
                <w:tab w:val="center" w:leader="dot" w:pos="2268"/>
              </w:tabs>
            </w:pPr>
            <w:r w:rsidRPr="00177B6D">
              <w:t>s</w:t>
            </w:r>
            <w:r w:rsidR="004E0D3F" w:rsidRPr="00177B6D">
              <w:t xml:space="preserve"> 12</w:t>
            </w:r>
            <w:r w:rsidR="004E0D3F" w:rsidRPr="00177B6D">
              <w:tab/>
            </w:r>
          </w:p>
        </w:tc>
        <w:tc>
          <w:tcPr>
            <w:tcW w:w="4531" w:type="dxa"/>
            <w:shd w:val="clear" w:color="auto" w:fill="auto"/>
          </w:tcPr>
          <w:p w14:paraId="4EA97330" w14:textId="77777777" w:rsidR="004E0D3F" w:rsidRPr="00177B6D" w:rsidRDefault="004E0D3F" w:rsidP="004E0D3F">
            <w:pPr>
              <w:pStyle w:val="ENoteTableText"/>
            </w:pPr>
            <w:r w:rsidRPr="00177B6D">
              <w:t>am No</w:t>
            </w:r>
            <w:r w:rsidR="009163ED" w:rsidRPr="00177B6D">
              <w:t> </w:t>
            </w:r>
            <w:r w:rsidRPr="00177B6D">
              <w:t>181, 1992; No</w:t>
            </w:r>
            <w:r w:rsidR="009163ED" w:rsidRPr="00177B6D">
              <w:t> </w:t>
            </w:r>
            <w:r w:rsidRPr="00177B6D">
              <w:t>179, 2012</w:t>
            </w:r>
            <w:r w:rsidR="00F177E6" w:rsidRPr="00177B6D">
              <w:t>; No 62, 2014</w:t>
            </w:r>
            <w:r w:rsidR="00C34586" w:rsidRPr="00177B6D">
              <w:t>; No 18, 2023</w:t>
            </w:r>
          </w:p>
        </w:tc>
      </w:tr>
      <w:tr w:rsidR="004E0D3F" w:rsidRPr="00177B6D" w14:paraId="24A85997" w14:textId="77777777" w:rsidTr="007005E6">
        <w:trPr>
          <w:cantSplit/>
        </w:trPr>
        <w:tc>
          <w:tcPr>
            <w:tcW w:w="2551" w:type="dxa"/>
            <w:shd w:val="clear" w:color="auto" w:fill="auto"/>
          </w:tcPr>
          <w:p w14:paraId="18327A18" w14:textId="77777777" w:rsidR="004E0D3F" w:rsidRPr="00177B6D" w:rsidRDefault="004E0D3F" w:rsidP="008E475A">
            <w:pPr>
              <w:pStyle w:val="ENoteTableText"/>
              <w:keepNext/>
              <w:keepLines/>
            </w:pPr>
            <w:r w:rsidRPr="00177B6D">
              <w:rPr>
                <w:b/>
              </w:rPr>
              <w:t>Part</w:t>
            </w:r>
            <w:r w:rsidR="002774D6" w:rsidRPr="00177B6D">
              <w:rPr>
                <w:b/>
              </w:rPr>
              <w:t> </w:t>
            </w:r>
            <w:r w:rsidRPr="00177B6D">
              <w:rPr>
                <w:b/>
              </w:rPr>
              <w:t>IV</w:t>
            </w:r>
          </w:p>
        </w:tc>
        <w:tc>
          <w:tcPr>
            <w:tcW w:w="4531" w:type="dxa"/>
            <w:shd w:val="clear" w:color="auto" w:fill="auto"/>
          </w:tcPr>
          <w:p w14:paraId="63829C05" w14:textId="77777777" w:rsidR="004E0D3F" w:rsidRPr="00177B6D" w:rsidRDefault="004E0D3F" w:rsidP="008E475A">
            <w:pPr>
              <w:pStyle w:val="ENoteTableText"/>
              <w:keepNext/>
              <w:keepLines/>
            </w:pPr>
          </w:p>
        </w:tc>
      </w:tr>
      <w:tr w:rsidR="009E6FE6" w:rsidRPr="00177B6D" w14:paraId="696868AB" w14:textId="77777777" w:rsidTr="007005E6">
        <w:trPr>
          <w:cantSplit/>
        </w:trPr>
        <w:tc>
          <w:tcPr>
            <w:tcW w:w="2551" w:type="dxa"/>
            <w:shd w:val="clear" w:color="auto" w:fill="auto"/>
          </w:tcPr>
          <w:p w14:paraId="6C9ECAD7" w14:textId="142B5F48" w:rsidR="009E6FE6" w:rsidRPr="00177B6D" w:rsidRDefault="004A520A" w:rsidP="002774D6">
            <w:pPr>
              <w:pStyle w:val="ENoteTableText"/>
              <w:tabs>
                <w:tab w:val="center" w:leader="dot" w:pos="2268"/>
              </w:tabs>
              <w:rPr>
                <w:b/>
                <w:bCs/>
              </w:rPr>
            </w:pPr>
            <w:r>
              <w:rPr>
                <w:b/>
                <w:bCs/>
              </w:rPr>
              <w:t>Division 1</w:t>
            </w:r>
          </w:p>
        </w:tc>
        <w:tc>
          <w:tcPr>
            <w:tcW w:w="4531" w:type="dxa"/>
            <w:shd w:val="clear" w:color="auto" w:fill="auto"/>
          </w:tcPr>
          <w:p w14:paraId="22D89211" w14:textId="77777777" w:rsidR="009E6FE6" w:rsidRPr="00177B6D" w:rsidRDefault="009E6FE6" w:rsidP="004E0D3F">
            <w:pPr>
              <w:pStyle w:val="ENoteTableText"/>
            </w:pPr>
          </w:p>
        </w:tc>
      </w:tr>
      <w:tr w:rsidR="00287437" w:rsidRPr="00177B6D" w14:paraId="18D754B3" w14:textId="77777777" w:rsidTr="007005E6">
        <w:trPr>
          <w:cantSplit/>
        </w:trPr>
        <w:tc>
          <w:tcPr>
            <w:tcW w:w="2551" w:type="dxa"/>
            <w:shd w:val="clear" w:color="auto" w:fill="auto"/>
          </w:tcPr>
          <w:p w14:paraId="4D3D1C8A" w14:textId="2B2CDB5F" w:rsidR="00287437" w:rsidRPr="00177B6D" w:rsidRDefault="004A520A" w:rsidP="002774D6">
            <w:pPr>
              <w:pStyle w:val="ENoteTableText"/>
              <w:tabs>
                <w:tab w:val="center" w:leader="dot" w:pos="2268"/>
              </w:tabs>
            </w:pPr>
            <w:r>
              <w:t>Division 1</w:t>
            </w:r>
            <w:r w:rsidR="009E6FE6" w:rsidRPr="00177B6D">
              <w:t xml:space="preserve"> heading</w:t>
            </w:r>
            <w:r w:rsidR="009E6FE6" w:rsidRPr="00177B6D">
              <w:tab/>
            </w:r>
          </w:p>
        </w:tc>
        <w:tc>
          <w:tcPr>
            <w:tcW w:w="4531" w:type="dxa"/>
            <w:shd w:val="clear" w:color="auto" w:fill="auto"/>
          </w:tcPr>
          <w:p w14:paraId="3C7CBFD0" w14:textId="17EAF73A" w:rsidR="00287437" w:rsidRPr="00177B6D" w:rsidRDefault="009E6FE6" w:rsidP="004E0D3F">
            <w:pPr>
              <w:pStyle w:val="ENoteTableText"/>
            </w:pPr>
            <w:r w:rsidRPr="00177B6D">
              <w:t>ad No 25, 2025</w:t>
            </w:r>
          </w:p>
        </w:tc>
      </w:tr>
      <w:tr w:rsidR="004E0D3F" w:rsidRPr="00177B6D" w14:paraId="3AA52DD1" w14:textId="77777777" w:rsidTr="007005E6">
        <w:trPr>
          <w:cantSplit/>
        </w:trPr>
        <w:tc>
          <w:tcPr>
            <w:tcW w:w="2551" w:type="dxa"/>
            <w:shd w:val="clear" w:color="auto" w:fill="auto"/>
          </w:tcPr>
          <w:p w14:paraId="6981AD4D" w14:textId="77777777" w:rsidR="004E0D3F" w:rsidRPr="00177B6D" w:rsidRDefault="002774D6" w:rsidP="002774D6">
            <w:pPr>
              <w:pStyle w:val="ENoteTableText"/>
              <w:tabs>
                <w:tab w:val="center" w:leader="dot" w:pos="2268"/>
              </w:tabs>
            </w:pPr>
            <w:r w:rsidRPr="00177B6D">
              <w:t>s</w:t>
            </w:r>
            <w:r w:rsidR="004E0D3F" w:rsidRPr="00177B6D">
              <w:t xml:space="preserve"> 13</w:t>
            </w:r>
            <w:r w:rsidR="004E0D3F" w:rsidRPr="00177B6D">
              <w:tab/>
            </w:r>
          </w:p>
        </w:tc>
        <w:tc>
          <w:tcPr>
            <w:tcW w:w="4531" w:type="dxa"/>
            <w:shd w:val="clear" w:color="auto" w:fill="auto"/>
          </w:tcPr>
          <w:p w14:paraId="2EE24CB3" w14:textId="77777777" w:rsidR="004E0D3F" w:rsidRPr="00177B6D" w:rsidRDefault="004E0D3F" w:rsidP="004E0D3F">
            <w:pPr>
              <w:pStyle w:val="ENoteTableText"/>
            </w:pPr>
            <w:r w:rsidRPr="00177B6D">
              <w:t>am No</w:t>
            </w:r>
            <w:r w:rsidR="009163ED" w:rsidRPr="00177B6D">
              <w:t> </w:t>
            </w:r>
            <w:r w:rsidRPr="00177B6D">
              <w:t>30, 1989; No</w:t>
            </w:r>
            <w:r w:rsidR="009163ED" w:rsidRPr="00177B6D">
              <w:t> </w:t>
            </w:r>
            <w:r w:rsidRPr="00177B6D">
              <w:t>181, 1992</w:t>
            </w:r>
          </w:p>
        </w:tc>
      </w:tr>
      <w:tr w:rsidR="004E0D3F" w:rsidRPr="00177B6D" w14:paraId="6CB1FEBC" w14:textId="77777777" w:rsidTr="007005E6">
        <w:trPr>
          <w:cantSplit/>
        </w:trPr>
        <w:tc>
          <w:tcPr>
            <w:tcW w:w="2551" w:type="dxa"/>
            <w:shd w:val="clear" w:color="auto" w:fill="auto"/>
          </w:tcPr>
          <w:p w14:paraId="6DDB8D01" w14:textId="77777777" w:rsidR="004E0D3F" w:rsidRPr="00177B6D" w:rsidRDefault="004E0D3F" w:rsidP="004E0D3F">
            <w:pPr>
              <w:pStyle w:val="ENoteTableText"/>
            </w:pPr>
          </w:p>
        </w:tc>
        <w:tc>
          <w:tcPr>
            <w:tcW w:w="4531" w:type="dxa"/>
            <w:shd w:val="clear" w:color="auto" w:fill="auto"/>
          </w:tcPr>
          <w:p w14:paraId="1ABD56A7" w14:textId="77777777" w:rsidR="004E0D3F" w:rsidRPr="00177B6D" w:rsidRDefault="004E0D3F" w:rsidP="004E0D3F">
            <w:pPr>
              <w:pStyle w:val="ENoteTableText"/>
            </w:pPr>
            <w:r w:rsidRPr="00177B6D">
              <w:t>rs No</w:t>
            </w:r>
            <w:r w:rsidR="009163ED" w:rsidRPr="00177B6D">
              <w:t> </w:t>
            </w:r>
            <w:r w:rsidRPr="00177B6D">
              <w:t>183, 1999; No</w:t>
            </w:r>
            <w:r w:rsidR="009163ED" w:rsidRPr="00177B6D">
              <w:t> </w:t>
            </w:r>
            <w:r w:rsidRPr="00177B6D">
              <w:t>179, 2012</w:t>
            </w:r>
          </w:p>
        </w:tc>
      </w:tr>
      <w:tr w:rsidR="00160A95" w:rsidRPr="00177B6D" w14:paraId="64444DE8" w14:textId="77777777" w:rsidTr="007005E6">
        <w:trPr>
          <w:cantSplit/>
        </w:trPr>
        <w:tc>
          <w:tcPr>
            <w:tcW w:w="2551" w:type="dxa"/>
            <w:shd w:val="clear" w:color="auto" w:fill="auto"/>
          </w:tcPr>
          <w:p w14:paraId="038669BD" w14:textId="77777777" w:rsidR="00160A95" w:rsidRPr="00177B6D" w:rsidRDefault="00160A95" w:rsidP="004E0D3F">
            <w:pPr>
              <w:pStyle w:val="ENoteTableText"/>
            </w:pPr>
          </w:p>
        </w:tc>
        <w:tc>
          <w:tcPr>
            <w:tcW w:w="4531" w:type="dxa"/>
            <w:shd w:val="clear" w:color="auto" w:fill="auto"/>
          </w:tcPr>
          <w:p w14:paraId="56931974" w14:textId="71599350" w:rsidR="00160A95" w:rsidRPr="00177B6D" w:rsidRDefault="00160A95" w:rsidP="004E0D3F">
            <w:pPr>
              <w:pStyle w:val="ENoteTableText"/>
            </w:pPr>
            <w:r w:rsidRPr="00177B6D">
              <w:t>am No 85, 2022</w:t>
            </w:r>
            <w:r w:rsidR="00C34586" w:rsidRPr="00177B6D">
              <w:t>; No 18, 2023</w:t>
            </w:r>
            <w:r w:rsidR="009E6FE6" w:rsidRPr="00177B6D">
              <w:t>; No 25, 2025</w:t>
            </w:r>
          </w:p>
        </w:tc>
      </w:tr>
      <w:tr w:rsidR="004E0D3F" w:rsidRPr="00177B6D" w14:paraId="266F1031" w14:textId="77777777" w:rsidTr="007005E6">
        <w:trPr>
          <w:cantSplit/>
        </w:trPr>
        <w:tc>
          <w:tcPr>
            <w:tcW w:w="2551" w:type="dxa"/>
            <w:shd w:val="clear" w:color="auto" w:fill="auto"/>
          </w:tcPr>
          <w:p w14:paraId="2B6DA429" w14:textId="77777777" w:rsidR="004E0D3F" w:rsidRPr="00177B6D" w:rsidRDefault="002774D6" w:rsidP="002774D6">
            <w:pPr>
              <w:pStyle w:val="ENoteTableText"/>
              <w:tabs>
                <w:tab w:val="center" w:leader="dot" w:pos="2268"/>
              </w:tabs>
            </w:pPr>
            <w:r w:rsidRPr="00177B6D">
              <w:t>s</w:t>
            </w:r>
            <w:r w:rsidR="004E0D3F" w:rsidRPr="00177B6D">
              <w:t xml:space="preserve"> 13A</w:t>
            </w:r>
            <w:r w:rsidR="004E0D3F" w:rsidRPr="00177B6D">
              <w:tab/>
            </w:r>
          </w:p>
        </w:tc>
        <w:tc>
          <w:tcPr>
            <w:tcW w:w="4531" w:type="dxa"/>
            <w:shd w:val="clear" w:color="auto" w:fill="auto"/>
          </w:tcPr>
          <w:p w14:paraId="283F7B6F" w14:textId="77777777" w:rsidR="004E0D3F" w:rsidRPr="00177B6D" w:rsidRDefault="004E0D3F" w:rsidP="008E475A">
            <w:pPr>
              <w:pStyle w:val="ENoteTableText"/>
            </w:pPr>
            <w:r w:rsidRPr="00177B6D">
              <w:t>ad No</w:t>
            </w:r>
            <w:r w:rsidR="009163ED" w:rsidRPr="00177B6D">
              <w:t> </w:t>
            </w:r>
            <w:r w:rsidRPr="00177B6D">
              <w:t>181, 1992</w:t>
            </w:r>
          </w:p>
        </w:tc>
      </w:tr>
      <w:tr w:rsidR="004E0D3F" w:rsidRPr="00177B6D" w14:paraId="585F1A6C" w14:textId="77777777" w:rsidTr="007005E6">
        <w:trPr>
          <w:cantSplit/>
        </w:trPr>
        <w:tc>
          <w:tcPr>
            <w:tcW w:w="2551" w:type="dxa"/>
            <w:shd w:val="clear" w:color="auto" w:fill="auto"/>
          </w:tcPr>
          <w:p w14:paraId="0DCCEA7E" w14:textId="77777777" w:rsidR="004E0D3F" w:rsidRPr="00177B6D" w:rsidRDefault="004E0D3F" w:rsidP="004E0D3F">
            <w:pPr>
              <w:pStyle w:val="ENoteTableText"/>
            </w:pPr>
          </w:p>
        </w:tc>
        <w:tc>
          <w:tcPr>
            <w:tcW w:w="4531" w:type="dxa"/>
            <w:shd w:val="clear" w:color="auto" w:fill="auto"/>
          </w:tcPr>
          <w:p w14:paraId="094C8A37" w14:textId="77777777" w:rsidR="004E0D3F" w:rsidRPr="00177B6D" w:rsidRDefault="004E0D3F" w:rsidP="008E475A">
            <w:pPr>
              <w:pStyle w:val="ENoteTableText"/>
            </w:pPr>
            <w:r w:rsidRPr="00177B6D">
              <w:t>rs No</w:t>
            </w:r>
            <w:r w:rsidR="009163ED" w:rsidRPr="00177B6D">
              <w:t> </w:t>
            </w:r>
            <w:r w:rsidRPr="00177B6D">
              <w:t>183, 1999</w:t>
            </w:r>
          </w:p>
        </w:tc>
      </w:tr>
      <w:tr w:rsidR="004E0D3F" w:rsidRPr="00177B6D" w14:paraId="0F6427BF" w14:textId="77777777" w:rsidTr="007005E6">
        <w:trPr>
          <w:cantSplit/>
        </w:trPr>
        <w:tc>
          <w:tcPr>
            <w:tcW w:w="2551" w:type="dxa"/>
            <w:shd w:val="clear" w:color="auto" w:fill="auto"/>
          </w:tcPr>
          <w:p w14:paraId="53859526" w14:textId="77777777" w:rsidR="004E0D3F" w:rsidRPr="00177B6D" w:rsidRDefault="004E0D3F" w:rsidP="002774D6">
            <w:pPr>
              <w:pStyle w:val="ENoteTableText"/>
              <w:tabs>
                <w:tab w:val="center" w:leader="dot" w:pos="2268"/>
              </w:tabs>
            </w:pPr>
          </w:p>
        </w:tc>
        <w:tc>
          <w:tcPr>
            <w:tcW w:w="4531" w:type="dxa"/>
            <w:shd w:val="clear" w:color="auto" w:fill="auto"/>
          </w:tcPr>
          <w:p w14:paraId="46B7AC92" w14:textId="77777777" w:rsidR="004E0D3F" w:rsidRPr="00177B6D" w:rsidRDefault="004E0D3F" w:rsidP="008E475A">
            <w:pPr>
              <w:pStyle w:val="ENoteTableText"/>
            </w:pPr>
            <w:r w:rsidRPr="00177B6D">
              <w:t>a</w:t>
            </w:r>
            <w:r w:rsidR="008E475A" w:rsidRPr="00177B6D">
              <w:t>m</w:t>
            </w:r>
            <w:r w:rsidRPr="00177B6D">
              <w:t xml:space="preserve"> No</w:t>
            </w:r>
            <w:r w:rsidR="009163ED" w:rsidRPr="00177B6D">
              <w:t> </w:t>
            </w:r>
            <w:r w:rsidRPr="00177B6D">
              <w:t>179, 2012</w:t>
            </w:r>
            <w:r w:rsidR="00160A95" w:rsidRPr="00177B6D">
              <w:t>; No 85, 2022</w:t>
            </w:r>
          </w:p>
        </w:tc>
      </w:tr>
      <w:tr w:rsidR="004E0D3F" w:rsidRPr="00177B6D" w14:paraId="1B3DCD0A" w14:textId="77777777" w:rsidTr="007005E6">
        <w:trPr>
          <w:cantSplit/>
        </w:trPr>
        <w:tc>
          <w:tcPr>
            <w:tcW w:w="2551" w:type="dxa"/>
            <w:shd w:val="clear" w:color="auto" w:fill="auto"/>
          </w:tcPr>
          <w:p w14:paraId="1055818A" w14:textId="77777777" w:rsidR="004E0D3F" w:rsidRPr="00177B6D" w:rsidRDefault="002774D6" w:rsidP="002774D6">
            <w:pPr>
              <w:pStyle w:val="ENoteTableText"/>
              <w:tabs>
                <w:tab w:val="center" w:leader="dot" w:pos="2268"/>
              </w:tabs>
            </w:pPr>
            <w:r w:rsidRPr="00177B6D">
              <w:t>s</w:t>
            </w:r>
            <w:r w:rsidR="004E0D3F" w:rsidRPr="00177B6D">
              <w:t xml:space="preserve"> 13B</w:t>
            </w:r>
            <w:r w:rsidR="004E0D3F" w:rsidRPr="00177B6D">
              <w:tab/>
            </w:r>
          </w:p>
        </w:tc>
        <w:tc>
          <w:tcPr>
            <w:tcW w:w="4531" w:type="dxa"/>
            <w:shd w:val="clear" w:color="auto" w:fill="auto"/>
          </w:tcPr>
          <w:p w14:paraId="3B57329F" w14:textId="77777777" w:rsidR="004E0D3F" w:rsidRPr="00177B6D" w:rsidRDefault="004E0D3F" w:rsidP="004E0D3F">
            <w:pPr>
              <w:pStyle w:val="ENoteTableText"/>
            </w:pPr>
            <w:r w:rsidRPr="00177B6D">
              <w:t>ad No</w:t>
            </w:r>
            <w:r w:rsidR="009163ED" w:rsidRPr="00177B6D">
              <w:t> </w:t>
            </w:r>
            <w:r w:rsidRPr="00177B6D">
              <w:t>183, 1999</w:t>
            </w:r>
          </w:p>
        </w:tc>
      </w:tr>
      <w:tr w:rsidR="00160A95" w:rsidRPr="00177B6D" w14:paraId="49B89505" w14:textId="77777777" w:rsidTr="007005E6">
        <w:trPr>
          <w:cantSplit/>
        </w:trPr>
        <w:tc>
          <w:tcPr>
            <w:tcW w:w="2551" w:type="dxa"/>
            <w:shd w:val="clear" w:color="auto" w:fill="auto"/>
          </w:tcPr>
          <w:p w14:paraId="2CEFB2DB" w14:textId="77777777" w:rsidR="00160A95" w:rsidRPr="00177B6D" w:rsidRDefault="00160A95" w:rsidP="002774D6">
            <w:pPr>
              <w:pStyle w:val="ENoteTableText"/>
              <w:tabs>
                <w:tab w:val="center" w:leader="dot" w:pos="2268"/>
              </w:tabs>
            </w:pPr>
          </w:p>
        </w:tc>
        <w:tc>
          <w:tcPr>
            <w:tcW w:w="4531" w:type="dxa"/>
            <w:shd w:val="clear" w:color="auto" w:fill="auto"/>
          </w:tcPr>
          <w:p w14:paraId="02AD3435" w14:textId="77777777" w:rsidR="00160A95" w:rsidRPr="00177B6D" w:rsidRDefault="00160A95" w:rsidP="004E0D3F">
            <w:pPr>
              <w:pStyle w:val="ENoteTableText"/>
            </w:pPr>
            <w:r w:rsidRPr="00177B6D">
              <w:t>rs No 85, 2022</w:t>
            </w:r>
          </w:p>
        </w:tc>
      </w:tr>
      <w:tr w:rsidR="004E0D3F" w:rsidRPr="00177B6D" w14:paraId="0810D8CF" w14:textId="77777777" w:rsidTr="007005E6">
        <w:trPr>
          <w:cantSplit/>
        </w:trPr>
        <w:tc>
          <w:tcPr>
            <w:tcW w:w="2551" w:type="dxa"/>
            <w:shd w:val="clear" w:color="auto" w:fill="auto"/>
          </w:tcPr>
          <w:p w14:paraId="4939AA66" w14:textId="77777777" w:rsidR="004E0D3F" w:rsidRPr="00177B6D" w:rsidRDefault="002774D6" w:rsidP="002774D6">
            <w:pPr>
              <w:pStyle w:val="ENoteTableText"/>
              <w:tabs>
                <w:tab w:val="center" w:leader="dot" w:pos="2268"/>
              </w:tabs>
            </w:pPr>
            <w:r w:rsidRPr="00177B6D">
              <w:t>s</w:t>
            </w:r>
            <w:r w:rsidR="004E0D3F" w:rsidRPr="00177B6D">
              <w:t xml:space="preserve"> 13C</w:t>
            </w:r>
            <w:r w:rsidR="004E0D3F" w:rsidRPr="00177B6D">
              <w:tab/>
            </w:r>
          </w:p>
        </w:tc>
        <w:tc>
          <w:tcPr>
            <w:tcW w:w="4531" w:type="dxa"/>
            <w:shd w:val="clear" w:color="auto" w:fill="auto"/>
          </w:tcPr>
          <w:p w14:paraId="444AE3C5" w14:textId="77777777" w:rsidR="004E0D3F" w:rsidRPr="00177B6D" w:rsidRDefault="004E0D3F" w:rsidP="004E0D3F">
            <w:pPr>
              <w:pStyle w:val="ENoteTableText"/>
            </w:pPr>
            <w:r w:rsidRPr="00177B6D">
              <w:t>ad No</w:t>
            </w:r>
            <w:r w:rsidR="009163ED" w:rsidRPr="00177B6D">
              <w:t> </w:t>
            </w:r>
            <w:r w:rsidRPr="00177B6D">
              <w:t>183, 1999</w:t>
            </w:r>
          </w:p>
        </w:tc>
      </w:tr>
      <w:tr w:rsidR="004E0D3F" w:rsidRPr="00177B6D" w14:paraId="2744B21F" w14:textId="77777777" w:rsidTr="007005E6">
        <w:trPr>
          <w:cantSplit/>
        </w:trPr>
        <w:tc>
          <w:tcPr>
            <w:tcW w:w="2551" w:type="dxa"/>
            <w:shd w:val="clear" w:color="auto" w:fill="auto"/>
          </w:tcPr>
          <w:p w14:paraId="095A2151" w14:textId="77777777" w:rsidR="004E0D3F" w:rsidRPr="00177B6D" w:rsidRDefault="004E0D3F" w:rsidP="004E0D3F">
            <w:pPr>
              <w:pStyle w:val="ENoteTableText"/>
            </w:pPr>
          </w:p>
        </w:tc>
        <w:tc>
          <w:tcPr>
            <w:tcW w:w="4531" w:type="dxa"/>
            <w:shd w:val="clear" w:color="auto" w:fill="auto"/>
          </w:tcPr>
          <w:p w14:paraId="61BCE908" w14:textId="77777777" w:rsidR="004E0D3F" w:rsidRPr="00177B6D" w:rsidRDefault="004E0D3F" w:rsidP="004E0D3F">
            <w:pPr>
              <w:pStyle w:val="ENoteTableText"/>
            </w:pPr>
            <w:r w:rsidRPr="00177B6D">
              <w:t>rs No</w:t>
            </w:r>
            <w:r w:rsidR="009163ED" w:rsidRPr="00177B6D">
              <w:t> </w:t>
            </w:r>
            <w:r w:rsidRPr="00177B6D">
              <w:t>179, 2012</w:t>
            </w:r>
          </w:p>
        </w:tc>
      </w:tr>
      <w:tr w:rsidR="00F177E6" w:rsidRPr="00177B6D" w14:paraId="4A4C7D58" w14:textId="77777777" w:rsidTr="007005E6">
        <w:trPr>
          <w:cantSplit/>
        </w:trPr>
        <w:tc>
          <w:tcPr>
            <w:tcW w:w="2551" w:type="dxa"/>
            <w:shd w:val="clear" w:color="auto" w:fill="auto"/>
          </w:tcPr>
          <w:p w14:paraId="11721D6A" w14:textId="77777777" w:rsidR="00F177E6" w:rsidRPr="00177B6D" w:rsidRDefault="00F177E6" w:rsidP="004E0D3F">
            <w:pPr>
              <w:pStyle w:val="ENoteTableText"/>
            </w:pPr>
          </w:p>
        </w:tc>
        <w:tc>
          <w:tcPr>
            <w:tcW w:w="4531" w:type="dxa"/>
            <w:shd w:val="clear" w:color="auto" w:fill="auto"/>
          </w:tcPr>
          <w:p w14:paraId="61DF304A" w14:textId="77777777" w:rsidR="00F177E6" w:rsidRPr="00177B6D" w:rsidRDefault="00F177E6" w:rsidP="004E0D3F">
            <w:pPr>
              <w:pStyle w:val="ENoteTableText"/>
            </w:pPr>
            <w:r w:rsidRPr="00177B6D">
              <w:t>am No 62, 2014</w:t>
            </w:r>
            <w:r w:rsidR="00C34586" w:rsidRPr="00177B6D">
              <w:t>; No 18, 2023</w:t>
            </w:r>
          </w:p>
        </w:tc>
      </w:tr>
      <w:tr w:rsidR="004E0D3F" w:rsidRPr="00177B6D" w14:paraId="459654BF" w14:textId="77777777" w:rsidTr="007005E6">
        <w:trPr>
          <w:cantSplit/>
        </w:trPr>
        <w:tc>
          <w:tcPr>
            <w:tcW w:w="2551" w:type="dxa"/>
            <w:shd w:val="clear" w:color="auto" w:fill="auto"/>
          </w:tcPr>
          <w:p w14:paraId="73717979" w14:textId="77777777" w:rsidR="004E0D3F" w:rsidRPr="00177B6D" w:rsidRDefault="002774D6" w:rsidP="002774D6">
            <w:pPr>
              <w:pStyle w:val="ENoteTableText"/>
              <w:tabs>
                <w:tab w:val="center" w:leader="dot" w:pos="2268"/>
              </w:tabs>
            </w:pPr>
            <w:r w:rsidRPr="00177B6D">
              <w:t>s</w:t>
            </w:r>
            <w:r w:rsidR="004E0D3F" w:rsidRPr="00177B6D">
              <w:t xml:space="preserve"> 14</w:t>
            </w:r>
            <w:r w:rsidR="004E0D3F" w:rsidRPr="00177B6D">
              <w:tab/>
            </w:r>
          </w:p>
        </w:tc>
        <w:tc>
          <w:tcPr>
            <w:tcW w:w="4531" w:type="dxa"/>
            <w:shd w:val="clear" w:color="auto" w:fill="auto"/>
          </w:tcPr>
          <w:p w14:paraId="634E155C" w14:textId="77777777" w:rsidR="004E0D3F" w:rsidRPr="00177B6D" w:rsidRDefault="004E0D3F" w:rsidP="004E0D3F">
            <w:pPr>
              <w:pStyle w:val="ENoteTableText"/>
            </w:pPr>
            <w:r w:rsidRPr="00177B6D">
              <w:t>am No</w:t>
            </w:r>
            <w:r w:rsidR="009163ED" w:rsidRPr="00177B6D">
              <w:t> </w:t>
            </w:r>
            <w:r w:rsidRPr="00177B6D">
              <w:t>181, 1992</w:t>
            </w:r>
          </w:p>
        </w:tc>
      </w:tr>
      <w:tr w:rsidR="004E0D3F" w:rsidRPr="00177B6D" w14:paraId="543ED584" w14:textId="77777777" w:rsidTr="007005E6">
        <w:trPr>
          <w:cantSplit/>
        </w:trPr>
        <w:tc>
          <w:tcPr>
            <w:tcW w:w="2551" w:type="dxa"/>
            <w:shd w:val="clear" w:color="auto" w:fill="auto"/>
          </w:tcPr>
          <w:p w14:paraId="333DF390" w14:textId="77777777" w:rsidR="004E0D3F" w:rsidRPr="00177B6D" w:rsidRDefault="004E0D3F" w:rsidP="004E0D3F">
            <w:pPr>
              <w:pStyle w:val="ENoteTableText"/>
            </w:pPr>
          </w:p>
        </w:tc>
        <w:tc>
          <w:tcPr>
            <w:tcW w:w="4531" w:type="dxa"/>
            <w:shd w:val="clear" w:color="auto" w:fill="auto"/>
          </w:tcPr>
          <w:p w14:paraId="6AB59C6C" w14:textId="77777777" w:rsidR="004E0D3F" w:rsidRPr="00177B6D" w:rsidRDefault="004E0D3F" w:rsidP="004E0D3F">
            <w:pPr>
              <w:pStyle w:val="ENoteTableText"/>
            </w:pPr>
            <w:r w:rsidRPr="00177B6D">
              <w:t>rs No</w:t>
            </w:r>
            <w:r w:rsidR="009163ED" w:rsidRPr="00177B6D">
              <w:t> </w:t>
            </w:r>
            <w:r w:rsidRPr="00177B6D">
              <w:t>183, 1999; No</w:t>
            </w:r>
            <w:r w:rsidR="009163ED" w:rsidRPr="00177B6D">
              <w:t> </w:t>
            </w:r>
            <w:r w:rsidRPr="00177B6D">
              <w:t>179, 2012</w:t>
            </w:r>
          </w:p>
        </w:tc>
      </w:tr>
      <w:tr w:rsidR="00F177E6" w:rsidRPr="00177B6D" w14:paraId="2F9A44C5" w14:textId="77777777" w:rsidTr="007005E6">
        <w:trPr>
          <w:cantSplit/>
        </w:trPr>
        <w:tc>
          <w:tcPr>
            <w:tcW w:w="2551" w:type="dxa"/>
            <w:shd w:val="clear" w:color="auto" w:fill="auto"/>
          </w:tcPr>
          <w:p w14:paraId="09921394" w14:textId="77777777" w:rsidR="00F177E6" w:rsidRPr="00177B6D" w:rsidRDefault="00F177E6" w:rsidP="004E0D3F">
            <w:pPr>
              <w:pStyle w:val="ENoteTableText"/>
            </w:pPr>
          </w:p>
        </w:tc>
        <w:tc>
          <w:tcPr>
            <w:tcW w:w="4531" w:type="dxa"/>
            <w:shd w:val="clear" w:color="auto" w:fill="auto"/>
          </w:tcPr>
          <w:p w14:paraId="4405DA73" w14:textId="77777777" w:rsidR="00F177E6" w:rsidRPr="00177B6D" w:rsidRDefault="00F177E6" w:rsidP="004E0D3F">
            <w:pPr>
              <w:pStyle w:val="ENoteTableText"/>
            </w:pPr>
            <w:r w:rsidRPr="00177B6D">
              <w:t>am No 62, 2014</w:t>
            </w:r>
            <w:r w:rsidR="00C34586" w:rsidRPr="00177B6D">
              <w:t>; No 18, 2023</w:t>
            </w:r>
          </w:p>
        </w:tc>
      </w:tr>
      <w:tr w:rsidR="004E0D3F" w:rsidRPr="00177B6D" w14:paraId="3E0A29FB" w14:textId="77777777" w:rsidTr="007005E6">
        <w:trPr>
          <w:cantSplit/>
        </w:trPr>
        <w:tc>
          <w:tcPr>
            <w:tcW w:w="2551" w:type="dxa"/>
            <w:shd w:val="clear" w:color="auto" w:fill="auto"/>
          </w:tcPr>
          <w:p w14:paraId="4C4D0EFC" w14:textId="77777777" w:rsidR="004E0D3F" w:rsidRPr="00177B6D" w:rsidRDefault="002774D6" w:rsidP="002774D6">
            <w:pPr>
              <w:pStyle w:val="ENoteTableText"/>
              <w:tabs>
                <w:tab w:val="center" w:leader="dot" w:pos="2268"/>
              </w:tabs>
            </w:pPr>
            <w:r w:rsidRPr="00177B6D">
              <w:t>s</w:t>
            </w:r>
            <w:r w:rsidR="004E0D3F" w:rsidRPr="00177B6D">
              <w:t xml:space="preserve"> 14A</w:t>
            </w:r>
            <w:r w:rsidR="004E0D3F" w:rsidRPr="00177B6D">
              <w:tab/>
            </w:r>
          </w:p>
        </w:tc>
        <w:tc>
          <w:tcPr>
            <w:tcW w:w="4531" w:type="dxa"/>
            <w:shd w:val="clear" w:color="auto" w:fill="auto"/>
          </w:tcPr>
          <w:p w14:paraId="4344B615" w14:textId="77777777" w:rsidR="004E0D3F" w:rsidRPr="00177B6D" w:rsidRDefault="004E0D3F" w:rsidP="004E0D3F">
            <w:pPr>
              <w:pStyle w:val="ENoteTableText"/>
            </w:pPr>
            <w:r w:rsidRPr="00177B6D">
              <w:t>ad No</w:t>
            </w:r>
            <w:r w:rsidR="009163ED" w:rsidRPr="00177B6D">
              <w:t> </w:t>
            </w:r>
            <w:r w:rsidRPr="00177B6D">
              <w:t>179, 2012</w:t>
            </w:r>
          </w:p>
        </w:tc>
      </w:tr>
      <w:tr w:rsidR="00F177E6" w:rsidRPr="00177B6D" w14:paraId="0415E0CF" w14:textId="77777777" w:rsidTr="007005E6">
        <w:trPr>
          <w:cantSplit/>
        </w:trPr>
        <w:tc>
          <w:tcPr>
            <w:tcW w:w="2551" w:type="dxa"/>
            <w:shd w:val="clear" w:color="auto" w:fill="auto"/>
          </w:tcPr>
          <w:p w14:paraId="26F960AC" w14:textId="77777777" w:rsidR="00F177E6" w:rsidRPr="00177B6D" w:rsidRDefault="00F177E6" w:rsidP="002774D6">
            <w:pPr>
              <w:pStyle w:val="ENoteTableText"/>
              <w:tabs>
                <w:tab w:val="center" w:leader="dot" w:pos="2268"/>
              </w:tabs>
            </w:pPr>
          </w:p>
        </w:tc>
        <w:tc>
          <w:tcPr>
            <w:tcW w:w="4531" w:type="dxa"/>
            <w:shd w:val="clear" w:color="auto" w:fill="auto"/>
          </w:tcPr>
          <w:p w14:paraId="47FE5BD5" w14:textId="77777777" w:rsidR="00F177E6" w:rsidRPr="00177B6D" w:rsidRDefault="00F177E6" w:rsidP="004E0D3F">
            <w:pPr>
              <w:pStyle w:val="ENoteTableText"/>
            </w:pPr>
            <w:r w:rsidRPr="00177B6D">
              <w:t>am No 62, 2014</w:t>
            </w:r>
            <w:r w:rsidR="00C34586" w:rsidRPr="00177B6D">
              <w:t>; No 18, 2023</w:t>
            </w:r>
          </w:p>
        </w:tc>
      </w:tr>
      <w:tr w:rsidR="004E0D3F" w:rsidRPr="00177B6D" w14:paraId="2CA2C2C3" w14:textId="77777777" w:rsidTr="007005E6">
        <w:trPr>
          <w:cantSplit/>
        </w:trPr>
        <w:tc>
          <w:tcPr>
            <w:tcW w:w="2551" w:type="dxa"/>
            <w:shd w:val="clear" w:color="auto" w:fill="auto"/>
          </w:tcPr>
          <w:p w14:paraId="565E244A" w14:textId="77777777" w:rsidR="004E0D3F" w:rsidRPr="00177B6D" w:rsidRDefault="002774D6" w:rsidP="002774D6">
            <w:pPr>
              <w:pStyle w:val="ENoteTableText"/>
              <w:tabs>
                <w:tab w:val="center" w:leader="dot" w:pos="2268"/>
              </w:tabs>
            </w:pPr>
            <w:r w:rsidRPr="00177B6D">
              <w:t>s</w:t>
            </w:r>
            <w:r w:rsidR="004E0D3F" w:rsidRPr="00177B6D">
              <w:t xml:space="preserve"> 15</w:t>
            </w:r>
            <w:r w:rsidR="004E0D3F" w:rsidRPr="00177B6D">
              <w:tab/>
            </w:r>
          </w:p>
        </w:tc>
        <w:tc>
          <w:tcPr>
            <w:tcW w:w="4531" w:type="dxa"/>
            <w:shd w:val="clear" w:color="auto" w:fill="auto"/>
          </w:tcPr>
          <w:p w14:paraId="74A30279" w14:textId="77777777" w:rsidR="004E0D3F" w:rsidRPr="00177B6D" w:rsidRDefault="004E0D3F" w:rsidP="004E0D3F">
            <w:pPr>
              <w:pStyle w:val="ENoteTableText"/>
            </w:pPr>
            <w:r w:rsidRPr="00177B6D">
              <w:t>am No</w:t>
            </w:r>
            <w:r w:rsidR="009163ED" w:rsidRPr="00177B6D">
              <w:t> </w:t>
            </w:r>
            <w:r w:rsidRPr="00177B6D">
              <w:t>181, 1992; No</w:t>
            </w:r>
            <w:r w:rsidR="009163ED" w:rsidRPr="00177B6D">
              <w:t> </w:t>
            </w:r>
            <w:r w:rsidRPr="00177B6D">
              <w:t>179, 2012</w:t>
            </w:r>
            <w:r w:rsidR="00F177E6" w:rsidRPr="00177B6D">
              <w:t>; No 62, 2014</w:t>
            </w:r>
          </w:p>
        </w:tc>
      </w:tr>
      <w:tr w:rsidR="00C34586" w:rsidRPr="00177B6D" w14:paraId="75185BCF" w14:textId="77777777" w:rsidTr="007005E6">
        <w:trPr>
          <w:cantSplit/>
        </w:trPr>
        <w:tc>
          <w:tcPr>
            <w:tcW w:w="2551" w:type="dxa"/>
            <w:shd w:val="clear" w:color="auto" w:fill="auto"/>
          </w:tcPr>
          <w:p w14:paraId="7B166E68" w14:textId="77777777" w:rsidR="00C34586" w:rsidRPr="00177B6D" w:rsidRDefault="00C34586" w:rsidP="002774D6">
            <w:pPr>
              <w:pStyle w:val="ENoteTableText"/>
              <w:tabs>
                <w:tab w:val="center" w:leader="dot" w:pos="2268"/>
              </w:tabs>
            </w:pPr>
            <w:r w:rsidRPr="00177B6D">
              <w:t>s 15A</w:t>
            </w:r>
            <w:r w:rsidRPr="00177B6D">
              <w:tab/>
            </w:r>
          </w:p>
        </w:tc>
        <w:tc>
          <w:tcPr>
            <w:tcW w:w="4531" w:type="dxa"/>
            <w:shd w:val="clear" w:color="auto" w:fill="auto"/>
          </w:tcPr>
          <w:p w14:paraId="26967522" w14:textId="77777777" w:rsidR="00C34586" w:rsidRPr="00177B6D" w:rsidRDefault="00C34586" w:rsidP="004E0D3F">
            <w:pPr>
              <w:pStyle w:val="ENoteTableText"/>
            </w:pPr>
            <w:r w:rsidRPr="00177B6D">
              <w:t>ad No 18, 2023</w:t>
            </w:r>
          </w:p>
        </w:tc>
      </w:tr>
      <w:tr w:rsidR="004E0D3F" w:rsidRPr="00177B6D" w14:paraId="720CC408" w14:textId="77777777" w:rsidTr="007005E6">
        <w:trPr>
          <w:cantSplit/>
        </w:trPr>
        <w:tc>
          <w:tcPr>
            <w:tcW w:w="2551" w:type="dxa"/>
            <w:shd w:val="clear" w:color="auto" w:fill="auto"/>
          </w:tcPr>
          <w:p w14:paraId="428718D3" w14:textId="77777777" w:rsidR="004E0D3F" w:rsidRPr="00177B6D" w:rsidRDefault="002774D6" w:rsidP="002774D6">
            <w:pPr>
              <w:pStyle w:val="ENoteTableText"/>
              <w:tabs>
                <w:tab w:val="center" w:leader="dot" w:pos="2268"/>
              </w:tabs>
            </w:pPr>
            <w:r w:rsidRPr="00177B6D">
              <w:t>s</w:t>
            </w:r>
            <w:r w:rsidR="004E0D3F" w:rsidRPr="00177B6D">
              <w:t xml:space="preserve"> 16</w:t>
            </w:r>
            <w:r w:rsidR="004E0D3F" w:rsidRPr="00177B6D">
              <w:tab/>
            </w:r>
          </w:p>
        </w:tc>
        <w:tc>
          <w:tcPr>
            <w:tcW w:w="4531" w:type="dxa"/>
            <w:shd w:val="clear" w:color="auto" w:fill="auto"/>
          </w:tcPr>
          <w:p w14:paraId="53D01D9C" w14:textId="77777777" w:rsidR="004E0D3F" w:rsidRPr="00177B6D" w:rsidRDefault="004E0D3F" w:rsidP="004E0D3F">
            <w:pPr>
              <w:pStyle w:val="ENoteTableText"/>
            </w:pPr>
            <w:r w:rsidRPr="00177B6D">
              <w:t>am No</w:t>
            </w:r>
            <w:r w:rsidR="009163ED" w:rsidRPr="00177B6D">
              <w:t> </w:t>
            </w:r>
            <w:r w:rsidRPr="00177B6D">
              <w:t>181, 1992</w:t>
            </w:r>
          </w:p>
        </w:tc>
      </w:tr>
      <w:tr w:rsidR="004E0D3F" w:rsidRPr="00177B6D" w14:paraId="693D7686" w14:textId="77777777" w:rsidTr="007005E6">
        <w:trPr>
          <w:cantSplit/>
        </w:trPr>
        <w:tc>
          <w:tcPr>
            <w:tcW w:w="2551" w:type="dxa"/>
            <w:shd w:val="clear" w:color="auto" w:fill="auto"/>
          </w:tcPr>
          <w:p w14:paraId="6EC9695B" w14:textId="77777777" w:rsidR="004E0D3F" w:rsidRPr="00177B6D" w:rsidRDefault="004E0D3F" w:rsidP="004E0D3F">
            <w:pPr>
              <w:pStyle w:val="ENoteTableText"/>
            </w:pPr>
          </w:p>
        </w:tc>
        <w:tc>
          <w:tcPr>
            <w:tcW w:w="4531" w:type="dxa"/>
            <w:shd w:val="clear" w:color="auto" w:fill="auto"/>
          </w:tcPr>
          <w:p w14:paraId="3FDBAB0A" w14:textId="77777777" w:rsidR="004E0D3F" w:rsidRPr="00177B6D" w:rsidRDefault="004E0D3F" w:rsidP="004E0D3F">
            <w:pPr>
              <w:pStyle w:val="ENoteTableText"/>
            </w:pPr>
            <w:r w:rsidRPr="00177B6D">
              <w:t>rs No</w:t>
            </w:r>
            <w:r w:rsidR="009163ED" w:rsidRPr="00177B6D">
              <w:t> </w:t>
            </w:r>
            <w:r w:rsidRPr="00177B6D">
              <w:t>179, 2012</w:t>
            </w:r>
          </w:p>
        </w:tc>
      </w:tr>
      <w:tr w:rsidR="004E0D3F" w:rsidRPr="00177B6D" w14:paraId="0C79F8C5" w14:textId="77777777" w:rsidTr="007005E6">
        <w:trPr>
          <w:cantSplit/>
        </w:trPr>
        <w:tc>
          <w:tcPr>
            <w:tcW w:w="2551" w:type="dxa"/>
            <w:shd w:val="clear" w:color="auto" w:fill="auto"/>
          </w:tcPr>
          <w:p w14:paraId="75F8CEFD" w14:textId="77777777" w:rsidR="004E0D3F" w:rsidRPr="00177B6D" w:rsidRDefault="002774D6" w:rsidP="002774D6">
            <w:pPr>
              <w:pStyle w:val="ENoteTableText"/>
              <w:tabs>
                <w:tab w:val="center" w:leader="dot" w:pos="2268"/>
              </w:tabs>
            </w:pPr>
            <w:r w:rsidRPr="00177B6D">
              <w:t>s</w:t>
            </w:r>
            <w:r w:rsidR="004E0D3F" w:rsidRPr="00177B6D">
              <w:t xml:space="preserve"> 16A</w:t>
            </w:r>
            <w:r w:rsidR="004E0D3F" w:rsidRPr="00177B6D">
              <w:tab/>
            </w:r>
          </w:p>
        </w:tc>
        <w:tc>
          <w:tcPr>
            <w:tcW w:w="4531" w:type="dxa"/>
            <w:shd w:val="clear" w:color="auto" w:fill="auto"/>
          </w:tcPr>
          <w:p w14:paraId="6529B7B8" w14:textId="77777777" w:rsidR="004E0D3F" w:rsidRPr="00177B6D" w:rsidRDefault="004E0D3F" w:rsidP="004E0D3F">
            <w:pPr>
              <w:pStyle w:val="ENoteTableText"/>
            </w:pPr>
            <w:r w:rsidRPr="00177B6D">
              <w:t>ad No</w:t>
            </w:r>
            <w:r w:rsidR="009163ED" w:rsidRPr="00177B6D">
              <w:t> </w:t>
            </w:r>
            <w:r w:rsidRPr="00177B6D">
              <w:t>179, 2012</w:t>
            </w:r>
          </w:p>
        </w:tc>
      </w:tr>
      <w:tr w:rsidR="004E0D3F" w:rsidRPr="00177B6D" w14:paraId="6AC3E83F" w14:textId="77777777" w:rsidTr="007005E6">
        <w:trPr>
          <w:cantSplit/>
        </w:trPr>
        <w:tc>
          <w:tcPr>
            <w:tcW w:w="2551" w:type="dxa"/>
            <w:shd w:val="clear" w:color="auto" w:fill="auto"/>
          </w:tcPr>
          <w:p w14:paraId="3E4958C3" w14:textId="77777777" w:rsidR="004E0D3F" w:rsidRPr="00177B6D" w:rsidRDefault="002774D6" w:rsidP="002774D6">
            <w:pPr>
              <w:pStyle w:val="ENoteTableText"/>
              <w:tabs>
                <w:tab w:val="center" w:leader="dot" w:pos="2268"/>
              </w:tabs>
            </w:pPr>
            <w:r w:rsidRPr="00177B6D">
              <w:t>s</w:t>
            </w:r>
            <w:r w:rsidR="004E0D3F" w:rsidRPr="00177B6D">
              <w:t xml:space="preserve"> 16B</w:t>
            </w:r>
            <w:r w:rsidR="004E0D3F" w:rsidRPr="00177B6D">
              <w:tab/>
            </w:r>
          </w:p>
        </w:tc>
        <w:tc>
          <w:tcPr>
            <w:tcW w:w="4531" w:type="dxa"/>
            <w:shd w:val="clear" w:color="auto" w:fill="auto"/>
          </w:tcPr>
          <w:p w14:paraId="1EDEF75A" w14:textId="77777777" w:rsidR="004E0D3F" w:rsidRPr="00177B6D" w:rsidRDefault="004E0D3F" w:rsidP="004E0D3F">
            <w:pPr>
              <w:pStyle w:val="ENoteTableText"/>
            </w:pPr>
            <w:r w:rsidRPr="00177B6D">
              <w:t>ad No</w:t>
            </w:r>
            <w:r w:rsidR="009163ED" w:rsidRPr="00177B6D">
              <w:t> </w:t>
            </w:r>
            <w:r w:rsidRPr="00177B6D">
              <w:t>179, 2012</w:t>
            </w:r>
          </w:p>
        </w:tc>
      </w:tr>
      <w:tr w:rsidR="00C34586" w:rsidRPr="00177B6D" w14:paraId="605EFBB3" w14:textId="77777777" w:rsidTr="007005E6">
        <w:trPr>
          <w:cantSplit/>
        </w:trPr>
        <w:tc>
          <w:tcPr>
            <w:tcW w:w="2551" w:type="dxa"/>
            <w:shd w:val="clear" w:color="auto" w:fill="auto"/>
          </w:tcPr>
          <w:p w14:paraId="78B1ADB2" w14:textId="77777777" w:rsidR="00C34586" w:rsidRPr="00177B6D" w:rsidRDefault="00C34586" w:rsidP="002774D6">
            <w:pPr>
              <w:pStyle w:val="ENoteTableText"/>
              <w:tabs>
                <w:tab w:val="center" w:leader="dot" w:pos="2268"/>
              </w:tabs>
            </w:pPr>
            <w:r w:rsidRPr="00177B6D">
              <w:t>s 16C</w:t>
            </w:r>
            <w:r w:rsidRPr="00177B6D">
              <w:tab/>
            </w:r>
          </w:p>
        </w:tc>
        <w:tc>
          <w:tcPr>
            <w:tcW w:w="4531" w:type="dxa"/>
            <w:shd w:val="clear" w:color="auto" w:fill="auto"/>
          </w:tcPr>
          <w:p w14:paraId="53618CAF" w14:textId="77777777" w:rsidR="00C34586" w:rsidRPr="00177B6D" w:rsidRDefault="00C34586" w:rsidP="004E0D3F">
            <w:pPr>
              <w:pStyle w:val="ENoteTableText"/>
            </w:pPr>
            <w:r w:rsidRPr="00177B6D">
              <w:t>ad No 18, 2023</w:t>
            </w:r>
          </w:p>
        </w:tc>
      </w:tr>
      <w:tr w:rsidR="009E6FE6" w:rsidRPr="00177B6D" w14:paraId="313F5C61" w14:textId="77777777" w:rsidTr="007005E6">
        <w:trPr>
          <w:cantSplit/>
        </w:trPr>
        <w:tc>
          <w:tcPr>
            <w:tcW w:w="2551" w:type="dxa"/>
            <w:shd w:val="clear" w:color="auto" w:fill="auto"/>
          </w:tcPr>
          <w:p w14:paraId="4A7D3BC3" w14:textId="77777777" w:rsidR="009E6FE6" w:rsidRPr="00177B6D" w:rsidRDefault="009E6FE6" w:rsidP="002774D6">
            <w:pPr>
              <w:pStyle w:val="ENoteTableText"/>
              <w:tabs>
                <w:tab w:val="center" w:leader="dot" w:pos="2268"/>
              </w:tabs>
            </w:pPr>
          </w:p>
        </w:tc>
        <w:tc>
          <w:tcPr>
            <w:tcW w:w="4531" w:type="dxa"/>
            <w:shd w:val="clear" w:color="auto" w:fill="auto"/>
          </w:tcPr>
          <w:p w14:paraId="416A9769" w14:textId="0A966DD1" w:rsidR="009E6FE6" w:rsidRPr="00177B6D" w:rsidRDefault="009E6FE6" w:rsidP="004E0D3F">
            <w:pPr>
              <w:pStyle w:val="ENoteTableText"/>
            </w:pPr>
            <w:r w:rsidRPr="00177B6D">
              <w:t>am No 25, 2025</w:t>
            </w:r>
          </w:p>
        </w:tc>
      </w:tr>
      <w:tr w:rsidR="004E0D3F" w:rsidRPr="00177B6D" w14:paraId="4C5419EC" w14:textId="77777777" w:rsidTr="007005E6">
        <w:trPr>
          <w:cantSplit/>
        </w:trPr>
        <w:tc>
          <w:tcPr>
            <w:tcW w:w="2551" w:type="dxa"/>
            <w:shd w:val="clear" w:color="auto" w:fill="auto"/>
          </w:tcPr>
          <w:p w14:paraId="36EAF1F9" w14:textId="77777777" w:rsidR="004E0D3F" w:rsidRPr="00177B6D" w:rsidRDefault="002774D6" w:rsidP="002774D6">
            <w:pPr>
              <w:pStyle w:val="ENoteTableText"/>
              <w:tabs>
                <w:tab w:val="center" w:leader="dot" w:pos="2268"/>
              </w:tabs>
            </w:pPr>
            <w:r w:rsidRPr="00177B6D">
              <w:t>s</w:t>
            </w:r>
            <w:r w:rsidR="004E0D3F" w:rsidRPr="00177B6D">
              <w:t xml:space="preserve"> 17</w:t>
            </w:r>
            <w:r w:rsidR="004E0D3F" w:rsidRPr="00177B6D">
              <w:tab/>
            </w:r>
          </w:p>
        </w:tc>
        <w:tc>
          <w:tcPr>
            <w:tcW w:w="4531" w:type="dxa"/>
            <w:shd w:val="clear" w:color="auto" w:fill="auto"/>
          </w:tcPr>
          <w:p w14:paraId="6E519F2B" w14:textId="77777777" w:rsidR="004E0D3F" w:rsidRPr="00177B6D" w:rsidRDefault="004E0D3F" w:rsidP="004E0D3F">
            <w:pPr>
              <w:pStyle w:val="ENoteTableText"/>
            </w:pPr>
            <w:r w:rsidRPr="00177B6D">
              <w:t>am No</w:t>
            </w:r>
            <w:r w:rsidR="009163ED" w:rsidRPr="00177B6D">
              <w:t> </w:t>
            </w:r>
            <w:r w:rsidRPr="00177B6D">
              <w:t>181, 1992; No</w:t>
            </w:r>
            <w:r w:rsidR="009163ED" w:rsidRPr="00177B6D">
              <w:t> </w:t>
            </w:r>
            <w:r w:rsidRPr="00177B6D">
              <w:t>183, 1999; No</w:t>
            </w:r>
            <w:r w:rsidR="009163ED" w:rsidRPr="00177B6D">
              <w:t> </w:t>
            </w:r>
            <w:r w:rsidRPr="00177B6D">
              <w:t>144, 2001; No</w:t>
            </w:r>
            <w:r w:rsidR="009163ED" w:rsidRPr="00177B6D">
              <w:t> </w:t>
            </w:r>
            <w:r w:rsidRPr="00177B6D">
              <w:t>179, 2012</w:t>
            </w:r>
            <w:r w:rsidR="00160A95" w:rsidRPr="00177B6D">
              <w:t>; No 85, 2022</w:t>
            </w:r>
          </w:p>
        </w:tc>
      </w:tr>
      <w:tr w:rsidR="009E6FE6" w:rsidRPr="00177B6D" w14:paraId="1796C05E" w14:textId="77777777" w:rsidTr="007005E6">
        <w:trPr>
          <w:cantSplit/>
        </w:trPr>
        <w:tc>
          <w:tcPr>
            <w:tcW w:w="2551" w:type="dxa"/>
            <w:shd w:val="clear" w:color="auto" w:fill="auto"/>
          </w:tcPr>
          <w:p w14:paraId="7F640611" w14:textId="4E892D4C" w:rsidR="009E6FE6" w:rsidRPr="00177B6D" w:rsidRDefault="004A520A" w:rsidP="002774D6">
            <w:pPr>
              <w:pStyle w:val="ENoteTableText"/>
              <w:tabs>
                <w:tab w:val="center" w:leader="dot" w:pos="2268"/>
              </w:tabs>
              <w:rPr>
                <w:b/>
                <w:bCs/>
              </w:rPr>
            </w:pPr>
            <w:r>
              <w:rPr>
                <w:b/>
                <w:bCs/>
              </w:rPr>
              <w:t>Division 2</w:t>
            </w:r>
          </w:p>
        </w:tc>
        <w:tc>
          <w:tcPr>
            <w:tcW w:w="4531" w:type="dxa"/>
            <w:shd w:val="clear" w:color="auto" w:fill="auto"/>
          </w:tcPr>
          <w:p w14:paraId="3B49C1A6" w14:textId="77777777" w:rsidR="009E6FE6" w:rsidRPr="00177B6D" w:rsidRDefault="009E6FE6" w:rsidP="004E0D3F">
            <w:pPr>
              <w:pStyle w:val="ENoteTableText"/>
            </w:pPr>
          </w:p>
        </w:tc>
      </w:tr>
      <w:tr w:rsidR="009E6FE6" w:rsidRPr="00177B6D" w14:paraId="143951B1" w14:textId="77777777" w:rsidTr="007005E6">
        <w:trPr>
          <w:cantSplit/>
        </w:trPr>
        <w:tc>
          <w:tcPr>
            <w:tcW w:w="2551" w:type="dxa"/>
            <w:shd w:val="clear" w:color="auto" w:fill="auto"/>
          </w:tcPr>
          <w:p w14:paraId="74BDDCBD" w14:textId="1290A14B" w:rsidR="009E6FE6" w:rsidRPr="00177B6D" w:rsidRDefault="004A520A" w:rsidP="002774D6">
            <w:pPr>
              <w:pStyle w:val="ENoteTableText"/>
              <w:tabs>
                <w:tab w:val="center" w:leader="dot" w:pos="2268"/>
              </w:tabs>
            </w:pPr>
            <w:r>
              <w:t>Division 2</w:t>
            </w:r>
            <w:r w:rsidR="009E6FE6" w:rsidRPr="00177B6D">
              <w:tab/>
            </w:r>
          </w:p>
        </w:tc>
        <w:tc>
          <w:tcPr>
            <w:tcW w:w="4531" w:type="dxa"/>
            <w:shd w:val="clear" w:color="auto" w:fill="auto"/>
          </w:tcPr>
          <w:p w14:paraId="32CA4156" w14:textId="19783078" w:rsidR="009E6FE6" w:rsidRPr="00177B6D" w:rsidRDefault="009E6FE6" w:rsidP="004E0D3F">
            <w:pPr>
              <w:pStyle w:val="ENoteTableText"/>
            </w:pPr>
            <w:r w:rsidRPr="00177B6D">
              <w:t>ad No 25, 2025</w:t>
            </w:r>
          </w:p>
        </w:tc>
      </w:tr>
      <w:tr w:rsidR="009E6FE6" w:rsidRPr="00177B6D" w14:paraId="486F223B" w14:textId="77777777" w:rsidTr="007005E6">
        <w:trPr>
          <w:cantSplit/>
        </w:trPr>
        <w:tc>
          <w:tcPr>
            <w:tcW w:w="2551" w:type="dxa"/>
            <w:shd w:val="clear" w:color="auto" w:fill="auto"/>
          </w:tcPr>
          <w:p w14:paraId="04FDA108" w14:textId="15DDC462" w:rsidR="009E6FE6" w:rsidRPr="00177B6D" w:rsidRDefault="009E6FE6" w:rsidP="002774D6">
            <w:pPr>
              <w:pStyle w:val="ENoteTableText"/>
              <w:tabs>
                <w:tab w:val="center" w:leader="dot" w:pos="2268"/>
              </w:tabs>
            </w:pPr>
            <w:r w:rsidRPr="00177B6D">
              <w:t>s 17A</w:t>
            </w:r>
            <w:r w:rsidRPr="00177B6D">
              <w:tab/>
            </w:r>
          </w:p>
        </w:tc>
        <w:tc>
          <w:tcPr>
            <w:tcW w:w="4531" w:type="dxa"/>
            <w:shd w:val="clear" w:color="auto" w:fill="auto"/>
          </w:tcPr>
          <w:p w14:paraId="11175D9E" w14:textId="2A0B4C49" w:rsidR="009E6FE6" w:rsidRPr="00177B6D" w:rsidRDefault="009E6FE6" w:rsidP="004E0D3F">
            <w:pPr>
              <w:pStyle w:val="ENoteTableText"/>
            </w:pPr>
            <w:r w:rsidRPr="00177B6D">
              <w:t>ad No 25, 2025</w:t>
            </w:r>
          </w:p>
        </w:tc>
      </w:tr>
      <w:tr w:rsidR="009E6FE6" w:rsidRPr="00177B6D" w14:paraId="678919FC" w14:textId="77777777" w:rsidTr="007005E6">
        <w:trPr>
          <w:cantSplit/>
        </w:trPr>
        <w:tc>
          <w:tcPr>
            <w:tcW w:w="2551" w:type="dxa"/>
            <w:shd w:val="clear" w:color="auto" w:fill="auto"/>
          </w:tcPr>
          <w:p w14:paraId="7195F6FA" w14:textId="1294E080" w:rsidR="009E6FE6" w:rsidRPr="00177B6D" w:rsidRDefault="009E6FE6" w:rsidP="002774D6">
            <w:pPr>
              <w:pStyle w:val="ENoteTableText"/>
              <w:tabs>
                <w:tab w:val="center" w:leader="dot" w:pos="2268"/>
              </w:tabs>
            </w:pPr>
            <w:r w:rsidRPr="00177B6D">
              <w:t>s 17B</w:t>
            </w:r>
            <w:r w:rsidRPr="00177B6D">
              <w:tab/>
            </w:r>
          </w:p>
        </w:tc>
        <w:tc>
          <w:tcPr>
            <w:tcW w:w="4531" w:type="dxa"/>
            <w:shd w:val="clear" w:color="auto" w:fill="auto"/>
          </w:tcPr>
          <w:p w14:paraId="2130C883" w14:textId="50E8D0B6" w:rsidR="009E6FE6" w:rsidRPr="00177B6D" w:rsidRDefault="009E6FE6" w:rsidP="004E0D3F">
            <w:pPr>
              <w:pStyle w:val="ENoteTableText"/>
            </w:pPr>
            <w:r w:rsidRPr="00177B6D">
              <w:t>ad No 25, 2025</w:t>
            </w:r>
          </w:p>
        </w:tc>
      </w:tr>
      <w:tr w:rsidR="009E6FE6" w:rsidRPr="00177B6D" w14:paraId="6BC29EFE" w14:textId="77777777" w:rsidTr="007005E6">
        <w:trPr>
          <w:cantSplit/>
        </w:trPr>
        <w:tc>
          <w:tcPr>
            <w:tcW w:w="2551" w:type="dxa"/>
            <w:shd w:val="clear" w:color="auto" w:fill="auto"/>
          </w:tcPr>
          <w:p w14:paraId="1B531106" w14:textId="130E6C25" w:rsidR="009E6FE6" w:rsidRPr="00177B6D" w:rsidRDefault="009E6FE6" w:rsidP="002774D6">
            <w:pPr>
              <w:pStyle w:val="ENoteTableText"/>
              <w:tabs>
                <w:tab w:val="center" w:leader="dot" w:pos="2268"/>
              </w:tabs>
            </w:pPr>
            <w:r w:rsidRPr="00177B6D">
              <w:t>s 17C</w:t>
            </w:r>
            <w:r w:rsidRPr="00177B6D">
              <w:tab/>
            </w:r>
          </w:p>
        </w:tc>
        <w:tc>
          <w:tcPr>
            <w:tcW w:w="4531" w:type="dxa"/>
            <w:shd w:val="clear" w:color="auto" w:fill="auto"/>
          </w:tcPr>
          <w:p w14:paraId="5CC0CE99" w14:textId="1AE76C5D" w:rsidR="009E6FE6" w:rsidRPr="00177B6D" w:rsidRDefault="009E6FE6" w:rsidP="004E0D3F">
            <w:pPr>
              <w:pStyle w:val="ENoteTableText"/>
            </w:pPr>
            <w:r w:rsidRPr="00177B6D">
              <w:t>ad No 25, 2025</w:t>
            </w:r>
          </w:p>
        </w:tc>
      </w:tr>
      <w:tr w:rsidR="004E0D3F" w:rsidRPr="00177B6D" w14:paraId="6AFBA2ED" w14:textId="77777777" w:rsidTr="007005E6">
        <w:trPr>
          <w:cantSplit/>
        </w:trPr>
        <w:tc>
          <w:tcPr>
            <w:tcW w:w="2551" w:type="dxa"/>
            <w:shd w:val="clear" w:color="auto" w:fill="auto"/>
          </w:tcPr>
          <w:p w14:paraId="517362C0" w14:textId="77777777" w:rsidR="004E0D3F" w:rsidRPr="00177B6D" w:rsidRDefault="004E0D3F" w:rsidP="004E0D3F">
            <w:pPr>
              <w:pStyle w:val="ENoteTableText"/>
            </w:pPr>
            <w:r w:rsidRPr="00177B6D">
              <w:rPr>
                <w:b/>
              </w:rPr>
              <w:t>Part</w:t>
            </w:r>
            <w:r w:rsidR="002774D6" w:rsidRPr="00177B6D">
              <w:rPr>
                <w:b/>
              </w:rPr>
              <w:t> </w:t>
            </w:r>
            <w:r w:rsidRPr="00177B6D">
              <w:rPr>
                <w:b/>
              </w:rPr>
              <w:t>IVA</w:t>
            </w:r>
          </w:p>
        </w:tc>
        <w:tc>
          <w:tcPr>
            <w:tcW w:w="4531" w:type="dxa"/>
            <w:shd w:val="clear" w:color="auto" w:fill="auto"/>
          </w:tcPr>
          <w:p w14:paraId="52A04ECB" w14:textId="77777777" w:rsidR="004E0D3F" w:rsidRPr="00177B6D" w:rsidRDefault="004E0D3F" w:rsidP="004E0D3F">
            <w:pPr>
              <w:pStyle w:val="ENoteTableText"/>
            </w:pPr>
          </w:p>
        </w:tc>
      </w:tr>
      <w:tr w:rsidR="004E0D3F" w:rsidRPr="00177B6D" w14:paraId="067D2968" w14:textId="77777777" w:rsidTr="007005E6">
        <w:trPr>
          <w:cantSplit/>
        </w:trPr>
        <w:tc>
          <w:tcPr>
            <w:tcW w:w="2551" w:type="dxa"/>
            <w:shd w:val="clear" w:color="auto" w:fill="auto"/>
          </w:tcPr>
          <w:p w14:paraId="52A64E7D" w14:textId="77777777" w:rsidR="004E0D3F" w:rsidRPr="00177B6D" w:rsidRDefault="004E0D3F" w:rsidP="002774D6">
            <w:pPr>
              <w:pStyle w:val="ENoteTableText"/>
              <w:tabs>
                <w:tab w:val="center" w:leader="dot" w:pos="2268"/>
              </w:tabs>
            </w:pPr>
            <w:r w:rsidRPr="00177B6D">
              <w:t>Part</w:t>
            </w:r>
            <w:r w:rsidR="002774D6" w:rsidRPr="00177B6D">
              <w:t> </w:t>
            </w:r>
            <w:r w:rsidRPr="00177B6D">
              <w:t>IVA</w:t>
            </w:r>
            <w:r w:rsidRPr="00177B6D">
              <w:tab/>
            </w:r>
          </w:p>
        </w:tc>
        <w:tc>
          <w:tcPr>
            <w:tcW w:w="4531" w:type="dxa"/>
            <w:shd w:val="clear" w:color="auto" w:fill="auto"/>
          </w:tcPr>
          <w:p w14:paraId="511DFCEE" w14:textId="77777777" w:rsidR="004E0D3F" w:rsidRPr="00177B6D" w:rsidRDefault="004E0D3F" w:rsidP="004E0D3F">
            <w:pPr>
              <w:pStyle w:val="ENoteTableText"/>
            </w:pPr>
            <w:r w:rsidRPr="00177B6D">
              <w:t>ad No</w:t>
            </w:r>
            <w:r w:rsidR="009163ED" w:rsidRPr="00177B6D">
              <w:t> </w:t>
            </w:r>
            <w:r w:rsidRPr="00177B6D">
              <w:t>179, 2012</w:t>
            </w:r>
          </w:p>
        </w:tc>
      </w:tr>
      <w:tr w:rsidR="004E0D3F" w:rsidRPr="00177B6D" w14:paraId="07AEA909" w14:textId="77777777" w:rsidTr="007005E6">
        <w:trPr>
          <w:cantSplit/>
        </w:trPr>
        <w:tc>
          <w:tcPr>
            <w:tcW w:w="2551" w:type="dxa"/>
            <w:shd w:val="clear" w:color="auto" w:fill="auto"/>
          </w:tcPr>
          <w:p w14:paraId="0AAA2053" w14:textId="77777777" w:rsidR="004E0D3F" w:rsidRPr="00177B6D" w:rsidRDefault="002774D6" w:rsidP="002774D6">
            <w:pPr>
              <w:pStyle w:val="ENoteTableText"/>
              <w:tabs>
                <w:tab w:val="center" w:leader="dot" w:pos="2268"/>
              </w:tabs>
            </w:pPr>
            <w:r w:rsidRPr="00177B6D">
              <w:t>s</w:t>
            </w:r>
            <w:r w:rsidR="004E0D3F" w:rsidRPr="00177B6D">
              <w:t xml:space="preserve"> 18</w:t>
            </w:r>
            <w:r w:rsidR="004E0D3F" w:rsidRPr="00177B6D">
              <w:tab/>
            </w:r>
          </w:p>
        </w:tc>
        <w:tc>
          <w:tcPr>
            <w:tcW w:w="4531" w:type="dxa"/>
            <w:shd w:val="clear" w:color="auto" w:fill="auto"/>
          </w:tcPr>
          <w:p w14:paraId="3BA6C3B4" w14:textId="77777777" w:rsidR="004E0D3F" w:rsidRPr="00177B6D" w:rsidRDefault="004E0D3F" w:rsidP="004E0D3F">
            <w:pPr>
              <w:pStyle w:val="ENoteTableText"/>
            </w:pPr>
            <w:r w:rsidRPr="00177B6D">
              <w:t>am No</w:t>
            </w:r>
            <w:r w:rsidR="009163ED" w:rsidRPr="00177B6D">
              <w:t> </w:t>
            </w:r>
            <w:r w:rsidRPr="00177B6D">
              <w:t>181, 1992</w:t>
            </w:r>
          </w:p>
        </w:tc>
      </w:tr>
      <w:tr w:rsidR="004E0D3F" w:rsidRPr="00177B6D" w14:paraId="4F70A382" w14:textId="77777777" w:rsidTr="007005E6">
        <w:trPr>
          <w:cantSplit/>
        </w:trPr>
        <w:tc>
          <w:tcPr>
            <w:tcW w:w="2551" w:type="dxa"/>
            <w:shd w:val="clear" w:color="auto" w:fill="auto"/>
          </w:tcPr>
          <w:p w14:paraId="52976D2D" w14:textId="77777777" w:rsidR="004E0D3F" w:rsidRPr="00177B6D" w:rsidRDefault="004E0D3F" w:rsidP="004E0D3F">
            <w:pPr>
              <w:pStyle w:val="ENoteTableText"/>
            </w:pPr>
          </w:p>
        </w:tc>
        <w:tc>
          <w:tcPr>
            <w:tcW w:w="4531" w:type="dxa"/>
            <w:shd w:val="clear" w:color="auto" w:fill="auto"/>
          </w:tcPr>
          <w:p w14:paraId="164425F3" w14:textId="77777777" w:rsidR="004E0D3F" w:rsidRPr="00177B6D" w:rsidRDefault="004E0D3F" w:rsidP="004E0D3F">
            <w:pPr>
              <w:pStyle w:val="ENoteTableText"/>
            </w:pPr>
            <w:r w:rsidRPr="00177B6D">
              <w:t>rs No</w:t>
            </w:r>
            <w:r w:rsidR="009163ED" w:rsidRPr="00177B6D">
              <w:t> </w:t>
            </w:r>
            <w:r w:rsidRPr="00177B6D">
              <w:t>183, 1999; No</w:t>
            </w:r>
            <w:r w:rsidR="009163ED" w:rsidRPr="00177B6D">
              <w:t> </w:t>
            </w:r>
            <w:r w:rsidRPr="00177B6D">
              <w:t>179, 2012</w:t>
            </w:r>
          </w:p>
        </w:tc>
      </w:tr>
      <w:tr w:rsidR="00C34586" w:rsidRPr="00177B6D" w14:paraId="198C958A" w14:textId="77777777" w:rsidTr="007005E6">
        <w:trPr>
          <w:cantSplit/>
        </w:trPr>
        <w:tc>
          <w:tcPr>
            <w:tcW w:w="2551" w:type="dxa"/>
            <w:shd w:val="clear" w:color="auto" w:fill="auto"/>
          </w:tcPr>
          <w:p w14:paraId="2F3D8FF7" w14:textId="77777777" w:rsidR="00C34586" w:rsidRPr="00177B6D" w:rsidRDefault="00C34586" w:rsidP="004E0D3F">
            <w:pPr>
              <w:pStyle w:val="ENoteTableText"/>
            </w:pPr>
          </w:p>
        </w:tc>
        <w:tc>
          <w:tcPr>
            <w:tcW w:w="4531" w:type="dxa"/>
            <w:shd w:val="clear" w:color="auto" w:fill="auto"/>
          </w:tcPr>
          <w:p w14:paraId="67C8B31F" w14:textId="77777777" w:rsidR="00C34586" w:rsidRPr="00177B6D" w:rsidRDefault="00C34586" w:rsidP="004E0D3F">
            <w:pPr>
              <w:pStyle w:val="ENoteTableText"/>
            </w:pPr>
            <w:r w:rsidRPr="00177B6D">
              <w:t>am No 18, 2023</w:t>
            </w:r>
          </w:p>
        </w:tc>
      </w:tr>
      <w:tr w:rsidR="004E0D3F" w:rsidRPr="00177B6D" w14:paraId="0586B3E2" w14:textId="77777777" w:rsidTr="007005E6">
        <w:trPr>
          <w:cantSplit/>
        </w:trPr>
        <w:tc>
          <w:tcPr>
            <w:tcW w:w="2551" w:type="dxa"/>
            <w:shd w:val="clear" w:color="auto" w:fill="auto"/>
          </w:tcPr>
          <w:p w14:paraId="41518A7A" w14:textId="77777777" w:rsidR="004E0D3F" w:rsidRPr="00177B6D" w:rsidRDefault="002774D6" w:rsidP="002774D6">
            <w:pPr>
              <w:pStyle w:val="ENoteTableText"/>
              <w:tabs>
                <w:tab w:val="center" w:leader="dot" w:pos="2268"/>
              </w:tabs>
            </w:pPr>
            <w:r w:rsidRPr="00177B6D">
              <w:t>s</w:t>
            </w:r>
            <w:r w:rsidR="004E0D3F" w:rsidRPr="00177B6D">
              <w:t xml:space="preserve"> 19</w:t>
            </w:r>
            <w:r w:rsidR="004E0D3F" w:rsidRPr="00177B6D">
              <w:tab/>
            </w:r>
          </w:p>
        </w:tc>
        <w:tc>
          <w:tcPr>
            <w:tcW w:w="4531" w:type="dxa"/>
            <w:shd w:val="clear" w:color="auto" w:fill="auto"/>
          </w:tcPr>
          <w:p w14:paraId="703A3EC3" w14:textId="77777777" w:rsidR="004E0D3F" w:rsidRPr="00177B6D" w:rsidRDefault="004E0D3F" w:rsidP="004E0D3F">
            <w:pPr>
              <w:pStyle w:val="ENoteTableText"/>
            </w:pPr>
            <w:r w:rsidRPr="00177B6D">
              <w:t>am No</w:t>
            </w:r>
            <w:r w:rsidR="009163ED" w:rsidRPr="00177B6D">
              <w:t> </w:t>
            </w:r>
            <w:r w:rsidRPr="00177B6D">
              <w:t>181, 1992</w:t>
            </w:r>
          </w:p>
        </w:tc>
      </w:tr>
      <w:tr w:rsidR="004E0D3F" w:rsidRPr="00177B6D" w14:paraId="2242B463" w14:textId="77777777" w:rsidTr="007005E6">
        <w:trPr>
          <w:cantSplit/>
        </w:trPr>
        <w:tc>
          <w:tcPr>
            <w:tcW w:w="2551" w:type="dxa"/>
            <w:shd w:val="clear" w:color="auto" w:fill="auto"/>
          </w:tcPr>
          <w:p w14:paraId="1BAF8E17" w14:textId="77777777" w:rsidR="004E0D3F" w:rsidRPr="00177B6D" w:rsidRDefault="004E0D3F" w:rsidP="004E0D3F">
            <w:pPr>
              <w:pStyle w:val="ENoteTableText"/>
            </w:pPr>
          </w:p>
        </w:tc>
        <w:tc>
          <w:tcPr>
            <w:tcW w:w="4531" w:type="dxa"/>
            <w:shd w:val="clear" w:color="auto" w:fill="auto"/>
          </w:tcPr>
          <w:p w14:paraId="38EAC98B" w14:textId="77777777" w:rsidR="004E0D3F" w:rsidRPr="00177B6D" w:rsidRDefault="004E0D3F" w:rsidP="004E0D3F">
            <w:pPr>
              <w:pStyle w:val="ENoteTableText"/>
            </w:pPr>
            <w:r w:rsidRPr="00177B6D">
              <w:t>rs No</w:t>
            </w:r>
            <w:r w:rsidR="009163ED" w:rsidRPr="00177B6D">
              <w:t> </w:t>
            </w:r>
            <w:r w:rsidRPr="00177B6D">
              <w:t>179, 2012</w:t>
            </w:r>
          </w:p>
        </w:tc>
      </w:tr>
      <w:tr w:rsidR="00BB08BC" w:rsidRPr="00177B6D" w14:paraId="23A44F32" w14:textId="77777777" w:rsidTr="007005E6">
        <w:trPr>
          <w:cantSplit/>
        </w:trPr>
        <w:tc>
          <w:tcPr>
            <w:tcW w:w="2551" w:type="dxa"/>
            <w:shd w:val="clear" w:color="auto" w:fill="auto"/>
          </w:tcPr>
          <w:p w14:paraId="740EFA1A" w14:textId="77777777" w:rsidR="00BB08BC" w:rsidRPr="00177B6D" w:rsidRDefault="00BB08BC" w:rsidP="004E0D3F">
            <w:pPr>
              <w:pStyle w:val="ENoteTableText"/>
            </w:pPr>
          </w:p>
        </w:tc>
        <w:tc>
          <w:tcPr>
            <w:tcW w:w="4531" w:type="dxa"/>
            <w:shd w:val="clear" w:color="auto" w:fill="auto"/>
          </w:tcPr>
          <w:p w14:paraId="7D9DA3DD" w14:textId="77777777" w:rsidR="00BB08BC" w:rsidRPr="00177B6D" w:rsidRDefault="00BB08BC" w:rsidP="004E0D3F">
            <w:pPr>
              <w:pStyle w:val="ENoteTableText"/>
            </w:pPr>
            <w:r w:rsidRPr="00177B6D">
              <w:t>am No 126, 2015</w:t>
            </w:r>
            <w:r w:rsidR="00160A95" w:rsidRPr="00177B6D">
              <w:t>; No 85, 2022</w:t>
            </w:r>
            <w:r w:rsidR="00C34586" w:rsidRPr="00177B6D">
              <w:t>; No 18, 2023</w:t>
            </w:r>
          </w:p>
        </w:tc>
      </w:tr>
      <w:tr w:rsidR="004E0D3F" w:rsidRPr="00177B6D" w14:paraId="166FA80D" w14:textId="77777777" w:rsidTr="007005E6">
        <w:trPr>
          <w:cantSplit/>
        </w:trPr>
        <w:tc>
          <w:tcPr>
            <w:tcW w:w="2551" w:type="dxa"/>
            <w:shd w:val="clear" w:color="auto" w:fill="auto"/>
          </w:tcPr>
          <w:p w14:paraId="717EF905" w14:textId="77777777" w:rsidR="004E0D3F" w:rsidRPr="00177B6D" w:rsidRDefault="002774D6" w:rsidP="002774D6">
            <w:pPr>
              <w:pStyle w:val="ENoteTableText"/>
              <w:tabs>
                <w:tab w:val="center" w:leader="dot" w:pos="2268"/>
              </w:tabs>
            </w:pPr>
            <w:r w:rsidRPr="00177B6D">
              <w:t>s</w:t>
            </w:r>
            <w:r w:rsidR="004E0D3F" w:rsidRPr="00177B6D">
              <w:t xml:space="preserve"> 19A</w:t>
            </w:r>
            <w:r w:rsidR="004E0D3F" w:rsidRPr="00177B6D">
              <w:tab/>
            </w:r>
          </w:p>
        </w:tc>
        <w:tc>
          <w:tcPr>
            <w:tcW w:w="4531" w:type="dxa"/>
            <w:shd w:val="clear" w:color="auto" w:fill="auto"/>
          </w:tcPr>
          <w:p w14:paraId="2F241613" w14:textId="77777777" w:rsidR="004E0D3F" w:rsidRPr="00177B6D" w:rsidRDefault="004E0D3F" w:rsidP="004E0D3F">
            <w:pPr>
              <w:pStyle w:val="ENoteTableText"/>
            </w:pPr>
            <w:r w:rsidRPr="00177B6D">
              <w:t>ad No</w:t>
            </w:r>
            <w:r w:rsidR="009163ED" w:rsidRPr="00177B6D">
              <w:t> </w:t>
            </w:r>
            <w:r w:rsidRPr="00177B6D">
              <w:t>179, 2012</w:t>
            </w:r>
          </w:p>
        </w:tc>
      </w:tr>
      <w:tr w:rsidR="00C34586" w:rsidRPr="00177B6D" w14:paraId="1E75C7CB" w14:textId="77777777" w:rsidTr="007005E6">
        <w:trPr>
          <w:cantSplit/>
        </w:trPr>
        <w:tc>
          <w:tcPr>
            <w:tcW w:w="2551" w:type="dxa"/>
            <w:shd w:val="clear" w:color="auto" w:fill="auto"/>
          </w:tcPr>
          <w:p w14:paraId="548EC9B2" w14:textId="77777777" w:rsidR="00C34586" w:rsidRPr="00177B6D" w:rsidRDefault="00C34586" w:rsidP="002774D6">
            <w:pPr>
              <w:pStyle w:val="ENoteTableText"/>
              <w:tabs>
                <w:tab w:val="center" w:leader="dot" w:pos="2268"/>
              </w:tabs>
            </w:pPr>
          </w:p>
        </w:tc>
        <w:tc>
          <w:tcPr>
            <w:tcW w:w="4531" w:type="dxa"/>
            <w:shd w:val="clear" w:color="auto" w:fill="auto"/>
          </w:tcPr>
          <w:p w14:paraId="04DC9CBE" w14:textId="77777777" w:rsidR="00C34586" w:rsidRPr="00177B6D" w:rsidRDefault="00C34586" w:rsidP="004E0D3F">
            <w:pPr>
              <w:pStyle w:val="ENoteTableText"/>
            </w:pPr>
            <w:r w:rsidRPr="00177B6D">
              <w:t>am No 18, 2023</w:t>
            </w:r>
          </w:p>
        </w:tc>
      </w:tr>
      <w:tr w:rsidR="004E0D3F" w:rsidRPr="00177B6D" w14:paraId="11A498E3" w14:textId="77777777" w:rsidTr="007005E6">
        <w:trPr>
          <w:cantSplit/>
        </w:trPr>
        <w:tc>
          <w:tcPr>
            <w:tcW w:w="2551" w:type="dxa"/>
            <w:shd w:val="clear" w:color="auto" w:fill="auto"/>
          </w:tcPr>
          <w:p w14:paraId="277E7503" w14:textId="77777777" w:rsidR="004E0D3F" w:rsidRPr="00177B6D" w:rsidRDefault="002774D6" w:rsidP="002774D6">
            <w:pPr>
              <w:pStyle w:val="ENoteTableText"/>
              <w:tabs>
                <w:tab w:val="center" w:leader="dot" w:pos="2268"/>
              </w:tabs>
            </w:pPr>
            <w:r w:rsidRPr="00177B6D">
              <w:t>s</w:t>
            </w:r>
            <w:r w:rsidR="004E0D3F" w:rsidRPr="00177B6D">
              <w:t xml:space="preserve"> 19B</w:t>
            </w:r>
            <w:r w:rsidR="004E0D3F" w:rsidRPr="00177B6D">
              <w:tab/>
            </w:r>
          </w:p>
        </w:tc>
        <w:tc>
          <w:tcPr>
            <w:tcW w:w="4531" w:type="dxa"/>
            <w:shd w:val="clear" w:color="auto" w:fill="auto"/>
          </w:tcPr>
          <w:p w14:paraId="395BCBC2" w14:textId="77777777" w:rsidR="004E0D3F" w:rsidRPr="00177B6D" w:rsidRDefault="004E0D3F" w:rsidP="004E0D3F">
            <w:pPr>
              <w:pStyle w:val="ENoteTableText"/>
            </w:pPr>
            <w:r w:rsidRPr="00177B6D">
              <w:t>ad No</w:t>
            </w:r>
            <w:r w:rsidR="009163ED" w:rsidRPr="00177B6D">
              <w:t> </w:t>
            </w:r>
            <w:r w:rsidRPr="00177B6D">
              <w:t>179, 2012</w:t>
            </w:r>
          </w:p>
        </w:tc>
      </w:tr>
      <w:tr w:rsidR="004E0D3F" w:rsidRPr="00177B6D" w14:paraId="28A9CA61" w14:textId="77777777" w:rsidTr="007005E6">
        <w:trPr>
          <w:cantSplit/>
        </w:trPr>
        <w:tc>
          <w:tcPr>
            <w:tcW w:w="2551" w:type="dxa"/>
            <w:shd w:val="clear" w:color="auto" w:fill="auto"/>
          </w:tcPr>
          <w:p w14:paraId="7289F3E9" w14:textId="77777777" w:rsidR="004E0D3F" w:rsidRPr="00177B6D" w:rsidRDefault="002774D6" w:rsidP="002774D6">
            <w:pPr>
              <w:pStyle w:val="ENoteTableText"/>
              <w:tabs>
                <w:tab w:val="center" w:leader="dot" w:pos="2268"/>
              </w:tabs>
            </w:pPr>
            <w:r w:rsidRPr="00177B6D">
              <w:t>s</w:t>
            </w:r>
            <w:r w:rsidR="004E0D3F" w:rsidRPr="00177B6D">
              <w:t xml:space="preserve"> 19C</w:t>
            </w:r>
            <w:r w:rsidR="004E0D3F" w:rsidRPr="00177B6D">
              <w:tab/>
            </w:r>
          </w:p>
        </w:tc>
        <w:tc>
          <w:tcPr>
            <w:tcW w:w="4531" w:type="dxa"/>
            <w:shd w:val="clear" w:color="auto" w:fill="auto"/>
          </w:tcPr>
          <w:p w14:paraId="315F1B5F" w14:textId="77777777" w:rsidR="004E0D3F" w:rsidRPr="00177B6D" w:rsidRDefault="004E0D3F" w:rsidP="004E0D3F">
            <w:pPr>
              <w:pStyle w:val="ENoteTableText"/>
            </w:pPr>
            <w:r w:rsidRPr="00177B6D">
              <w:t>ad No</w:t>
            </w:r>
            <w:r w:rsidR="009163ED" w:rsidRPr="00177B6D">
              <w:t> </w:t>
            </w:r>
            <w:r w:rsidRPr="00177B6D">
              <w:t>179, 2012</w:t>
            </w:r>
          </w:p>
        </w:tc>
      </w:tr>
      <w:tr w:rsidR="00C34586" w:rsidRPr="00177B6D" w14:paraId="7A8A3D5C" w14:textId="77777777" w:rsidTr="007005E6">
        <w:trPr>
          <w:cantSplit/>
        </w:trPr>
        <w:tc>
          <w:tcPr>
            <w:tcW w:w="2551" w:type="dxa"/>
            <w:shd w:val="clear" w:color="auto" w:fill="auto"/>
          </w:tcPr>
          <w:p w14:paraId="14C5ADED" w14:textId="77777777" w:rsidR="00C34586" w:rsidRPr="00177B6D" w:rsidRDefault="00C34586" w:rsidP="002774D6">
            <w:pPr>
              <w:pStyle w:val="ENoteTableText"/>
              <w:tabs>
                <w:tab w:val="center" w:leader="dot" w:pos="2268"/>
              </w:tabs>
            </w:pPr>
          </w:p>
        </w:tc>
        <w:tc>
          <w:tcPr>
            <w:tcW w:w="4531" w:type="dxa"/>
            <w:shd w:val="clear" w:color="auto" w:fill="auto"/>
          </w:tcPr>
          <w:p w14:paraId="7EAE29E5" w14:textId="77777777" w:rsidR="00C34586" w:rsidRPr="00177B6D" w:rsidRDefault="00C34586" w:rsidP="004E0D3F">
            <w:pPr>
              <w:pStyle w:val="ENoteTableText"/>
            </w:pPr>
            <w:r w:rsidRPr="00177B6D">
              <w:t>am No 18, 2023</w:t>
            </w:r>
          </w:p>
        </w:tc>
      </w:tr>
      <w:tr w:rsidR="00C34586" w:rsidRPr="00177B6D" w14:paraId="795A364C" w14:textId="77777777" w:rsidTr="007005E6">
        <w:trPr>
          <w:cantSplit/>
        </w:trPr>
        <w:tc>
          <w:tcPr>
            <w:tcW w:w="2551" w:type="dxa"/>
            <w:shd w:val="clear" w:color="auto" w:fill="auto"/>
          </w:tcPr>
          <w:p w14:paraId="2460E657" w14:textId="77777777" w:rsidR="00C34586" w:rsidRPr="00177B6D" w:rsidRDefault="00C34586" w:rsidP="002774D6">
            <w:pPr>
              <w:pStyle w:val="ENoteTableText"/>
              <w:tabs>
                <w:tab w:val="center" w:leader="dot" w:pos="2268"/>
              </w:tabs>
            </w:pPr>
            <w:r w:rsidRPr="00177B6D">
              <w:t>s 19CA</w:t>
            </w:r>
            <w:r w:rsidRPr="00177B6D">
              <w:tab/>
            </w:r>
          </w:p>
        </w:tc>
        <w:tc>
          <w:tcPr>
            <w:tcW w:w="4531" w:type="dxa"/>
            <w:shd w:val="clear" w:color="auto" w:fill="auto"/>
          </w:tcPr>
          <w:p w14:paraId="34714B15" w14:textId="77777777" w:rsidR="00C34586" w:rsidRPr="00177B6D" w:rsidRDefault="00C34586" w:rsidP="004E0D3F">
            <w:pPr>
              <w:pStyle w:val="ENoteTableText"/>
            </w:pPr>
            <w:r w:rsidRPr="00177B6D">
              <w:t>ad No 18, 2023</w:t>
            </w:r>
          </w:p>
        </w:tc>
      </w:tr>
      <w:tr w:rsidR="00132B74" w:rsidRPr="00177B6D" w14:paraId="677306EA" w14:textId="77777777" w:rsidTr="007005E6">
        <w:trPr>
          <w:cantSplit/>
        </w:trPr>
        <w:tc>
          <w:tcPr>
            <w:tcW w:w="2551" w:type="dxa"/>
            <w:shd w:val="clear" w:color="auto" w:fill="auto"/>
          </w:tcPr>
          <w:p w14:paraId="77EC412B" w14:textId="77777777" w:rsidR="00132B74" w:rsidRPr="00177B6D" w:rsidRDefault="00132B74" w:rsidP="002774D6">
            <w:pPr>
              <w:pStyle w:val="ENoteTableText"/>
              <w:tabs>
                <w:tab w:val="center" w:leader="dot" w:pos="2268"/>
              </w:tabs>
            </w:pPr>
          </w:p>
        </w:tc>
        <w:tc>
          <w:tcPr>
            <w:tcW w:w="4531" w:type="dxa"/>
            <w:shd w:val="clear" w:color="auto" w:fill="auto"/>
          </w:tcPr>
          <w:p w14:paraId="3D8D0E86" w14:textId="5B606C92" w:rsidR="00132B74" w:rsidRPr="00177B6D" w:rsidRDefault="00132B74" w:rsidP="004E0D3F">
            <w:pPr>
              <w:pStyle w:val="ENoteTableText"/>
              <w:rPr>
                <w:b/>
                <w:bCs/>
              </w:rPr>
            </w:pPr>
            <w:r w:rsidRPr="00177B6D">
              <w:t>am No 25, 2025</w:t>
            </w:r>
          </w:p>
        </w:tc>
      </w:tr>
      <w:tr w:rsidR="004E0D3F" w:rsidRPr="00177B6D" w14:paraId="6B2AEDB6" w14:textId="77777777" w:rsidTr="007005E6">
        <w:trPr>
          <w:cantSplit/>
        </w:trPr>
        <w:tc>
          <w:tcPr>
            <w:tcW w:w="2551" w:type="dxa"/>
            <w:shd w:val="clear" w:color="auto" w:fill="auto"/>
          </w:tcPr>
          <w:p w14:paraId="14E2015D" w14:textId="77777777" w:rsidR="004E0D3F" w:rsidRPr="00177B6D" w:rsidRDefault="002774D6" w:rsidP="002774D6">
            <w:pPr>
              <w:pStyle w:val="ENoteTableText"/>
              <w:tabs>
                <w:tab w:val="center" w:leader="dot" w:pos="2268"/>
              </w:tabs>
            </w:pPr>
            <w:r w:rsidRPr="00177B6D">
              <w:t>s</w:t>
            </w:r>
            <w:r w:rsidR="004E0D3F" w:rsidRPr="00177B6D">
              <w:t xml:space="preserve"> 19D</w:t>
            </w:r>
            <w:r w:rsidR="004E0D3F" w:rsidRPr="00177B6D">
              <w:tab/>
            </w:r>
          </w:p>
        </w:tc>
        <w:tc>
          <w:tcPr>
            <w:tcW w:w="4531" w:type="dxa"/>
            <w:shd w:val="clear" w:color="auto" w:fill="auto"/>
          </w:tcPr>
          <w:p w14:paraId="3D5B1B16" w14:textId="77777777" w:rsidR="004E0D3F" w:rsidRPr="00177B6D" w:rsidRDefault="004E0D3F" w:rsidP="004E0D3F">
            <w:pPr>
              <w:pStyle w:val="ENoteTableText"/>
            </w:pPr>
            <w:r w:rsidRPr="00177B6D">
              <w:t>ad No</w:t>
            </w:r>
            <w:r w:rsidR="009163ED" w:rsidRPr="00177B6D">
              <w:t> </w:t>
            </w:r>
            <w:r w:rsidRPr="00177B6D">
              <w:t>179, 2012</w:t>
            </w:r>
          </w:p>
        </w:tc>
      </w:tr>
      <w:tr w:rsidR="00F177E6" w:rsidRPr="00177B6D" w14:paraId="0B8A885F" w14:textId="77777777" w:rsidTr="007005E6">
        <w:trPr>
          <w:cantSplit/>
        </w:trPr>
        <w:tc>
          <w:tcPr>
            <w:tcW w:w="2551" w:type="dxa"/>
            <w:shd w:val="clear" w:color="auto" w:fill="auto"/>
          </w:tcPr>
          <w:p w14:paraId="68EE4D56" w14:textId="77777777" w:rsidR="00F177E6" w:rsidRPr="00177B6D" w:rsidRDefault="00F177E6" w:rsidP="002774D6">
            <w:pPr>
              <w:pStyle w:val="ENoteTableText"/>
              <w:tabs>
                <w:tab w:val="center" w:leader="dot" w:pos="2268"/>
              </w:tabs>
            </w:pPr>
          </w:p>
        </w:tc>
        <w:tc>
          <w:tcPr>
            <w:tcW w:w="4531" w:type="dxa"/>
            <w:shd w:val="clear" w:color="auto" w:fill="auto"/>
          </w:tcPr>
          <w:p w14:paraId="1919BD94" w14:textId="1E9F4718" w:rsidR="00F177E6" w:rsidRPr="00177B6D" w:rsidRDefault="00F177E6" w:rsidP="004E0D3F">
            <w:pPr>
              <w:pStyle w:val="ENoteTableText"/>
            </w:pPr>
            <w:r w:rsidRPr="00177B6D">
              <w:t>am No 62, 2014</w:t>
            </w:r>
            <w:r w:rsidR="00132B74" w:rsidRPr="00177B6D">
              <w:t>; No 25, 2025</w:t>
            </w:r>
          </w:p>
        </w:tc>
      </w:tr>
      <w:tr w:rsidR="004E0D3F" w:rsidRPr="00177B6D" w14:paraId="528889BE" w14:textId="77777777" w:rsidTr="007005E6">
        <w:trPr>
          <w:cantSplit/>
        </w:trPr>
        <w:tc>
          <w:tcPr>
            <w:tcW w:w="2551" w:type="dxa"/>
            <w:shd w:val="clear" w:color="auto" w:fill="auto"/>
          </w:tcPr>
          <w:p w14:paraId="5C9E616D" w14:textId="77777777" w:rsidR="004E0D3F" w:rsidRPr="00177B6D" w:rsidRDefault="002774D6" w:rsidP="002774D6">
            <w:pPr>
              <w:pStyle w:val="ENoteTableText"/>
              <w:tabs>
                <w:tab w:val="center" w:leader="dot" w:pos="2268"/>
              </w:tabs>
            </w:pPr>
            <w:r w:rsidRPr="00177B6D">
              <w:t>s</w:t>
            </w:r>
            <w:r w:rsidR="004E0D3F" w:rsidRPr="00177B6D">
              <w:t xml:space="preserve"> 19E</w:t>
            </w:r>
            <w:r w:rsidR="004E0D3F" w:rsidRPr="00177B6D">
              <w:tab/>
            </w:r>
          </w:p>
        </w:tc>
        <w:tc>
          <w:tcPr>
            <w:tcW w:w="4531" w:type="dxa"/>
            <w:shd w:val="clear" w:color="auto" w:fill="auto"/>
          </w:tcPr>
          <w:p w14:paraId="430C8649" w14:textId="77777777" w:rsidR="004E0D3F" w:rsidRPr="00177B6D" w:rsidRDefault="004E0D3F" w:rsidP="004E0D3F">
            <w:pPr>
              <w:pStyle w:val="ENoteTableText"/>
            </w:pPr>
            <w:r w:rsidRPr="00177B6D">
              <w:t>ad No</w:t>
            </w:r>
            <w:r w:rsidR="009163ED" w:rsidRPr="00177B6D">
              <w:t> </w:t>
            </w:r>
            <w:r w:rsidRPr="00177B6D">
              <w:t>179, 2012</w:t>
            </w:r>
          </w:p>
        </w:tc>
      </w:tr>
      <w:tr w:rsidR="00C34586" w:rsidRPr="00177B6D" w14:paraId="11DC2471" w14:textId="77777777" w:rsidTr="007005E6">
        <w:trPr>
          <w:cantSplit/>
        </w:trPr>
        <w:tc>
          <w:tcPr>
            <w:tcW w:w="2551" w:type="dxa"/>
            <w:shd w:val="clear" w:color="auto" w:fill="auto"/>
          </w:tcPr>
          <w:p w14:paraId="5B191517" w14:textId="77777777" w:rsidR="00C34586" w:rsidRPr="00177B6D" w:rsidRDefault="00C34586" w:rsidP="002774D6">
            <w:pPr>
              <w:pStyle w:val="ENoteTableText"/>
              <w:tabs>
                <w:tab w:val="center" w:leader="dot" w:pos="2268"/>
              </w:tabs>
            </w:pPr>
          </w:p>
        </w:tc>
        <w:tc>
          <w:tcPr>
            <w:tcW w:w="4531" w:type="dxa"/>
            <w:shd w:val="clear" w:color="auto" w:fill="auto"/>
          </w:tcPr>
          <w:p w14:paraId="6C4AEFBD" w14:textId="77777777" w:rsidR="00C34586" w:rsidRPr="00177B6D" w:rsidRDefault="00C34586" w:rsidP="004E0D3F">
            <w:pPr>
              <w:pStyle w:val="ENoteTableText"/>
            </w:pPr>
            <w:r w:rsidRPr="00177B6D">
              <w:t>am No 18, 2023</w:t>
            </w:r>
          </w:p>
        </w:tc>
      </w:tr>
      <w:tr w:rsidR="004E0D3F" w:rsidRPr="00177B6D" w14:paraId="7F8BAD0F" w14:textId="77777777" w:rsidTr="007005E6">
        <w:trPr>
          <w:cantSplit/>
        </w:trPr>
        <w:tc>
          <w:tcPr>
            <w:tcW w:w="2551" w:type="dxa"/>
            <w:shd w:val="clear" w:color="auto" w:fill="auto"/>
          </w:tcPr>
          <w:p w14:paraId="456EC36A" w14:textId="77777777" w:rsidR="004E0D3F" w:rsidRPr="00177B6D" w:rsidRDefault="004E0D3F" w:rsidP="004E0D3F">
            <w:pPr>
              <w:pStyle w:val="ENoteTableText"/>
            </w:pPr>
            <w:r w:rsidRPr="00177B6D">
              <w:rPr>
                <w:b/>
              </w:rPr>
              <w:lastRenderedPageBreak/>
              <w:t>Part</w:t>
            </w:r>
            <w:r w:rsidR="002774D6" w:rsidRPr="00177B6D">
              <w:rPr>
                <w:b/>
              </w:rPr>
              <w:t> </w:t>
            </w:r>
            <w:r w:rsidRPr="00177B6D">
              <w:rPr>
                <w:b/>
              </w:rPr>
              <w:t>V</w:t>
            </w:r>
          </w:p>
        </w:tc>
        <w:tc>
          <w:tcPr>
            <w:tcW w:w="4531" w:type="dxa"/>
            <w:shd w:val="clear" w:color="auto" w:fill="auto"/>
          </w:tcPr>
          <w:p w14:paraId="454B9479" w14:textId="77777777" w:rsidR="004E0D3F" w:rsidRPr="00177B6D" w:rsidRDefault="004E0D3F" w:rsidP="004E0D3F">
            <w:pPr>
              <w:pStyle w:val="ENoteTableText"/>
            </w:pPr>
          </w:p>
        </w:tc>
      </w:tr>
      <w:tr w:rsidR="004E0D3F" w:rsidRPr="00177B6D" w14:paraId="6E5D07E4" w14:textId="77777777" w:rsidTr="007005E6">
        <w:trPr>
          <w:cantSplit/>
        </w:trPr>
        <w:tc>
          <w:tcPr>
            <w:tcW w:w="2551" w:type="dxa"/>
            <w:shd w:val="clear" w:color="auto" w:fill="auto"/>
          </w:tcPr>
          <w:p w14:paraId="2C7B271D" w14:textId="77777777" w:rsidR="004E0D3F" w:rsidRPr="00177B6D" w:rsidRDefault="004E0D3F" w:rsidP="002774D6">
            <w:pPr>
              <w:pStyle w:val="ENoteTableText"/>
              <w:tabs>
                <w:tab w:val="center" w:leader="dot" w:pos="2268"/>
              </w:tabs>
            </w:pPr>
            <w:r w:rsidRPr="00177B6D">
              <w:t>Part V</w:t>
            </w:r>
            <w:r w:rsidR="008E475A" w:rsidRPr="00177B6D">
              <w:t xml:space="preserve"> heading</w:t>
            </w:r>
            <w:r w:rsidRPr="00177B6D">
              <w:tab/>
            </w:r>
          </w:p>
        </w:tc>
        <w:tc>
          <w:tcPr>
            <w:tcW w:w="4531" w:type="dxa"/>
            <w:shd w:val="clear" w:color="auto" w:fill="auto"/>
          </w:tcPr>
          <w:p w14:paraId="0B985762" w14:textId="77777777" w:rsidR="004E0D3F" w:rsidRPr="00177B6D" w:rsidRDefault="004E0D3F" w:rsidP="004E0D3F">
            <w:pPr>
              <w:pStyle w:val="ENoteTableText"/>
            </w:pPr>
            <w:r w:rsidRPr="00177B6D">
              <w:t>rs No</w:t>
            </w:r>
            <w:r w:rsidR="009163ED" w:rsidRPr="00177B6D">
              <w:t> </w:t>
            </w:r>
            <w:r w:rsidRPr="00177B6D">
              <w:t>183, 1999; No</w:t>
            </w:r>
            <w:r w:rsidR="009163ED" w:rsidRPr="00177B6D">
              <w:t> </w:t>
            </w:r>
            <w:r w:rsidRPr="00177B6D">
              <w:t>179, 2012</w:t>
            </w:r>
          </w:p>
        </w:tc>
      </w:tr>
      <w:tr w:rsidR="00FE6C5E" w:rsidRPr="00177B6D" w14:paraId="2F09BC6D" w14:textId="77777777" w:rsidTr="007005E6">
        <w:trPr>
          <w:cantSplit/>
        </w:trPr>
        <w:tc>
          <w:tcPr>
            <w:tcW w:w="2551" w:type="dxa"/>
            <w:shd w:val="clear" w:color="auto" w:fill="auto"/>
          </w:tcPr>
          <w:p w14:paraId="0204A600" w14:textId="77777777" w:rsidR="00FE6C5E" w:rsidRPr="00177B6D" w:rsidRDefault="00FE6C5E" w:rsidP="002774D6">
            <w:pPr>
              <w:pStyle w:val="ENoteTableText"/>
              <w:tabs>
                <w:tab w:val="center" w:leader="dot" w:pos="2268"/>
              </w:tabs>
            </w:pPr>
          </w:p>
        </w:tc>
        <w:tc>
          <w:tcPr>
            <w:tcW w:w="4531" w:type="dxa"/>
            <w:shd w:val="clear" w:color="auto" w:fill="auto"/>
          </w:tcPr>
          <w:p w14:paraId="0760FE55" w14:textId="77777777" w:rsidR="00FE6C5E" w:rsidRPr="00177B6D" w:rsidRDefault="00FE6C5E" w:rsidP="004E0D3F">
            <w:pPr>
              <w:pStyle w:val="ENoteTableText"/>
            </w:pPr>
            <w:r w:rsidRPr="00177B6D">
              <w:t>am No 18, 2023</w:t>
            </w:r>
          </w:p>
        </w:tc>
      </w:tr>
      <w:tr w:rsidR="00C34586" w:rsidRPr="00177B6D" w14:paraId="24A3CEFC" w14:textId="77777777" w:rsidTr="007005E6">
        <w:trPr>
          <w:cantSplit/>
        </w:trPr>
        <w:tc>
          <w:tcPr>
            <w:tcW w:w="2551" w:type="dxa"/>
            <w:shd w:val="clear" w:color="auto" w:fill="auto"/>
          </w:tcPr>
          <w:p w14:paraId="238E7F40" w14:textId="77777777" w:rsidR="00C34586" w:rsidRPr="00177B6D" w:rsidRDefault="00C34586" w:rsidP="002774D6">
            <w:pPr>
              <w:pStyle w:val="ENoteTableText"/>
              <w:tabs>
                <w:tab w:val="center" w:leader="dot" w:pos="2268"/>
              </w:tabs>
            </w:pPr>
            <w:r w:rsidRPr="00177B6D">
              <w:t>s 20AA</w:t>
            </w:r>
            <w:r w:rsidRPr="00177B6D">
              <w:tab/>
            </w:r>
          </w:p>
        </w:tc>
        <w:tc>
          <w:tcPr>
            <w:tcW w:w="4531" w:type="dxa"/>
            <w:shd w:val="clear" w:color="auto" w:fill="auto"/>
          </w:tcPr>
          <w:p w14:paraId="2CB486CA" w14:textId="77777777" w:rsidR="00C34586" w:rsidRPr="00177B6D" w:rsidRDefault="00C34586" w:rsidP="004E0D3F">
            <w:pPr>
              <w:pStyle w:val="ENoteTableText"/>
            </w:pPr>
            <w:r w:rsidRPr="00177B6D">
              <w:t>ad No 18, 2023</w:t>
            </w:r>
          </w:p>
        </w:tc>
      </w:tr>
      <w:tr w:rsidR="004E0D3F" w:rsidRPr="00177B6D" w14:paraId="65312284" w14:textId="77777777" w:rsidTr="007005E6">
        <w:trPr>
          <w:cantSplit/>
        </w:trPr>
        <w:tc>
          <w:tcPr>
            <w:tcW w:w="2551" w:type="dxa"/>
            <w:shd w:val="clear" w:color="auto" w:fill="auto"/>
          </w:tcPr>
          <w:p w14:paraId="3B486257" w14:textId="77777777" w:rsidR="004E0D3F" w:rsidRPr="00177B6D" w:rsidRDefault="002774D6" w:rsidP="002774D6">
            <w:pPr>
              <w:pStyle w:val="ENoteTableText"/>
              <w:tabs>
                <w:tab w:val="center" w:leader="dot" w:pos="2268"/>
              </w:tabs>
            </w:pPr>
            <w:r w:rsidRPr="00177B6D">
              <w:t>s</w:t>
            </w:r>
            <w:r w:rsidR="00AB1AB5" w:rsidRPr="00177B6D">
              <w:t xml:space="preserve"> 20</w:t>
            </w:r>
            <w:r w:rsidR="004E0D3F" w:rsidRPr="00177B6D">
              <w:tab/>
            </w:r>
          </w:p>
        </w:tc>
        <w:tc>
          <w:tcPr>
            <w:tcW w:w="4531" w:type="dxa"/>
            <w:shd w:val="clear" w:color="auto" w:fill="auto"/>
          </w:tcPr>
          <w:p w14:paraId="62F17C0E" w14:textId="77777777" w:rsidR="004E0D3F" w:rsidRPr="00177B6D" w:rsidRDefault="004E0D3F" w:rsidP="004E0D3F">
            <w:pPr>
              <w:pStyle w:val="ENoteTableText"/>
            </w:pPr>
            <w:r w:rsidRPr="00177B6D">
              <w:t>am No</w:t>
            </w:r>
            <w:r w:rsidR="009163ED" w:rsidRPr="00177B6D">
              <w:t> </w:t>
            </w:r>
            <w:r w:rsidRPr="00177B6D">
              <w:t>159, 2001</w:t>
            </w:r>
            <w:r w:rsidR="00C34586" w:rsidRPr="00177B6D">
              <w:t>; No 18, 2023</w:t>
            </w:r>
          </w:p>
        </w:tc>
      </w:tr>
      <w:tr w:rsidR="00C34586" w:rsidRPr="00177B6D" w14:paraId="6F3B2E8A" w14:textId="77777777" w:rsidTr="007005E6">
        <w:trPr>
          <w:cantSplit/>
        </w:trPr>
        <w:tc>
          <w:tcPr>
            <w:tcW w:w="2551" w:type="dxa"/>
            <w:shd w:val="clear" w:color="auto" w:fill="auto"/>
          </w:tcPr>
          <w:p w14:paraId="2905FE57" w14:textId="77777777" w:rsidR="00C34586" w:rsidRPr="00177B6D" w:rsidRDefault="00C34586" w:rsidP="002774D6">
            <w:pPr>
              <w:pStyle w:val="ENoteTableText"/>
              <w:tabs>
                <w:tab w:val="center" w:leader="dot" w:pos="2268"/>
              </w:tabs>
            </w:pPr>
            <w:r w:rsidRPr="00177B6D">
              <w:t>s 21</w:t>
            </w:r>
            <w:r w:rsidRPr="00177B6D">
              <w:tab/>
            </w:r>
          </w:p>
        </w:tc>
        <w:tc>
          <w:tcPr>
            <w:tcW w:w="4531" w:type="dxa"/>
            <w:shd w:val="clear" w:color="auto" w:fill="auto"/>
          </w:tcPr>
          <w:p w14:paraId="65FB2805" w14:textId="77777777" w:rsidR="00C34586" w:rsidRPr="00177B6D" w:rsidRDefault="00C34586" w:rsidP="004E0D3F">
            <w:pPr>
              <w:pStyle w:val="ENoteTableText"/>
            </w:pPr>
            <w:r w:rsidRPr="00177B6D">
              <w:t>am No 18, 2023</w:t>
            </w:r>
          </w:p>
        </w:tc>
      </w:tr>
      <w:tr w:rsidR="004E0D3F" w:rsidRPr="00177B6D" w14:paraId="0963C681" w14:textId="77777777" w:rsidTr="007005E6">
        <w:trPr>
          <w:cantSplit/>
        </w:trPr>
        <w:tc>
          <w:tcPr>
            <w:tcW w:w="2551" w:type="dxa"/>
            <w:shd w:val="clear" w:color="auto" w:fill="auto"/>
          </w:tcPr>
          <w:p w14:paraId="4C756575" w14:textId="77777777" w:rsidR="004E0D3F" w:rsidRPr="00177B6D" w:rsidRDefault="002774D6" w:rsidP="002774D6">
            <w:pPr>
              <w:pStyle w:val="ENoteTableText"/>
              <w:tabs>
                <w:tab w:val="center" w:leader="dot" w:pos="2268"/>
              </w:tabs>
            </w:pPr>
            <w:r w:rsidRPr="00177B6D">
              <w:t>s</w:t>
            </w:r>
            <w:r w:rsidR="004E0D3F" w:rsidRPr="00177B6D">
              <w:t xml:space="preserve"> 22</w:t>
            </w:r>
            <w:r w:rsidR="004E0D3F" w:rsidRPr="00177B6D">
              <w:tab/>
            </w:r>
          </w:p>
        </w:tc>
        <w:tc>
          <w:tcPr>
            <w:tcW w:w="4531" w:type="dxa"/>
            <w:shd w:val="clear" w:color="auto" w:fill="auto"/>
          </w:tcPr>
          <w:p w14:paraId="4EC22720" w14:textId="77777777" w:rsidR="004E0D3F" w:rsidRPr="00177B6D" w:rsidRDefault="004E0D3F" w:rsidP="004E0D3F">
            <w:pPr>
              <w:pStyle w:val="ENoteTableText"/>
            </w:pPr>
            <w:r w:rsidRPr="00177B6D">
              <w:t>am No</w:t>
            </w:r>
            <w:r w:rsidR="009163ED" w:rsidRPr="00177B6D">
              <w:t> </w:t>
            </w:r>
            <w:r w:rsidRPr="00177B6D">
              <w:t>43, 1996</w:t>
            </w:r>
            <w:r w:rsidR="00C34586" w:rsidRPr="00177B6D">
              <w:t>; No 18, 2023</w:t>
            </w:r>
          </w:p>
        </w:tc>
      </w:tr>
      <w:tr w:rsidR="00C34586" w:rsidRPr="00177B6D" w14:paraId="2F6C9AF5" w14:textId="77777777" w:rsidTr="007005E6">
        <w:trPr>
          <w:cantSplit/>
        </w:trPr>
        <w:tc>
          <w:tcPr>
            <w:tcW w:w="2551" w:type="dxa"/>
            <w:shd w:val="clear" w:color="auto" w:fill="auto"/>
          </w:tcPr>
          <w:p w14:paraId="53C2E81A" w14:textId="77777777" w:rsidR="00C34586" w:rsidRPr="00177B6D" w:rsidRDefault="00C34586" w:rsidP="002774D6">
            <w:pPr>
              <w:pStyle w:val="ENoteTableText"/>
              <w:tabs>
                <w:tab w:val="center" w:leader="dot" w:pos="2268"/>
              </w:tabs>
            </w:pPr>
            <w:r w:rsidRPr="00177B6D">
              <w:t>s 23</w:t>
            </w:r>
            <w:r w:rsidRPr="00177B6D">
              <w:tab/>
            </w:r>
          </w:p>
        </w:tc>
        <w:tc>
          <w:tcPr>
            <w:tcW w:w="4531" w:type="dxa"/>
            <w:shd w:val="clear" w:color="auto" w:fill="auto"/>
          </w:tcPr>
          <w:p w14:paraId="774F11D9" w14:textId="77777777" w:rsidR="00C34586" w:rsidRPr="00177B6D" w:rsidRDefault="00C34586" w:rsidP="004E0D3F">
            <w:pPr>
              <w:pStyle w:val="ENoteTableText"/>
            </w:pPr>
            <w:r w:rsidRPr="00177B6D">
              <w:t>am No 18, 2023</w:t>
            </w:r>
          </w:p>
        </w:tc>
      </w:tr>
      <w:tr w:rsidR="00C34586" w:rsidRPr="00177B6D" w14:paraId="4E44A95D" w14:textId="77777777" w:rsidTr="007005E6">
        <w:trPr>
          <w:cantSplit/>
        </w:trPr>
        <w:tc>
          <w:tcPr>
            <w:tcW w:w="2551" w:type="dxa"/>
            <w:shd w:val="clear" w:color="auto" w:fill="auto"/>
          </w:tcPr>
          <w:p w14:paraId="74817CD9" w14:textId="77777777" w:rsidR="00C34586" w:rsidRPr="00177B6D" w:rsidRDefault="00C34586" w:rsidP="002774D6">
            <w:pPr>
              <w:pStyle w:val="ENoteTableText"/>
              <w:tabs>
                <w:tab w:val="center" w:leader="dot" w:pos="2268"/>
              </w:tabs>
            </w:pPr>
            <w:r w:rsidRPr="00177B6D">
              <w:t>s 24</w:t>
            </w:r>
            <w:r w:rsidRPr="00177B6D">
              <w:tab/>
            </w:r>
          </w:p>
        </w:tc>
        <w:tc>
          <w:tcPr>
            <w:tcW w:w="4531" w:type="dxa"/>
            <w:shd w:val="clear" w:color="auto" w:fill="auto"/>
          </w:tcPr>
          <w:p w14:paraId="269F747D" w14:textId="77777777" w:rsidR="00C34586" w:rsidRPr="00177B6D" w:rsidRDefault="00C34586" w:rsidP="004E0D3F">
            <w:pPr>
              <w:pStyle w:val="ENoteTableText"/>
            </w:pPr>
            <w:r w:rsidRPr="00177B6D">
              <w:t>am No 18, 2023</w:t>
            </w:r>
          </w:p>
        </w:tc>
      </w:tr>
      <w:tr w:rsidR="00C34586" w:rsidRPr="00177B6D" w14:paraId="02CC6EDE" w14:textId="77777777" w:rsidTr="007005E6">
        <w:trPr>
          <w:cantSplit/>
        </w:trPr>
        <w:tc>
          <w:tcPr>
            <w:tcW w:w="2551" w:type="dxa"/>
            <w:shd w:val="clear" w:color="auto" w:fill="auto"/>
          </w:tcPr>
          <w:p w14:paraId="3B223957" w14:textId="77777777" w:rsidR="00C34586" w:rsidRPr="00177B6D" w:rsidRDefault="00C34586" w:rsidP="002774D6">
            <w:pPr>
              <w:pStyle w:val="ENoteTableText"/>
              <w:tabs>
                <w:tab w:val="center" w:leader="dot" w:pos="2268"/>
              </w:tabs>
            </w:pPr>
            <w:r w:rsidRPr="00177B6D">
              <w:t>s 25</w:t>
            </w:r>
            <w:r w:rsidRPr="00177B6D">
              <w:tab/>
            </w:r>
          </w:p>
        </w:tc>
        <w:tc>
          <w:tcPr>
            <w:tcW w:w="4531" w:type="dxa"/>
            <w:shd w:val="clear" w:color="auto" w:fill="auto"/>
          </w:tcPr>
          <w:p w14:paraId="2AFE8F4E" w14:textId="77777777" w:rsidR="00C34586" w:rsidRPr="00177B6D" w:rsidRDefault="00C34586" w:rsidP="004E0D3F">
            <w:pPr>
              <w:pStyle w:val="ENoteTableText"/>
            </w:pPr>
            <w:r w:rsidRPr="00177B6D">
              <w:t>am No 18, 2023</w:t>
            </w:r>
          </w:p>
        </w:tc>
      </w:tr>
      <w:tr w:rsidR="00F177E6" w:rsidRPr="00177B6D" w14:paraId="781E15D3" w14:textId="77777777" w:rsidTr="007005E6">
        <w:trPr>
          <w:cantSplit/>
        </w:trPr>
        <w:tc>
          <w:tcPr>
            <w:tcW w:w="2551" w:type="dxa"/>
            <w:shd w:val="clear" w:color="auto" w:fill="auto"/>
          </w:tcPr>
          <w:p w14:paraId="77C5F1B8" w14:textId="77777777" w:rsidR="00F177E6" w:rsidRPr="00177B6D" w:rsidRDefault="00F177E6" w:rsidP="002774D6">
            <w:pPr>
              <w:pStyle w:val="ENoteTableText"/>
              <w:tabs>
                <w:tab w:val="center" w:leader="dot" w:pos="2268"/>
              </w:tabs>
            </w:pPr>
            <w:r w:rsidRPr="00177B6D">
              <w:t>s 26</w:t>
            </w:r>
            <w:r w:rsidRPr="00177B6D">
              <w:tab/>
            </w:r>
          </w:p>
        </w:tc>
        <w:tc>
          <w:tcPr>
            <w:tcW w:w="4531" w:type="dxa"/>
            <w:shd w:val="clear" w:color="auto" w:fill="auto"/>
          </w:tcPr>
          <w:p w14:paraId="7FD70D17" w14:textId="77777777" w:rsidR="00F177E6" w:rsidRPr="00177B6D" w:rsidRDefault="00F177E6" w:rsidP="004E0D3F">
            <w:pPr>
              <w:pStyle w:val="ENoteTableText"/>
            </w:pPr>
            <w:r w:rsidRPr="00177B6D">
              <w:t>am No 62, 2014</w:t>
            </w:r>
            <w:r w:rsidR="00C34586" w:rsidRPr="00177B6D">
              <w:t>; No 18, 2023</w:t>
            </w:r>
          </w:p>
        </w:tc>
      </w:tr>
      <w:tr w:rsidR="00F177E6" w:rsidRPr="00177B6D" w14:paraId="0D7F3C5B" w14:textId="77777777" w:rsidTr="007005E6">
        <w:trPr>
          <w:cantSplit/>
        </w:trPr>
        <w:tc>
          <w:tcPr>
            <w:tcW w:w="2551" w:type="dxa"/>
            <w:shd w:val="clear" w:color="auto" w:fill="auto"/>
          </w:tcPr>
          <w:p w14:paraId="35384434" w14:textId="77777777" w:rsidR="00F177E6" w:rsidRPr="00177B6D" w:rsidRDefault="00F177E6" w:rsidP="002774D6">
            <w:pPr>
              <w:pStyle w:val="ENoteTableText"/>
              <w:tabs>
                <w:tab w:val="center" w:leader="dot" w:pos="2268"/>
              </w:tabs>
            </w:pPr>
            <w:r w:rsidRPr="00177B6D">
              <w:t>s 27</w:t>
            </w:r>
            <w:r w:rsidRPr="00177B6D">
              <w:tab/>
            </w:r>
          </w:p>
        </w:tc>
        <w:tc>
          <w:tcPr>
            <w:tcW w:w="4531" w:type="dxa"/>
            <w:shd w:val="clear" w:color="auto" w:fill="auto"/>
          </w:tcPr>
          <w:p w14:paraId="4A9D3ECE" w14:textId="77777777" w:rsidR="00F177E6" w:rsidRPr="00177B6D" w:rsidRDefault="00F177E6" w:rsidP="004E0D3F">
            <w:pPr>
              <w:pStyle w:val="ENoteTableText"/>
            </w:pPr>
            <w:r w:rsidRPr="00177B6D">
              <w:t>am No 62, 2014</w:t>
            </w:r>
            <w:r w:rsidR="00C34586" w:rsidRPr="00177B6D">
              <w:t>; No 18, 2023</w:t>
            </w:r>
          </w:p>
        </w:tc>
      </w:tr>
      <w:tr w:rsidR="00C34586" w:rsidRPr="00177B6D" w14:paraId="60F9E6B1" w14:textId="77777777" w:rsidTr="007005E6">
        <w:trPr>
          <w:cantSplit/>
        </w:trPr>
        <w:tc>
          <w:tcPr>
            <w:tcW w:w="2551" w:type="dxa"/>
            <w:shd w:val="clear" w:color="auto" w:fill="auto"/>
          </w:tcPr>
          <w:p w14:paraId="653B2887" w14:textId="77777777" w:rsidR="00C34586" w:rsidRPr="00177B6D" w:rsidRDefault="00C34586" w:rsidP="002774D6">
            <w:pPr>
              <w:pStyle w:val="ENoteTableText"/>
              <w:tabs>
                <w:tab w:val="center" w:leader="dot" w:pos="2268"/>
              </w:tabs>
            </w:pPr>
            <w:r w:rsidRPr="00177B6D">
              <w:t>s 28</w:t>
            </w:r>
            <w:r w:rsidRPr="00177B6D">
              <w:tab/>
            </w:r>
          </w:p>
        </w:tc>
        <w:tc>
          <w:tcPr>
            <w:tcW w:w="4531" w:type="dxa"/>
            <w:shd w:val="clear" w:color="auto" w:fill="auto"/>
          </w:tcPr>
          <w:p w14:paraId="298EA919" w14:textId="77777777" w:rsidR="00C34586" w:rsidRPr="00177B6D" w:rsidRDefault="00C34586" w:rsidP="004E0D3F">
            <w:pPr>
              <w:pStyle w:val="ENoteTableText"/>
            </w:pPr>
            <w:r w:rsidRPr="00177B6D">
              <w:t>am No 18, 2023</w:t>
            </w:r>
          </w:p>
        </w:tc>
      </w:tr>
      <w:tr w:rsidR="004E0D3F" w:rsidRPr="00177B6D" w14:paraId="648A726D" w14:textId="77777777" w:rsidTr="007005E6">
        <w:trPr>
          <w:cantSplit/>
        </w:trPr>
        <w:tc>
          <w:tcPr>
            <w:tcW w:w="2551" w:type="dxa"/>
            <w:shd w:val="clear" w:color="auto" w:fill="auto"/>
          </w:tcPr>
          <w:p w14:paraId="6E14007F" w14:textId="77777777" w:rsidR="004E0D3F" w:rsidRPr="00177B6D" w:rsidRDefault="004E0D3F" w:rsidP="004E0D3F">
            <w:pPr>
              <w:pStyle w:val="ENoteTableText"/>
            </w:pPr>
            <w:r w:rsidRPr="00177B6D">
              <w:rPr>
                <w:b/>
              </w:rPr>
              <w:t>Part</w:t>
            </w:r>
            <w:r w:rsidR="002774D6" w:rsidRPr="00177B6D">
              <w:rPr>
                <w:b/>
              </w:rPr>
              <w:t> </w:t>
            </w:r>
            <w:r w:rsidRPr="00177B6D">
              <w:rPr>
                <w:b/>
              </w:rPr>
              <w:t>VI</w:t>
            </w:r>
          </w:p>
        </w:tc>
        <w:tc>
          <w:tcPr>
            <w:tcW w:w="4531" w:type="dxa"/>
            <w:shd w:val="clear" w:color="auto" w:fill="auto"/>
          </w:tcPr>
          <w:p w14:paraId="1063ED12" w14:textId="77777777" w:rsidR="004E0D3F" w:rsidRPr="00177B6D" w:rsidRDefault="004E0D3F" w:rsidP="004E0D3F">
            <w:pPr>
              <w:pStyle w:val="ENoteTableText"/>
            </w:pPr>
          </w:p>
        </w:tc>
      </w:tr>
      <w:tr w:rsidR="004E0D3F" w:rsidRPr="00177B6D" w14:paraId="3654349D" w14:textId="77777777" w:rsidTr="007005E6">
        <w:trPr>
          <w:cantSplit/>
        </w:trPr>
        <w:tc>
          <w:tcPr>
            <w:tcW w:w="2551" w:type="dxa"/>
            <w:shd w:val="clear" w:color="auto" w:fill="auto"/>
          </w:tcPr>
          <w:p w14:paraId="2E54A3DA" w14:textId="77777777" w:rsidR="004E0D3F" w:rsidRPr="00177B6D" w:rsidRDefault="002774D6" w:rsidP="002774D6">
            <w:pPr>
              <w:pStyle w:val="ENoteTableText"/>
              <w:tabs>
                <w:tab w:val="center" w:leader="dot" w:pos="2268"/>
              </w:tabs>
            </w:pPr>
            <w:r w:rsidRPr="00177B6D">
              <w:t>s</w:t>
            </w:r>
            <w:r w:rsidR="004E0D3F" w:rsidRPr="00177B6D">
              <w:t xml:space="preserve"> 29</w:t>
            </w:r>
            <w:r w:rsidR="004E0D3F" w:rsidRPr="00177B6D">
              <w:tab/>
            </w:r>
          </w:p>
        </w:tc>
        <w:tc>
          <w:tcPr>
            <w:tcW w:w="4531" w:type="dxa"/>
            <w:shd w:val="clear" w:color="auto" w:fill="auto"/>
          </w:tcPr>
          <w:p w14:paraId="001EBD63" w14:textId="77777777" w:rsidR="004E0D3F" w:rsidRPr="00177B6D" w:rsidRDefault="004E0D3F" w:rsidP="004E0D3F">
            <w:pPr>
              <w:pStyle w:val="ENoteTableText"/>
            </w:pPr>
            <w:r w:rsidRPr="00177B6D">
              <w:t>am No</w:t>
            </w:r>
            <w:r w:rsidR="009163ED" w:rsidRPr="00177B6D">
              <w:t> </w:t>
            </w:r>
            <w:r w:rsidRPr="00177B6D">
              <w:t>146, 1999</w:t>
            </w:r>
            <w:r w:rsidR="00C34586" w:rsidRPr="00177B6D">
              <w:t>; No 18, 2023</w:t>
            </w:r>
          </w:p>
        </w:tc>
      </w:tr>
      <w:tr w:rsidR="004E0D3F" w:rsidRPr="00177B6D" w14:paraId="6E2A7CDB" w14:textId="77777777" w:rsidTr="007005E6">
        <w:trPr>
          <w:cantSplit/>
        </w:trPr>
        <w:tc>
          <w:tcPr>
            <w:tcW w:w="2551" w:type="dxa"/>
            <w:shd w:val="clear" w:color="auto" w:fill="auto"/>
          </w:tcPr>
          <w:p w14:paraId="577346F9" w14:textId="77777777" w:rsidR="004E0D3F" w:rsidRPr="00177B6D" w:rsidRDefault="002774D6" w:rsidP="002774D6">
            <w:pPr>
              <w:pStyle w:val="ENoteTableText"/>
              <w:tabs>
                <w:tab w:val="center" w:leader="dot" w:pos="2268"/>
              </w:tabs>
            </w:pPr>
            <w:r w:rsidRPr="00177B6D">
              <w:t>s</w:t>
            </w:r>
            <w:r w:rsidR="004E0D3F" w:rsidRPr="00177B6D">
              <w:t xml:space="preserve"> 30</w:t>
            </w:r>
            <w:r w:rsidR="004E0D3F" w:rsidRPr="00177B6D">
              <w:tab/>
            </w:r>
          </w:p>
        </w:tc>
        <w:tc>
          <w:tcPr>
            <w:tcW w:w="4531" w:type="dxa"/>
            <w:shd w:val="clear" w:color="auto" w:fill="auto"/>
          </w:tcPr>
          <w:p w14:paraId="7C76A1CF" w14:textId="77777777" w:rsidR="004E0D3F" w:rsidRPr="00177B6D" w:rsidRDefault="004E0D3F" w:rsidP="004E0D3F">
            <w:pPr>
              <w:pStyle w:val="ENoteTableText"/>
            </w:pPr>
            <w:r w:rsidRPr="00177B6D">
              <w:t>am No</w:t>
            </w:r>
            <w:r w:rsidR="009163ED" w:rsidRPr="00177B6D">
              <w:t> </w:t>
            </w:r>
            <w:r w:rsidRPr="00177B6D">
              <w:t>181, 1992</w:t>
            </w:r>
          </w:p>
        </w:tc>
      </w:tr>
      <w:tr w:rsidR="004E0D3F" w:rsidRPr="00177B6D" w14:paraId="7C015A71" w14:textId="77777777" w:rsidTr="007005E6">
        <w:trPr>
          <w:cantSplit/>
        </w:trPr>
        <w:tc>
          <w:tcPr>
            <w:tcW w:w="2551" w:type="dxa"/>
            <w:shd w:val="clear" w:color="auto" w:fill="auto"/>
          </w:tcPr>
          <w:p w14:paraId="6F04C4BB" w14:textId="77777777" w:rsidR="004E0D3F" w:rsidRPr="00177B6D" w:rsidRDefault="002774D6" w:rsidP="002774D6">
            <w:pPr>
              <w:pStyle w:val="ENoteTableText"/>
              <w:tabs>
                <w:tab w:val="center" w:leader="dot" w:pos="2268"/>
              </w:tabs>
            </w:pPr>
            <w:r w:rsidRPr="00177B6D">
              <w:t>s</w:t>
            </w:r>
            <w:r w:rsidR="004E0D3F" w:rsidRPr="00177B6D">
              <w:t xml:space="preserve"> 31</w:t>
            </w:r>
            <w:r w:rsidR="004E0D3F" w:rsidRPr="00177B6D">
              <w:tab/>
            </w:r>
          </w:p>
        </w:tc>
        <w:tc>
          <w:tcPr>
            <w:tcW w:w="4531" w:type="dxa"/>
            <w:shd w:val="clear" w:color="auto" w:fill="auto"/>
          </w:tcPr>
          <w:p w14:paraId="24FC3EC9" w14:textId="77777777" w:rsidR="004E0D3F" w:rsidRPr="00177B6D" w:rsidRDefault="004E0D3F" w:rsidP="004E0D3F">
            <w:pPr>
              <w:pStyle w:val="ENoteTableText"/>
            </w:pPr>
            <w:r w:rsidRPr="00177B6D">
              <w:t>am No</w:t>
            </w:r>
            <w:r w:rsidR="009163ED" w:rsidRPr="00177B6D">
              <w:t> </w:t>
            </w:r>
            <w:r w:rsidRPr="00177B6D">
              <w:t>181, 1992; No</w:t>
            </w:r>
            <w:r w:rsidR="009163ED" w:rsidRPr="00177B6D">
              <w:t> </w:t>
            </w:r>
            <w:r w:rsidRPr="00177B6D">
              <w:t>43, 1996; No</w:t>
            </w:r>
            <w:r w:rsidR="009163ED" w:rsidRPr="00177B6D">
              <w:t> </w:t>
            </w:r>
            <w:r w:rsidRPr="00177B6D">
              <w:t>183, 1999; No</w:t>
            </w:r>
            <w:r w:rsidR="009163ED" w:rsidRPr="00177B6D">
              <w:t> </w:t>
            </w:r>
            <w:r w:rsidRPr="00177B6D">
              <w:t>179, 2012</w:t>
            </w:r>
          </w:p>
        </w:tc>
      </w:tr>
      <w:tr w:rsidR="004E0D3F" w:rsidRPr="00177B6D" w14:paraId="09C4535B" w14:textId="77777777" w:rsidTr="007005E6">
        <w:trPr>
          <w:cantSplit/>
        </w:trPr>
        <w:tc>
          <w:tcPr>
            <w:tcW w:w="2551" w:type="dxa"/>
            <w:shd w:val="clear" w:color="auto" w:fill="auto"/>
          </w:tcPr>
          <w:p w14:paraId="5AF78E72" w14:textId="77777777" w:rsidR="004E0D3F" w:rsidRPr="00177B6D" w:rsidRDefault="002774D6" w:rsidP="002774D6">
            <w:pPr>
              <w:pStyle w:val="ENoteTableText"/>
              <w:tabs>
                <w:tab w:val="center" w:leader="dot" w:pos="2268"/>
              </w:tabs>
            </w:pPr>
            <w:r w:rsidRPr="00177B6D">
              <w:t>s</w:t>
            </w:r>
            <w:r w:rsidR="004E0D3F" w:rsidRPr="00177B6D">
              <w:t xml:space="preserve"> 32</w:t>
            </w:r>
            <w:r w:rsidR="004E0D3F" w:rsidRPr="00177B6D">
              <w:tab/>
            </w:r>
          </w:p>
        </w:tc>
        <w:tc>
          <w:tcPr>
            <w:tcW w:w="4531" w:type="dxa"/>
            <w:shd w:val="clear" w:color="auto" w:fill="auto"/>
          </w:tcPr>
          <w:p w14:paraId="66208CBE" w14:textId="77777777" w:rsidR="004E0D3F" w:rsidRPr="00177B6D" w:rsidRDefault="004E0D3F" w:rsidP="008E475A">
            <w:pPr>
              <w:pStyle w:val="ENoteTableText"/>
            </w:pPr>
            <w:r w:rsidRPr="00177B6D">
              <w:t>am No</w:t>
            </w:r>
            <w:r w:rsidR="009163ED" w:rsidRPr="00177B6D">
              <w:t> </w:t>
            </w:r>
            <w:r w:rsidRPr="00177B6D">
              <w:t>181, 1992; No 142</w:t>
            </w:r>
            <w:r w:rsidR="008E475A" w:rsidRPr="00177B6D">
              <w:t xml:space="preserve">, 2001; No </w:t>
            </w:r>
            <w:r w:rsidRPr="00177B6D">
              <w:t>144, 2001; No</w:t>
            </w:r>
            <w:r w:rsidR="009163ED" w:rsidRPr="00177B6D">
              <w:t> </w:t>
            </w:r>
            <w:r w:rsidRPr="00177B6D">
              <w:t>179, 2012</w:t>
            </w:r>
            <w:r w:rsidR="00C34586" w:rsidRPr="00177B6D">
              <w:t>; No 18, 2023</w:t>
            </w:r>
          </w:p>
        </w:tc>
      </w:tr>
      <w:tr w:rsidR="004E0D3F" w:rsidRPr="00177B6D" w14:paraId="0DF260AB" w14:textId="77777777" w:rsidTr="007005E6">
        <w:trPr>
          <w:cantSplit/>
        </w:trPr>
        <w:tc>
          <w:tcPr>
            <w:tcW w:w="2551" w:type="dxa"/>
            <w:shd w:val="clear" w:color="auto" w:fill="auto"/>
          </w:tcPr>
          <w:p w14:paraId="4BBE86FA" w14:textId="77777777" w:rsidR="004E0D3F" w:rsidRPr="00177B6D" w:rsidRDefault="002774D6" w:rsidP="002774D6">
            <w:pPr>
              <w:pStyle w:val="ENoteTableText"/>
              <w:tabs>
                <w:tab w:val="center" w:leader="dot" w:pos="2268"/>
              </w:tabs>
            </w:pPr>
            <w:r w:rsidRPr="00177B6D">
              <w:t>s</w:t>
            </w:r>
            <w:r w:rsidR="004E0D3F" w:rsidRPr="00177B6D">
              <w:t xml:space="preserve"> 33</w:t>
            </w:r>
            <w:r w:rsidR="004E0D3F" w:rsidRPr="00177B6D">
              <w:tab/>
            </w:r>
          </w:p>
        </w:tc>
        <w:tc>
          <w:tcPr>
            <w:tcW w:w="4531" w:type="dxa"/>
            <w:shd w:val="clear" w:color="auto" w:fill="auto"/>
          </w:tcPr>
          <w:p w14:paraId="674CF225" w14:textId="77777777" w:rsidR="004E0D3F" w:rsidRPr="00177B6D" w:rsidRDefault="004E0D3F" w:rsidP="004E0D3F">
            <w:pPr>
              <w:pStyle w:val="ENoteTableText"/>
            </w:pPr>
            <w:r w:rsidRPr="00177B6D">
              <w:t>am No</w:t>
            </w:r>
            <w:r w:rsidR="009163ED" w:rsidRPr="00177B6D">
              <w:t> </w:t>
            </w:r>
            <w:r w:rsidRPr="00177B6D">
              <w:t>181, 1992; No</w:t>
            </w:r>
            <w:r w:rsidR="009163ED" w:rsidRPr="00177B6D">
              <w:t> </w:t>
            </w:r>
            <w:r w:rsidRPr="00177B6D">
              <w:t>183, 1999; No</w:t>
            </w:r>
            <w:r w:rsidR="009163ED" w:rsidRPr="00177B6D">
              <w:t> </w:t>
            </w:r>
            <w:r w:rsidRPr="00177B6D">
              <w:t>179, 2012</w:t>
            </w:r>
            <w:r w:rsidR="00C34586" w:rsidRPr="00177B6D">
              <w:t>; No 18, 2023</w:t>
            </w:r>
          </w:p>
        </w:tc>
      </w:tr>
      <w:tr w:rsidR="004E0D3F" w:rsidRPr="00177B6D" w14:paraId="1F59B70D" w14:textId="77777777" w:rsidTr="007005E6">
        <w:trPr>
          <w:cantSplit/>
        </w:trPr>
        <w:tc>
          <w:tcPr>
            <w:tcW w:w="2551" w:type="dxa"/>
            <w:shd w:val="clear" w:color="auto" w:fill="auto"/>
          </w:tcPr>
          <w:p w14:paraId="267330D4" w14:textId="77777777" w:rsidR="004E0D3F" w:rsidRPr="00177B6D" w:rsidRDefault="002774D6" w:rsidP="002774D6">
            <w:pPr>
              <w:pStyle w:val="ENoteTableText"/>
              <w:tabs>
                <w:tab w:val="center" w:leader="dot" w:pos="2268"/>
              </w:tabs>
            </w:pPr>
            <w:r w:rsidRPr="00177B6D">
              <w:t>s</w:t>
            </w:r>
            <w:r w:rsidR="004E0D3F" w:rsidRPr="00177B6D">
              <w:t xml:space="preserve"> 33A</w:t>
            </w:r>
            <w:r w:rsidR="004E0D3F" w:rsidRPr="00177B6D">
              <w:tab/>
            </w:r>
          </w:p>
        </w:tc>
        <w:tc>
          <w:tcPr>
            <w:tcW w:w="4531" w:type="dxa"/>
            <w:shd w:val="clear" w:color="auto" w:fill="auto"/>
          </w:tcPr>
          <w:p w14:paraId="2C24EB0A" w14:textId="77777777" w:rsidR="004E0D3F" w:rsidRPr="00177B6D" w:rsidRDefault="004E0D3F" w:rsidP="004E0D3F">
            <w:pPr>
              <w:pStyle w:val="ENoteTableText"/>
            </w:pPr>
            <w:r w:rsidRPr="00177B6D">
              <w:t>ad No</w:t>
            </w:r>
            <w:r w:rsidR="009163ED" w:rsidRPr="00177B6D">
              <w:t> </w:t>
            </w:r>
            <w:r w:rsidRPr="00177B6D">
              <w:t>179, 2012</w:t>
            </w:r>
          </w:p>
        </w:tc>
      </w:tr>
      <w:tr w:rsidR="00BB08BC" w:rsidRPr="00177B6D" w14:paraId="041D6A1D" w14:textId="77777777" w:rsidTr="007005E6">
        <w:trPr>
          <w:cantSplit/>
        </w:trPr>
        <w:tc>
          <w:tcPr>
            <w:tcW w:w="2551" w:type="dxa"/>
            <w:tcBorders>
              <w:bottom w:val="single" w:sz="12" w:space="0" w:color="auto"/>
            </w:tcBorders>
            <w:shd w:val="clear" w:color="auto" w:fill="auto"/>
          </w:tcPr>
          <w:p w14:paraId="4FD02E16" w14:textId="77777777" w:rsidR="00BB08BC" w:rsidRPr="00177B6D" w:rsidRDefault="00BB08BC" w:rsidP="002774D6">
            <w:pPr>
              <w:pStyle w:val="ENoteTableText"/>
              <w:tabs>
                <w:tab w:val="center" w:leader="dot" w:pos="2268"/>
              </w:tabs>
            </w:pPr>
          </w:p>
        </w:tc>
        <w:tc>
          <w:tcPr>
            <w:tcW w:w="4531" w:type="dxa"/>
            <w:tcBorders>
              <w:bottom w:val="single" w:sz="12" w:space="0" w:color="auto"/>
            </w:tcBorders>
            <w:shd w:val="clear" w:color="auto" w:fill="auto"/>
          </w:tcPr>
          <w:p w14:paraId="0084DCF6" w14:textId="77777777" w:rsidR="00BB08BC" w:rsidRPr="00177B6D" w:rsidRDefault="00BB08BC" w:rsidP="004E0D3F">
            <w:pPr>
              <w:pStyle w:val="ENoteTableText"/>
            </w:pPr>
            <w:r w:rsidRPr="00177B6D">
              <w:t>am No 126, 2015</w:t>
            </w:r>
          </w:p>
        </w:tc>
      </w:tr>
    </w:tbl>
    <w:p w14:paraId="777C9C78" w14:textId="77777777" w:rsidR="004E0D3F" w:rsidRPr="00177B6D" w:rsidRDefault="004E0D3F" w:rsidP="008E475A">
      <w:pPr>
        <w:pStyle w:val="Tabletext"/>
      </w:pPr>
    </w:p>
    <w:p w14:paraId="028BAD4D" w14:textId="77777777" w:rsidR="004E0D3F" w:rsidRPr="00177B6D" w:rsidRDefault="004E0D3F" w:rsidP="001F39B5">
      <w:pPr>
        <w:sectPr w:rsidR="004E0D3F" w:rsidRPr="00177B6D" w:rsidSect="00E77844">
          <w:headerReference w:type="even" r:id="rId27"/>
          <w:headerReference w:type="default" r:id="rId28"/>
          <w:footerReference w:type="even" r:id="rId29"/>
          <w:footerReference w:type="default" r:id="rId30"/>
          <w:footerReference w:type="first" r:id="rId31"/>
          <w:pgSz w:w="11907" w:h="16839"/>
          <w:pgMar w:top="2381" w:right="2410" w:bottom="4252" w:left="2410" w:header="720" w:footer="3402" w:gutter="0"/>
          <w:cols w:space="708"/>
          <w:docGrid w:linePitch="360"/>
        </w:sectPr>
      </w:pPr>
    </w:p>
    <w:p w14:paraId="43842762" w14:textId="77777777" w:rsidR="004E0D3F" w:rsidRPr="00177B6D" w:rsidRDefault="004E0D3F" w:rsidP="001F39B5"/>
    <w:sectPr w:rsidR="004E0D3F" w:rsidRPr="00177B6D" w:rsidSect="00E77844">
      <w:type w:val="continuous"/>
      <w:pgSz w:w="11907" w:h="16839"/>
      <w:pgMar w:top="2268" w:right="2410" w:bottom="3827" w:left="2410" w:header="567" w:footer="3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C66BD" w14:textId="77777777" w:rsidR="005D6724" w:rsidRPr="00431A51" w:rsidRDefault="005D6724" w:rsidP="007532C3">
      <w:pPr>
        <w:spacing w:line="240" w:lineRule="auto"/>
      </w:pPr>
      <w:r>
        <w:separator/>
      </w:r>
    </w:p>
  </w:endnote>
  <w:endnote w:type="continuationSeparator" w:id="0">
    <w:p w14:paraId="26FC5589" w14:textId="77777777" w:rsidR="005D6724" w:rsidRPr="00431A51" w:rsidRDefault="005D6724" w:rsidP="0075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8059A" w14:textId="77777777" w:rsidR="005D6724" w:rsidRDefault="005D6724">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27CF" w14:textId="77777777" w:rsidR="007005E6" w:rsidRPr="007B3B51" w:rsidRDefault="007005E6"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7005E6" w:rsidRPr="007B3B51" w14:paraId="6828D873" w14:textId="77777777" w:rsidTr="007005E6">
      <w:tc>
        <w:tcPr>
          <w:tcW w:w="854" w:type="pct"/>
        </w:tcPr>
        <w:p w14:paraId="034A21A5" w14:textId="77777777" w:rsidR="007005E6" w:rsidRPr="007B3B51" w:rsidRDefault="007005E6" w:rsidP="00C94853">
          <w:pPr>
            <w:rPr>
              <w:i/>
              <w:sz w:val="16"/>
              <w:szCs w:val="16"/>
            </w:rPr>
          </w:pPr>
        </w:p>
      </w:tc>
      <w:tc>
        <w:tcPr>
          <w:tcW w:w="3688" w:type="pct"/>
          <w:gridSpan w:val="3"/>
        </w:tcPr>
        <w:p w14:paraId="4DF96AB7" w14:textId="3F5E4010" w:rsidR="007005E6" w:rsidRPr="007B3B51" w:rsidRDefault="007005E6"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77844">
            <w:rPr>
              <w:i/>
              <w:noProof/>
              <w:sz w:val="16"/>
              <w:szCs w:val="16"/>
            </w:rPr>
            <w:t>Workplace Gender Equality Act 2012</w:t>
          </w:r>
          <w:r w:rsidRPr="007B3B51">
            <w:rPr>
              <w:i/>
              <w:sz w:val="16"/>
              <w:szCs w:val="16"/>
            </w:rPr>
            <w:fldChar w:fldCharType="end"/>
          </w:r>
        </w:p>
      </w:tc>
      <w:tc>
        <w:tcPr>
          <w:tcW w:w="458" w:type="pct"/>
        </w:tcPr>
        <w:p w14:paraId="747FDC06" w14:textId="77777777" w:rsidR="007005E6" w:rsidRPr="007B3B51" w:rsidRDefault="007005E6"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7005E6" w:rsidRPr="00130F37" w14:paraId="5C71BA96" w14:textId="77777777" w:rsidTr="007005E6">
      <w:tc>
        <w:tcPr>
          <w:tcW w:w="1499" w:type="pct"/>
          <w:gridSpan w:val="2"/>
        </w:tcPr>
        <w:p w14:paraId="0204A0CD" w14:textId="3CFA59DB" w:rsidR="007005E6" w:rsidRPr="00130F37" w:rsidRDefault="007005E6"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785161">
            <w:rPr>
              <w:rFonts w:cs="Times New Roman"/>
              <w:sz w:val="16"/>
              <w:szCs w:val="16"/>
            </w:rPr>
            <w:t>23</w:t>
          </w:r>
          <w:r w:rsidRPr="00A02D20">
            <w:rPr>
              <w:sz w:val="16"/>
              <w:szCs w:val="16"/>
            </w:rPr>
            <w:fldChar w:fldCharType="end"/>
          </w:r>
        </w:p>
      </w:tc>
      <w:tc>
        <w:tcPr>
          <w:tcW w:w="1703" w:type="pct"/>
        </w:tcPr>
        <w:p w14:paraId="069996F7" w14:textId="77777777" w:rsidR="007005E6" w:rsidRPr="00130F37" w:rsidRDefault="007005E6" w:rsidP="006D2C4C">
          <w:pPr>
            <w:spacing w:before="120"/>
            <w:rPr>
              <w:sz w:val="16"/>
              <w:szCs w:val="16"/>
            </w:rPr>
          </w:pPr>
        </w:p>
      </w:tc>
      <w:tc>
        <w:tcPr>
          <w:tcW w:w="1798" w:type="pct"/>
          <w:gridSpan w:val="2"/>
        </w:tcPr>
        <w:p w14:paraId="4D4147F1" w14:textId="5FC82198" w:rsidR="007005E6" w:rsidRPr="00130F37" w:rsidRDefault="007005E6"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785161">
            <w:rPr>
              <w:rFonts w:cs="Times New Roman"/>
              <w:sz w:val="16"/>
              <w:szCs w:val="16"/>
            </w:rPr>
            <w:t>04/04/2025</w:t>
          </w:r>
          <w:r w:rsidRPr="00A02D20">
            <w:rPr>
              <w:sz w:val="16"/>
              <w:szCs w:val="16"/>
            </w:rPr>
            <w:fldChar w:fldCharType="end"/>
          </w:r>
        </w:p>
      </w:tc>
    </w:tr>
  </w:tbl>
  <w:p w14:paraId="1F7E8115" w14:textId="4EADC227" w:rsidR="005D6724" w:rsidRPr="00496B08" w:rsidRDefault="005D6724" w:rsidP="00496B0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3EE08" w14:textId="77777777" w:rsidR="005D6724" w:rsidRPr="007A1328" w:rsidRDefault="005D6724" w:rsidP="00B73E71">
    <w:pPr>
      <w:pBdr>
        <w:top w:val="single" w:sz="6" w:space="1" w:color="auto"/>
      </w:pBdr>
      <w:spacing w:before="120"/>
      <w:rPr>
        <w:sz w:val="18"/>
      </w:rPr>
    </w:pPr>
  </w:p>
  <w:p w14:paraId="5C8F7BB3" w14:textId="09646A6B" w:rsidR="005D6724" w:rsidRPr="007A1328" w:rsidRDefault="005D6724" w:rsidP="00B73E71">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785161">
      <w:rPr>
        <w:i/>
        <w:noProof/>
        <w:sz w:val="18"/>
      </w:rPr>
      <w:t>Workplace Gender Equality Act 2012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785161">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42</w:t>
    </w:r>
    <w:r w:rsidRPr="007A1328">
      <w:rPr>
        <w:i/>
        <w:sz w:val="18"/>
      </w:rPr>
      <w:fldChar w:fldCharType="end"/>
    </w:r>
  </w:p>
  <w:p w14:paraId="07897738" w14:textId="77777777" w:rsidR="005D6724" w:rsidRPr="007A1328" w:rsidRDefault="005D6724" w:rsidP="00B73E71">
    <w:pPr>
      <w:rPr>
        <w:i/>
        <w:sz w:val="18"/>
      </w:rPr>
    </w:pPr>
    <w:r w:rsidRPr="007A132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6B45D" w14:textId="77777777" w:rsidR="005D6724" w:rsidRDefault="005D6724" w:rsidP="00160A95">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FC69" w14:textId="77777777" w:rsidR="005D6724" w:rsidRPr="00ED79B6" w:rsidRDefault="005D6724" w:rsidP="00160A95">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73AA0" w14:textId="77777777" w:rsidR="007005E6" w:rsidRPr="007B3B51" w:rsidRDefault="007005E6"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7005E6" w:rsidRPr="007B3B51" w14:paraId="2CEED980" w14:textId="77777777" w:rsidTr="007005E6">
      <w:tc>
        <w:tcPr>
          <w:tcW w:w="854" w:type="pct"/>
        </w:tcPr>
        <w:p w14:paraId="7B91068E" w14:textId="77777777" w:rsidR="007005E6" w:rsidRPr="007B3B51" w:rsidRDefault="007005E6"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05B56E26" w14:textId="18EDB9E4" w:rsidR="007005E6" w:rsidRPr="007B3B51" w:rsidRDefault="007005E6"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77844">
            <w:rPr>
              <w:i/>
              <w:noProof/>
              <w:sz w:val="16"/>
              <w:szCs w:val="16"/>
            </w:rPr>
            <w:t>Workplace Gender Equality Act 2012</w:t>
          </w:r>
          <w:r w:rsidRPr="007B3B51">
            <w:rPr>
              <w:i/>
              <w:sz w:val="16"/>
              <w:szCs w:val="16"/>
            </w:rPr>
            <w:fldChar w:fldCharType="end"/>
          </w:r>
        </w:p>
      </w:tc>
      <w:tc>
        <w:tcPr>
          <w:tcW w:w="458" w:type="pct"/>
        </w:tcPr>
        <w:p w14:paraId="1C4F6553" w14:textId="77777777" w:rsidR="007005E6" w:rsidRPr="007B3B51" w:rsidRDefault="007005E6" w:rsidP="00C94853">
          <w:pPr>
            <w:jc w:val="right"/>
            <w:rPr>
              <w:sz w:val="16"/>
              <w:szCs w:val="16"/>
            </w:rPr>
          </w:pPr>
        </w:p>
      </w:tc>
    </w:tr>
    <w:tr w:rsidR="007005E6" w:rsidRPr="0055472E" w14:paraId="12535C21" w14:textId="77777777" w:rsidTr="007005E6">
      <w:tc>
        <w:tcPr>
          <w:tcW w:w="1498" w:type="pct"/>
          <w:gridSpan w:val="2"/>
        </w:tcPr>
        <w:p w14:paraId="621ACDC1" w14:textId="2BA5F317" w:rsidR="007005E6" w:rsidRPr="0055472E" w:rsidRDefault="007005E6"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85161">
            <w:rPr>
              <w:sz w:val="16"/>
              <w:szCs w:val="16"/>
            </w:rPr>
            <w:t>23</w:t>
          </w:r>
          <w:r w:rsidRPr="0055472E">
            <w:rPr>
              <w:sz w:val="16"/>
              <w:szCs w:val="16"/>
            </w:rPr>
            <w:fldChar w:fldCharType="end"/>
          </w:r>
        </w:p>
      </w:tc>
      <w:tc>
        <w:tcPr>
          <w:tcW w:w="1703" w:type="pct"/>
        </w:tcPr>
        <w:p w14:paraId="39543F2E" w14:textId="77777777" w:rsidR="007005E6" w:rsidRPr="0055472E" w:rsidRDefault="007005E6" w:rsidP="006D2C4C">
          <w:pPr>
            <w:spacing w:before="120"/>
            <w:rPr>
              <w:sz w:val="16"/>
              <w:szCs w:val="16"/>
            </w:rPr>
          </w:pPr>
        </w:p>
      </w:tc>
      <w:tc>
        <w:tcPr>
          <w:tcW w:w="1799" w:type="pct"/>
          <w:gridSpan w:val="2"/>
        </w:tcPr>
        <w:p w14:paraId="700887EC" w14:textId="21582159" w:rsidR="007005E6" w:rsidRPr="0055472E" w:rsidRDefault="007005E6"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785161">
            <w:rPr>
              <w:sz w:val="16"/>
              <w:szCs w:val="16"/>
            </w:rPr>
            <w:t>04/04/2025</w:t>
          </w:r>
          <w:r w:rsidRPr="0055472E">
            <w:rPr>
              <w:sz w:val="16"/>
              <w:szCs w:val="16"/>
            </w:rPr>
            <w:fldChar w:fldCharType="end"/>
          </w:r>
        </w:p>
      </w:tc>
    </w:tr>
  </w:tbl>
  <w:p w14:paraId="65B45806" w14:textId="07A52132" w:rsidR="005D6724" w:rsidRPr="00496B08" w:rsidRDefault="005D6724" w:rsidP="00496B0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C02EB" w14:textId="77777777" w:rsidR="007005E6" w:rsidRPr="007B3B51" w:rsidRDefault="007005E6"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7005E6" w:rsidRPr="007B3B51" w14:paraId="6A15908C" w14:textId="77777777" w:rsidTr="007005E6">
      <w:tc>
        <w:tcPr>
          <w:tcW w:w="854" w:type="pct"/>
        </w:tcPr>
        <w:p w14:paraId="7598EEF3" w14:textId="77777777" w:rsidR="007005E6" w:rsidRPr="007B3B51" w:rsidRDefault="007005E6" w:rsidP="00C94853">
          <w:pPr>
            <w:rPr>
              <w:i/>
              <w:sz w:val="16"/>
              <w:szCs w:val="16"/>
            </w:rPr>
          </w:pPr>
        </w:p>
      </w:tc>
      <w:tc>
        <w:tcPr>
          <w:tcW w:w="3688" w:type="pct"/>
          <w:gridSpan w:val="3"/>
        </w:tcPr>
        <w:p w14:paraId="0713E19B" w14:textId="46C3885D" w:rsidR="007005E6" w:rsidRPr="007B3B51" w:rsidRDefault="007005E6"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77844">
            <w:rPr>
              <w:i/>
              <w:noProof/>
              <w:sz w:val="16"/>
              <w:szCs w:val="16"/>
            </w:rPr>
            <w:t>Workplace Gender Equality Act 2012</w:t>
          </w:r>
          <w:r w:rsidRPr="007B3B51">
            <w:rPr>
              <w:i/>
              <w:sz w:val="16"/>
              <w:szCs w:val="16"/>
            </w:rPr>
            <w:fldChar w:fldCharType="end"/>
          </w:r>
        </w:p>
      </w:tc>
      <w:tc>
        <w:tcPr>
          <w:tcW w:w="458" w:type="pct"/>
        </w:tcPr>
        <w:p w14:paraId="20C2BE91" w14:textId="77777777" w:rsidR="007005E6" w:rsidRPr="007B3B51" w:rsidRDefault="007005E6"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7005E6" w:rsidRPr="00130F37" w14:paraId="6E12AC62" w14:textId="77777777" w:rsidTr="007005E6">
      <w:tc>
        <w:tcPr>
          <w:tcW w:w="1499" w:type="pct"/>
          <w:gridSpan w:val="2"/>
        </w:tcPr>
        <w:p w14:paraId="58573CD3" w14:textId="6F6BA77C" w:rsidR="007005E6" w:rsidRPr="00130F37" w:rsidRDefault="007005E6"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785161">
            <w:rPr>
              <w:rFonts w:cs="Times New Roman"/>
              <w:sz w:val="16"/>
              <w:szCs w:val="16"/>
            </w:rPr>
            <w:t>23</w:t>
          </w:r>
          <w:r w:rsidRPr="00A02D20">
            <w:rPr>
              <w:sz w:val="16"/>
              <w:szCs w:val="16"/>
            </w:rPr>
            <w:fldChar w:fldCharType="end"/>
          </w:r>
        </w:p>
      </w:tc>
      <w:tc>
        <w:tcPr>
          <w:tcW w:w="1703" w:type="pct"/>
        </w:tcPr>
        <w:p w14:paraId="25C54F0F" w14:textId="77777777" w:rsidR="007005E6" w:rsidRPr="00130F37" w:rsidRDefault="007005E6" w:rsidP="006D2C4C">
          <w:pPr>
            <w:spacing w:before="120"/>
            <w:rPr>
              <w:sz w:val="16"/>
              <w:szCs w:val="16"/>
            </w:rPr>
          </w:pPr>
        </w:p>
      </w:tc>
      <w:tc>
        <w:tcPr>
          <w:tcW w:w="1798" w:type="pct"/>
          <w:gridSpan w:val="2"/>
        </w:tcPr>
        <w:p w14:paraId="1D76B536" w14:textId="0474B0F6" w:rsidR="007005E6" w:rsidRPr="00130F37" w:rsidRDefault="007005E6"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785161">
            <w:rPr>
              <w:rFonts w:cs="Times New Roman"/>
              <w:sz w:val="16"/>
              <w:szCs w:val="16"/>
            </w:rPr>
            <w:t>04/04/2025</w:t>
          </w:r>
          <w:r w:rsidRPr="00A02D20">
            <w:rPr>
              <w:sz w:val="16"/>
              <w:szCs w:val="16"/>
            </w:rPr>
            <w:fldChar w:fldCharType="end"/>
          </w:r>
        </w:p>
      </w:tc>
    </w:tr>
  </w:tbl>
  <w:p w14:paraId="61B2D972" w14:textId="02FE172E" w:rsidR="005D6724" w:rsidRPr="00496B08" w:rsidRDefault="005D6724" w:rsidP="00496B0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BA3" w14:textId="77777777" w:rsidR="007005E6" w:rsidRPr="007B3B51" w:rsidRDefault="007005E6"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7005E6" w:rsidRPr="007B3B51" w14:paraId="10E1DBE8" w14:textId="77777777" w:rsidTr="007005E6">
      <w:tc>
        <w:tcPr>
          <w:tcW w:w="854" w:type="pct"/>
        </w:tcPr>
        <w:p w14:paraId="55FDB6CD" w14:textId="77777777" w:rsidR="007005E6" w:rsidRPr="007B3B51" w:rsidRDefault="007005E6"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015AC778" w14:textId="1E51ACF9" w:rsidR="007005E6" w:rsidRPr="007B3B51" w:rsidRDefault="007005E6"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77844">
            <w:rPr>
              <w:i/>
              <w:noProof/>
              <w:sz w:val="16"/>
              <w:szCs w:val="16"/>
            </w:rPr>
            <w:t>Workplace Gender Equality Act 2012</w:t>
          </w:r>
          <w:r w:rsidRPr="007B3B51">
            <w:rPr>
              <w:i/>
              <w:sz w:val="16"/>
              <w:szCs w:val="16"/>
            </w:rPr>
            <w:fldChar w:fldCharType="end"/>
          </w:r>
        </w:p>
      </w:tc>
      <w:tc>
        <w:tcPr>
          <w:tcW w:w="458" w:type="pct"/>
        </w:tcPr>
        <w:p w14:paraId="12A2F6C7" w14:textId="77777777" w:rsidR="007005E6" w:rsidRPr="007B3B51" w:rsidRDefault="007005E6" w:rsidP="00C94853">
          <w:pPr>
            <w:jc w:val="right"/>
            <w:rPr>
              <w:sz w:val="16"/>
              <w:szCs w:val="16"/>
            </w:rPr>
          </w:pPr>
        </w:p>
      </w:tc>
    </w:tr>
    <w:tr w:rsidR="007005E6" w:rsidRPr="0055472E" w14:paraId="20CBD6FA" w14:textId="77777777" w:rsidTr="007005E6">
      <w:tc>
        <w:tcPr>
          <w:tcW w:w="1498" w:type="pct"/>
          <w:gridSpan w:val="2"/>
        </w:tcPr>
        <w:p w14:paraId="43BE0752" w14:textId="0B9B9A2B" w:rsidR="007005E6" w:rsidRPr="0055472E" w:rsidRDefault="007005E6"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85161">
            <w:rPr>
              <w:sz w:val="16"/>
              <w:szCs w:val="16"/>
            </w:rPr>
            <w:t>23</w:t>
          </w:r>
          <w:r w:rsidRPr="0055472E">
            <w:rPr>
              <w:sz w:val="16"/>
              <w:szCs w:val="16"/>
            </w:rPr>
            <w:fldChar w:fldCharType="end"/>
          </w:r>
        </w:p>
      </w:tc>
      <w:tc>
        <w:tcPr>
          <w:tcW w:w="1703" w:type="pct"/>
        </w:tcPr>
        <w:p w14:paraId="6C2BA12D" w14:textId="77777777" w:rsidR="007005E6" w:rsidRPr="0055472E" w:rsidRDefault="007005E6" w:rsidP="006D2C4C">
          <w:pPr>
            <w:spacing w:before="120"/>
            <w:rPr>
              <w:sz w:val="16"/>
              <w:szCs w:val="16"/>
            </w:rPr>
          </w:pPr>
        </w:p>
      </w:tc>
      <w:tc>
        <w:tcPr>
          <w:tcW w:w="1799" w:type="pct"/>
          <w:gridSpan w:val="2"/>
        </w:tcPr>
        <w:p w14:paraId="60D32F56" w14:textId="54252CDE" w:rsidR="007005E6" w:rsidRPr="0055472E" w:rsidRDefault="007005E6"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785161">
            <w:rPr>
              <w:sz w:val="16"/>
              <w:szCs w:val="16"/>
            </w:rPr>
            <w:t>04/04/2025</w:t>
          </w:r>
          <w:r w:rsidRPr="0055472E">
            <w:rPr>
              <w:sz w:val="16"/>
              <w:szCs w:val="16"/>
            </w:rPr>
            <w:fldChar w:fldCharType="end"/>
          </w:r>
        </w:p>
      </w:tc>
    </w:tr>
  </w:tbl>
  <w:p w14:paraId="088D1410" w14:textId="379DB353" w:rsidR="005D6724" w:rsidRPr="00496B08" w:rsidRDefault="005D6724" w:rsidP="00496B0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1518" w14:textId="77777777" w:rsidR="007005E6" w:rsidRPr="007B3B51" w:rsidRDefault="007005E6"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7005E6" w:rsidRPr="007B3B51" w14:paraId="50FBF652" w14:textId="77777777" w:rsidTr="007005E6">
      <w:tc>
        <w:tcPr>
          <w:tcW w:w="854" w:type="pct"/>
        </w:tcPr>
        <w:p w14:paraId="674C1E45" w14:textId="77777777" w:rsidR="007005E6" w:rsidRPr="007B3B51" w:rsidRDefault="007005E6" w:rsidP="00C94853">
          <w:pPr>
            <w:rPr>
              <w:i/>
              <w:sz w:val="16"/>
              <w:szCs w:val="16"/>
            </w:rPr>
          </w:pPr>
        </w:p>
      </w:tc>
      <w:tc>
        <w:tcPr>
          <w:tcW w:w="3688" w:type="pct"/>
          <w:gridSpan w:val="3"/>
        </w:tcPr>
        <w:p w14:paraId="6E323446" w14:textId="4F0DFF53" w:rsidR="007005E6" w:rsidRPr="007B3B51" w:rsidRDefault="007005E6"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77844">
            <w:rPr>
              <w:i/>
              <w:noProof/>
              <w:sz w:val="16"/>
              <w:szCs w:val="16"/>
            </w:rPr>
            <w:t>Workplace Gender Equality Act 2012</w:t>
          </w:r>
          <w:r w:rsidRPr="007B3B51">
            <w:rPr>
              <w:i/>
              <w:sz w:val="16"/>
              <w:szCs w:val="16"/>
            </w:rPr>
            <w:fldChar w:fldCharType="end"/>
          </w:r>
        </w:p>
      </w:tc>
      <w:tc>
        <w:tcPr>
          <w:tcW w:w="458" w:type="pct"/>
        </w:tcPr>
        <w:p w14:paraId="170C6143" w14:textId="77777777" w:rsidR="007005E6" w:rsidRPr="007B3B51" w:rsidRDefault="007005E6"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7005E6" w:rsidRPr="00130F37" w14:paraId="6CE6900E" w14:textId="77777777" w:rsidTr="007005E6">
      <w:tc>
        <w:tcPr>
          <w:tcW w:w="1499" w:type="pct"/>
          <w:gridSpan w:val="2"/>
        </w:tcPr>
        <w:p w14:paraId="6D257D5B" w14:textId="05B66E9C" w:rsidR="007005E6" w:rsidRPr="00130F37" w:rsidRDefault="007005E6"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785161">
            <w:rPr>
              <w:rFonts w:cs="Times New Roman"/>
              <w:sz w:val="16"/>
              <w:szCs w:val="16"/>
            </w:rPr>
            <w:t>23</w:t>
          </w:r>
          <w:r w:rsidRPr="00A02D20">
            <w:rPr>
              <w:sz w:val="16"/>
              <w:szCs w:val="16"/>
            </w:rPr>
            <w:fldChar w:fldCharType="end"/>
          </w:r>
        </w:p>
      </w:tc>
      <w:tc>
        <w:tcPr>
          <w:tcW w:w="1703" w:type="pct"/>
        </w:tcPr>
        <w:p w14:paraId="5246F688" w14:textId="77777777" w:rsidR="007005E6" w:rsidRPr="00130F37" w:rsidRDefault="007005E6" w:rsidP="006D2C4C">
          <w:pPr>
            <w:spacing w:before="120"/>
            <w:rPr>
              <w:sz w:val="16"/>
              <w:szCs w:val="16"/>
            </w:rPr>
          </w:pPr>
        </w:p>
      </w:tc>
      <w:tc>
        <w:tcPr>
          <w:tcW w:w="1798" w:type="pct"/>
          <w:gridSpan w:val="2"/>
        </w:tcPr>
        <w:p w14:paraId="076C9D98" w14:textId="02A97128" w:rsidR="007005E6" w:rsidRPr="00130F37" w:rsidRDefault="007005E6"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785161">
            <w:rPr>
              <w:rFonts w:cs="Times New Roman"/>
              <w:sz w:val="16"/>
              <w:szCs w:val="16"/>
            </w:rPr>
            <w:t>04/04/2025</w:t>
          </w:r>
          <w:r w:rsidRPr="00A02D20">
            <w:rPr>
              <w:sz w:val="16"/>
              <w:szCs w:val="16"/>
            </w:rPr>
            <w:fldChar w:fldCharType="end"/>
          </w:r>
        </w:p>
      </w:tc>
    </w:tr>
  </w:tbl>
  <w:p w14:paraId="388EF599" w14:textId="2EBEFD74" w:rsidR="005D6724" w:rsidRPr="00496B08" w:rsidRDefault="005D6724" w:rsidP="00496B0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7868B" w14:textId="77777777" w:rsidR="005D6724" w:rsidRPr="007A1328" w:rsidRDefault="005D6724" w:rsidP="00653362">
    <w:pPr>
      <w:pBdr>
        <w:top w:val="single" w:sz="6" w:space="1" w:color="auto"/>
      </w:pBdr>
      <w:spacing w:before="120"/>
      <w:rPr>
        <w:sz w:val="18"/>
      </w:rPr>
    </w:pPr>
  </w:p>
  <w:p w14:paraId="75B13691" w14:textId="0F20E1E0" w:rsidR="005D6724" w:rsidRPr="007A1328" w:rsidRDefault="005D6724" w:rsidP="00653362">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785161">
      <w:rPr>
        <w:i/>
        <w:noProof/>
        <w:sz w:val="18"/>
      </w:rPr>
      <w:t>Workplace Gender Equality Act 2012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785161">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42</w:t>
    </w:r>
    <w:r w:rsidRPr="007A1328">
      <w:rPr>
        <w:i/>
        <w:sz w:val="18"/>
      </w:rPr>
      <w:fldChar w:fldCharType="end"/>
    </w:r>
  </w:p>
  <w:p w14:paraId="2A876219" w14:textId="77777777" w:rsidR="005D6724" w:rsidRPr="007A1328" w:rsidRDefault="005D6724" w:rsidP="00653362">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65DF9" w14:textId="77777777" w:rsidR="007005E6" w:rsidRPr="007B3B51" w:rsidRDefault="007005E6"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7005E6" w:rsidRPr="007B3B51" w14:paraId="1751F11A" w14:textId="77777777" w:rsidTr="007005E6">
      <w:tc>
        <w:tcPr>
          <w:tcW w:w="854" w:type="pct"/>
        </w:tcPr>
        <w:p w14:paraId="161FE36A" w14:textId="77777777" w:rsidR="007005E6" w:rsidRPr="007B3B51" w:rsidRDefault="007005E6"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606417B2" w14:textId="797E8DCD" w:rsidR="007005E6" w:rsidRPr="007B3B51" w:rsidRDefault="007005E6"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77844">
            <w:rPr>
              <w:i/>
              <w:noProof/>
              <w:sz w:val="16"/>
              <w:szCs w:val="16"/>
            </w:rPr>
            <w:t>Workplace Gender Equality Act 2012</w:t>
          </w:r>
          <w:r w:rsidRPr="007B3B51">
            <w:rPr>
              <w:i/>
              <w:sz w:val="16"/>
              <w:szCs w:val="16"/>
            </w:rPr>
            <w:fldChar w:fldCharType="end"/>
          </w:r>
        </w:p>
      </w:tc>
      <w:tc>
        <w:tcPr>
          <w:tcW w:w="458" w:type="pct"/>
        </w:tcPr>
        <w:p w14:paraId="7AEDFEB9" w14:textId="77777777" w:rsidR="007005E6" w:rsidRPr="007B3B51" w:rsidRDefault="007005E6" w:rsidP="00C94853">
          <w:pPr>
            <w:jc w:val="right"/>
            <w:rPr>
              <w:sz w:val="16"/>
              <w:szCs w:val="16"/>
            </w:rPr>
          </w:pPr>
        </w:p>
      </w:tc>
    </w:tr>
    <w:tr w:rsidR="007005E6" w:rsidRPr="0055472E" w14:paraId="2FA862F2" w14:textId="77777777" w:rsidTr="007005E6">
      <w:tc>
        <w:tcPr>
          <w:tcW w:w="1498" w:type="pct"/>
          <w:gridSpan w:val="2"/>
        </w:tcPr>
        <w:p w14:paraId="3D9B2985" w14:textId="34ABC509" w:rsidR="007005E6" w:rsidRPr="0055472E" w:rsidRDefault="007005E6"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85161">
            <w:rPr>
              <w:sz w:val="16"/>
              <w:szCs w:val="16"/>
            </w:rPr>
            <w:t>23</w:t>
          </w:r>
          <w:r w:rsidRPr="0055472E">
            <w:rPr>
              <w:sz w:val="16"/>
              <w:szCs w:val="16"/>
            </w:rPr>
            <w:fldChar w:fldCharType="end"/>
          </w:r>
        </w:p>
      </w:tc>
      <w:tc>
        <w:tcPr>
          <w:tcW w:w="1703" w:type="pct"/>
        </w:tcPr>
        <w:p w14:paraId="04949A34" w14:textId="77777777" w:rsidR="007005E6" w:rsidRPr="0055472E" w:rsidRDefault="007005E6" w:rsidP="006D2C4C">
          <w:pPr>
            <w:spacing w:before="120"/>
            <w:rPr>
              <w:sz w:val="16"/>
              <w:szCs w:val="16"/>
            </w:rPr>
          </w:pPr>
        </w:p>
      </w:tc>
      <w:tc>
        <w:tcPr>
          <w:tcW w:w="1799" w:type="pct"/>
          <w:gridSpan w:val="2"/>
        </w:tcPr>
        <w:p w14:paraId="53EC69EC" w14:textId="63B1A54C" w:rsidR="007005E6" w:rsidRPr="0055472E" w:rsidRDefault="007005E6"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785161">
            <w:rPr>
              <w:sz w:val="16"/>
              <w:szCs w:val="16"/>
            </w:rPr>
            <w:t>04/04/2025</w:t>
          </w:r>
          <w:r w:rsidRPr="0055472E">
            <w:rPr>
              <w:sz w:val="16"/>
              <w:szCs w:val="16"/>
            </w:rPr>
            <w:fldChar w:fldCharType="end"/>
          </w:r>
        </w:p>
      </w:tc>
    </w:tr>
  </w:tbl>
  <w:p w14:paraId="0E76980C" w14:textId="042EDE64" w:rsidR="005D6724" w:rsidRPr="00496B08" w:rsidRDefault="005D6724" w:rsidP="00496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5C9F8" w14:textId="77777777" w:rsidR="005D6724" w:rsidRPr="00431A51" w:rsidRDefault="005D6724" w:rsidP="007532C3">
      <w:pPr>
        <w:spacing w:line="240" w:lineRule="auto"/>
      </w:pPr>
      <w:r>
        <w:separator/>
      </w:r>
    </w:p>
  </w:footnote>
  <w:footnote w:type="continuationSeparator" w:id="0">
    <w:p w14:paraId="33167093" w14:textId="77777777" w:rsidR="005D6724" w:rsidRPr="00431A51" w:rsidRDefault="005D6724" w:rsidP="0075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83AD4" w14:textId="77777777" w:rsidR="005D6724" w:rsidRDefault="005D6724" w:rsidP="00160A95">
    <w:pPr>
      <w:pStyle w:val="Header"/>
      <w:pBdr>
        <w:bottom w:val="single" w:sz="6" w:space="1" w:color="auto"/>
      </w:pBdr>
    </w:pPr>
  </w:p>
  <w:p w14:paraId="5D05B19A" w14:textId="77777777" w:rsidR="005D6724" w:rsidRDefault="005D6724" w:rsidP="00160A95">
    <w:pPr>
      <w:pStyle w:val="Header"/>
      <w:pBdr>
        <w:bottom w:val="single" w:sz="6" w:space="1" w:color="auto"/>
      </w:pBdr>
    </w:pPr>
  </w:p>
  <w:p w14:paraId="3E7B51F0" w14:textId="77777777" w:rsidR="005D6724" w:rsidRPr="001E77D2" w:rsidRDefault="005D6724" w:rsidP="00160A95">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12D3" w14:textId="77777777" w:rsidR="005D6724" w:rsidRPr="007E528B" w:rsidRDefault="005D6724" w:rsidP="001F39B5">
    <w:pPr>
      <w:rPr>
        <w:sz w:val="26"/>
        <w:szCs w:val="26"/>
      </w:rPr>
    </w:pPr>
  </w:p>
  <w:p w14:paraId="27EC1CB8" w14:textId="77777777" w:rsidR="005D6724" w:rsidRPr="00750516" w:rsidRDefault="005D6724" w:rsidP="001F39B5">
    <w:pPr>
      <w:rPr>
        <w:b/>
        <w:sz w:val="20"/>
      </w:rPr>
    </w:pPr>
    <w:r w:rsidRPr="00750516">
      <w:rPr>
        <w:b/>
        <w:sz w:val="20"/>
      </w:rPr>
      <w:t>Endnotes</w:t>
    </w:r>
  </w:p>
  <w:p w14:paraId="2816802F" w14:textId="77777777" w:rsidR="005D6724" w:rsidRPr="007A1328" w:rsidRDefault="005D6724" w:rsidP="001F39B5">
    <w:pPr>
      <w:rPr>
        <w:sz w:val="20"/>
      </w:rPr>
    </w:pPr>
  </w:p>
  <w:p w14:paraId="02404D8A" w14:textId="77777777" w:rsidR="005D6724" w:rsidRPr="007A1328" w:rsidRDefault="005D6724" w:rsidP="001F39B5">
    <w:pPr>
      <w:rPr>
        <w:b/>
        <w:sz w:val="24"/>
      </w:rPr>
    </w:pPr>
  </w:p>
  <w:p w14:paraId="77EB5F07" w14:textId="5B4491D0" w:rsidR="005D6724" w:rsidRPr="007E528B" w:rsidRDefault="005D6724" w:rsidP="001F39B5">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E77844">
      <w:rPr>
        <w:noProof/>
        <w:szCs w:val="22"/>
      </w:rPr>
      <w:t>Endnote 4—Amendment history</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25BE9" w14:textId="77777777" w:rsidR="005D6724" w:rsidRPr="007E528B" w:rsidRDefault="005D6724" w:rsidP="001F39B5">
    <w:pPr>
      <w:jc w:val="right"/>
      <w:rPr>
        <w:sz w:val="26"/>
        <w:szCs w:val="26"/>
      </w:rPr>
    </w:pPr>
  </w:p>
  <w:p w14:paraId="512CD4E8" w14:textId="77777777" w:rsidR="005D6724" w:rsidRPr="00750516" w:rsidRDefault="005D6724" w:rsidP="001F39B5">
    <w:pPr>
      <w:jc w:val="right"/>
      <w:rPr>
        <w:b/>
        <w:sz w:val="20"/>
      </w:rPr>
    </w:pPr>
    <w:r w:rsidRPr="00750516">
      <w:rPr>
        <w:b/>
        <w:sz w:val="20"/>
      </w:rPr>
      <w:t>Endnotes</w:t>
    </w:r>
  </w:p>
  <w:p w14:paraId="3FF0AB43" w14:textId="77777777" w:rsidR="005D6724" w:rsidRPr="007A1328" w:rsidRDefault="005D6724" w:rsidP="001F39B5">
    <w:pPr>
      <w:jc w:val="right"/>
      <w:rPr>
        <w:sz w:val="20"/>
      </w:rPr>
    </w:pPr>
  </w:p>
  <w:p w14:paraId="0EE70129" w14:textId="77777777" w:rsidR="005D6724" w:rsidRPr="007A1328" w:rsidRDefault="005D6724" w:rsidP="001F39B5">
    <w:pPr>
      <w:jc w:val="right"/>
      <w:rPr>
        <w:b/>
        <w:sz w:val="24"/>
      </w:rPr>
    </w:pPr>
  </w:p>
  <w:p w14:paraId="4F2430E0" w14:textId="2CEC83BF" w:rsidR="005D6724" w:rsidRPr="007E528B" w:rsidRDefault="005D6724" w:rsidP="001F39B5">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E77844">
      <w:rPr>
        <w:noProof/>
        <w:szCs w:val="22"/>
      </w:rPr>
      <w:t>Endnote 4—Amendment history</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0E9E8" w14:textId="77777777" w:rsidR="005D6724" w:rsidRDefault="005D6724" w:rsidP="00160A95">
    <w:pPr>
      <w:pStyle w:val="Header"/>
      <w:pBdr>
        <w:bottom w:val="single" w:sz="4" w:space="1" w:color="auto"/>
      </w:pBdr>
    </w:pPr>
  </w:p>
  <w:p w14:paraId="2F4A382F" w14:textId="77777777" w:rsidR="005D6724" w:rsidRDefault="005D6724" w:rsidP="00160A95">
    <w:pPr>
      <w:pStyle w:val="Header"/>
      <w:pBdr>
        <w:bottom w:val="single" w:sz="4" w:space="1" w:color="auto"/>
      </w:pBdr>
    </w:pPr>
  </w:p>
  <w:p w14:paraId="4D5A20D1" w14:textId="77777777" w:rsidR="005D6724" w:rsidRPr="001E77D2" w:rsidRDefault="005D6724" w:rsidP="00160A95">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A12D" w14:textId="77777777" w:rsidR="005D6724" w:rsidRPr="005F1388" w:rsidRDefault="005D6724" w:rsidP="00160A95">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1FFF3" w14:textId="77777777" w:rsidR="005D6724" w:rsidRPr="00ED79B6" w:rsidRDefault="005D6724" w:rsidP="001F39B5">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5B87" w14:textId="77777777" w:rsidR="005D6724" w:rsidRPr="00ED79B6" w:rsidRDefault="005D6724" w:rsidP="001F39B5">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CDB33" w14:textId="77777777" w:rsidR="005D6724" w:rsidRPr="00ED79B6" w:rsidRDefault="005D6724" w:rsidP="001F39B5">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BF7BA" w14:textId="6BC96B81" w:rsidR="005D6724" w:rsidRDefault="005D6724" w:rsidP="00653362">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3E5B7B27" w14:textId="06223F80" w:rsidR="005D6724" w:rsidRDefault="005D6724" w:rsidP="00653362">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E77844">
      <w:rPr>
        <w:b/>
        <w:noProof/>
        <w:sz w:val="20"/>
      </w:rPr>
      <w:t>Part VI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E77844">
      <w:rPr>
        <w:noProof/>
        <w:sz w:val="20"/>
      </w:rPr>
      <w:t>Miscellaneous</w:t>
    </w:r>
    <w:r>
      <w:rPr>
        <w:sz w:val="20"/>
      </w:rPr>
      <w:fldChar w:fldCharType="end"/>
    </w:r>
  </w:p>
  <w:p w14:paraId="5690662D" w14:textId="5EFD8C68" w:rsidR="005D6724" w:rsidRPr="007A1328" w:rsidRDefault="005D6724" w:rsidP="00653362">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7CACB279" w14:textId="77777777" w:rsidR="005D6724" w:rsidRPr="007A1328" w:rsidRDefault="005D6724" w:rsidP="00653362">
    <w:pPr>
      <w:rPr>
        <w:b/>
        <w:sz w:val="24"/>
      </w:rPr>
    </w:pPr>
  </w:p>
  <w:p w14:paraId="0847BBE7" w14:textId="69E2BC15" w:rsidR="005D6724" w:rsidRPr="007A1328" w:rsidRDefault="005D6724" w:rsidP="0046009B">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77844">
      <w:rPr>
        <w:noProof/>
        <w:sz w:val="24"/>
      </w:rPr>
      <w:t>33</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1B87" w14:textId="096B8A26" w:rsidR="005D6724" w:rsidRPr="007A1328" w:rsidRDefault="005D6724" w:rsidP="00653362">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59BC182E" w14:textId="53639F9A" w:rsidR="005D6724" w:rsidRPr="007A1328" w:rsidRDefault="005D6724" w:rsidP="00653362">
    <w:pPr>
      <w:jc w:val="right"/>
      <w:rPr>
        <w:sz w:val="20"/>
      </w:rPr>
    </w:pPr>
    <w:r w:rsidRPr="007A1328">
      <w:rPr>
        <w:sz w:val="20"/>
      </w:rPr>
      <w:fldChar w:fldCharType="begin"/>
    </w:r>
    <w:r w:rsidRPr="007A1328">
      <w:rPr>
        <w:sz w:val="20"/>
      </w:rPr>
      <w:instrText xml:space="preserve"> STYLEREF CharPartText </w:instrText>
    </w:r>
    <w:r w:rsidR="00E77844">
      <w:rPr>
        <w:sz w:val="20"/>
      </w:rPr>
      <w:fldChar w:fldCharType="separate"/>
    </w:r>
    <w:r w:rsidR="00E77844">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E77844">
      <w:rPr>
        <w:b/>
        <w:sz w:val="20"/>
      </w:rPr>
      <w:fldChar w:fldCharType="separate"/>
    </w:r>
    <w:r w:rsidR="00E77844">
      <w:rPr>
        <w:b/>
        <w:noProof/>
        <w:sz w:val="20"/>
      </w:rPr>
      <w:t>Part VI</w:t>
    </w:r>
    <w:r>
      <w:rPr>
        <w:b/>
        <w:sz w:val="20"/>
      </w:rPr>
      <w:fldChar w:fldCharType="end"/>
    </w:r>
  </w:p>
  <w:p w14:paraId="1FF88C95" w14:textId="453055AB" w:rsidR="005D6724" w:rsidRPr="007A1328" w:rsidRDefault="005D6724" w:rsidP="00653362">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1D35EAE0" w14:textId="77777777" w:rsidR="005D6724" w:rsidRPr="007A1328" w:rsidRDefault="005D6724" w:rsidP="00653362">
    <w:pPr>
      <w:jc w:val="right"/>
      <w:rPr>
        <w:b/>
        <w:sz w:val="24"/>
      </w:rPr>
    </w:pPr>
  </w:p>
  <w:p w14:paraId="38805670" w14:textId="18E4176A" w:rsidR="005D6724" w:rsidRPr="007A1328" w:rsidRDefault="005D6724" w:rsidP="0046009B">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77844">
      <w:rPr>
        <w:noProof/>
        <w:sz w:val="24"/>
      </w:rPr>
      <w:t>33A</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3E2D" w14:textId="77777777" w:rsidR="005D6724" w:rsidRPr="007A1328" w:rsidRDefault="005D6724" w:rsidP="006533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15:restartNumberingAfterBreak="0">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37A2B29"/>
    <w:multiLevelType w:val="multilevel"/>
    <w:tmpl w:val="0C090023"/>
    <w:numStyleLink w:val="ArticleSection"/>
  </w:abstractNum>
  <w:abstractNum w:abstractNumId="19"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15:restartNumberingAfterBreak="0">
    <w:nsid w:val="23A82E0B"/>
    <w:multiLevelType w:val="multilevel"/>
    <w:tmpl w:val="0C090023"/>
    <w:numStyleLink w:val="ArticleSection"/>
  </w:abstractNum>
  <w:abstractNum w:abstractNumId="2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B65126"/>
    <w:multiLevelType w:val="multilevel"/>
    <w:tmpl w:val="F004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04757A2"/>
    <w:multiLevelType w:val="multilevel"/>
    <w:tmpl w:val="0C09001D"/>
    <w:numStyleLink w:val="1ai"/>
  </w:abstractNum>
  <w:abstractNum w:abstractNumId="32" w15:restartNumberingAfterBreak="0">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E5455E3"/>
    <w:multiLevelType w:val="multilevel"/>
    <w:tmpl w:val="0C09001D"/>
    <w:numStyleLink w:val="1ai"/>
  </w:abstractNum>
  <w:abstractNum w:abstractNumId="38" w15:restartNumberingAfterBreak="0">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09969180">
    <w:abstractNumId w:val="30"/>
  </w:num>
  <w:num w:numId="2" w16cid:durableId="107747826">
    <w:abstractNumId w:val="25"/>
  </w:num>
  <w:num w:numId="3" w16cid:durableId="832644528">
    <w:abstractNumId w:val="14"/>
  </w:num>
  <w:num w:numId="4" w16cid:durableId="382213958">
    <w:abstractNumId w:val="34"/>
  </w:num>
  <w:num w:numId="5" w16cid:durableId="763495893">
    <w:abstractNumId w:val="19"/>
  </w:num>
  <w:num w:numId="6" w16cid:durableId="1249582130">
    <w:abstractNumId w:val="15"/>
  </w:num>
  <w:num w:numId="7" w16cid:durableId="1531069833">
    <w:abstractNumId w:val="9"/>
  </w:num>
  <w:num w:numId="8" w16cid:durableId="224731015">
    <w:abstractNumId w:val="9"/>
  </w:num>
  <w:num w:numId="9" w16cid:durableId="1970890417">
    <w:abstractNumId w:val="7"/>
  </w:num>
  <w:num w:numId="10" w16cid:durableId="448819451">
    <w:abstractNumId w:val="7"/>
  </w:num>
  <w:num w:numId="11" w16cid:durableId="1455053066">
    <w:abstractNumId w:val="6"/>
  </w:num>
  <w:num w:numId="12" w16cid:durableId="310864090">
    <w:abstractNumId w:val="6"/>
  </w:num>
  <w:num w:numId="13" w16cid:durableId="962075169">
    <w:abstractNumId w:val="5"/>
  </w:num>
  <w:num w:numId="14" w16cid:durableId="340594697">
    <w:abstractNumId w:val="5"/>
  </w:num>
  <w:num w:numId="15" w16cid:durableId="1465391793">
    <w:abstractNumId w:val="4"/>
  </w:num>
  <w:num w:numId="16" w16cid:durableId="1822229073">
    <w:abstractNumId w:val="4"/>
  </w:num>
  <w:num w:numId="17" w16cid:durableId="45570737">
    <w:abstractNumId w:val="8"/>
  </w:num>
  <w:num w:numId="18" w16cid:durableId="1887983252">
    <w:abstractNumId w:val="8"/>
  </w:num>
  <w:num w:numId="19" w16cid:durableId="1485776757">
    <w:abstractNumId w:val="3"/>
  </w:num>
  <w:num w:numId="20" w16cid:durableId="1122848536">
    <w:abstractNumId w:val="3"/>
  </w:num>
  <w:num w:numId="21" w16cid:durableId="1173685418">
    <w:abstractNumId w:val="2"/>
  </w:num>
  <w:num w:numId="22" w16cid:durableId="1666130308">
    <w:abstractNumId w:val="2"/>
  </w:num>
  <w:num w:numId="23" w16cid:durableId="1002321350">
    <w:abstractNumId w:val="1"/>
  </w:num>
  <w:num w:numId="24" w16cid:durableId="702941772">
    <w:abstractNumId w:val="1"/>
  </w:num>
  <w:num w:numId="25" w16cid:durableId="1539078428">
    <w:abstractNumId w:val="0"/>
  </w:num>
  <w:num w:numId="26" w16cid:durableId="1818372941">
    <w:abstractNumId w:val="0"/>
  </w:num>
  <w:num w:numId="27" w16cid:durableId="920912104">
    <w:abstractNumId w:val="23"/>
  </w:num>
  <w:num w:numId="28" w16cid:durableId="1262567978">
    <w:abstractNumId w:val="16"/>
  </w:num>
  <w:num w:numId="29" w16cid:durableId="2144349831">
    <w:abstractNumId w:val="37"/>
  </w:num>
  <w:num w:numId="30" w16cid:durableId="26302357">
    <w:abstractNumId w:val="18"/>
  </w:num>
  <w:num w:numId="31" w16cid:durableId="718823491">
    <w:abstractNumId w:val="31"/>
  </w:num>
  <w:num w:numId="32" w16cid:durableId="2145155719">
    <w:abstractNumId w:val="20"/>
  </w:num>
  <w:num w:numId="33" w16cid:durableId="928276471">
    <w:abstractNumId w:val="13"/>
  </w:num>
  <w:num w:numId="34" w16cid:durableId="1640375613">
    <w:abstractNumId w:val="35"/>
  </w:num>
  <w:num w:numId="35" w16cid:durableId="1594242702">
    <w:abstractNumId w:val="38"/>
  </w:num>
  <w:num w:numId="36" w16cid:durableId="1006903462">
    <w:abstractNumId w:val="33"/>
  </w:num>
  <w:num w:numId="37" w16cid:durableId="759300469">
    <w:abstractNumId w:val="17"/>
  </w:num>
  <w:num w:numId="38" w16cid:durableId="1070956375">
    <w:abstractNumId w:val="32"/>
  </w:num>
  <w:num w:numId="39" w16cid:durableId="184903818">
    <w:abstractNumId w:val="11"/>
  </w:num>
  <w:num w:numId="40" w16cid:durableId="973412514">
    <w:abstractNumId w:val="24"/>
  </w:num>
  <w:num w:numId="41" w16cid:durableId="1151019925">
    <w:abstractNumId w:val="36"/>
  </w:num>
  <w:num w:numId="42" w16cid:durableId="2124380217">
    <w:abstractNumId w:val="26"/>
  </w:num>
  <w:num w:numId="43" w16cid:durableId="354695753">
    <w:abstractNumId w:val="22"/>
  </w:num>
  <w:num w:numId="44" w16cid:durableId="1574046550">
    <w:abstractNumId w:val="10"/>
  </w:num>
  <w:num w:numId="45" w16cid:durableId="418216638">
    <w:abstractNumId w:val="27"/>
  </w:num>
  <w:num w:numId="46" w16cid:durableId="4268490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68279030">
    <w:abstractNumId w:val="21"/>
  </w:num>
  <w:num w:numId="48" w16cid:durableId="854417263">
    <w:abstractNumId w:val="12"/>
  </w:num>
  <w:num w:numId="49" w16cid:durableId="50123958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1A34"/>
    <w:rsid w:val="00002D20"/>
    <w:rsid w:val="00003C97"/>
    <w:rsid w:val="00013F54"/>
    <w:rsid w:val="00015067"/>
    <w:rsid w:val="000155FB"/>
    <w:rsid w:val="00016B5A"/>
    <w:rsid w:val="000213C2"/>
    <w:rsid w:val="00035F5F"/>
    <w:rsid w:val="0007778F"/>
    <w:rsid w:val="00081293"/>
    <w:rsid w:val="00083351"/>
    <w:rsid w:val="00095B5A"/>
    <w:rsid w:val="00097AB9"/>
    <w:rsid w:val="000B008A"/>
    <w:rsid w:val="000B3504"/>
    <w:rsid w:val="000C08F0"/>
    <w:rsid w:val="000C0FEE"/>
    <w:rsid w:val="000C556C"/>
    <w:rsid w:val="000D2C59"/>
    <w:rsid w:val="000D3F18"/>
    <w:rsid w:val="000E4676"/>
    <w:rsid w:val="000E677B"/>
    <w:rsid w:val="000F411E"/>
    <w:rsid w:val="000F7426"/>
    <w:rsid w:val="00101C0A"/>
    <w:rsid w:val="00107AF4"/>
    <w:rsid w:val="00117958"/>
    <w:rsid w:val="00117F27"/>
    <w:rsid w:val="00121D65"/>
    <w:rsid w:val="00122838"/>
    <w:rsid w:val="00130CA3"/>
    <w:rsid w:val="0013120B"/>
    <w:rsid w:val="00132B74"/>
    <w:rsid w:val="001356E0"/>
    <w:rsid w:val="00135909"/>
    <w:rsid w:val="001369C1"/>
    <w:rsid w:val="001510A5"/>
    <w:rsid w:val="00156945"/>
    <w:rsid w:val="00160651"/>
    <w:rsid w:val="00160A95"/>
    <w:rsid w:val="00163556"/>
    <w:rsid w:val="00163AA0"/>
    <w:rsid w:val="001649A0"/>
    <w:rsid w:val="0016585B"/>
    <w:rsid w:val="00172C04"/>
    <w:rsid w:val="00177B6D"/>
    <w:rsid w:val="00177EEC"/>
    <w:rsid w:val="00182E26"/>
    <w:rsid w:val="00192B91"/>
    <w:rsid w:val="001A2B15"/>
    <w:rsid w:val="001A48AA"/>
    <w:rsid w:val="001A62C7"/>
    <w:rsid w:val="001B5680"/>
    <w:rsid w:val="001B5915"/>
    <w:rsid w:val="001D0132"/>
    <w:rsid w:val="001D1252"/>
    <w:rsid w:val="001D24E8"/>
    <w:rsid w:val="001D5A2F"/>
    <w:rsid w:val="001E02FA"/>
    <w:rsid w:val="001E14E0"/>
    <w:rsid w:val="001E30AE"/>
    <w:rsid w:val="001E3862"/>
    <w:rsid w:val="001F140F"/>
    <w:rsid w:val="001F39B5"/>
    <w:rsid w:val="001F43EE"/>
    <w:rsid w:val="0020135A"/>
    <w:rsid w:val="0020580E"/>
    <w:rsid w:val="00213F8F"/>
    <w:rsid w:val="00222A6C"/>
    <w:rsid w:val="0023161B"/>
    <w:rsid w:val="002343A1"/>
    <w:rsid w:val="00235CB9"/>
    <w:rsid w:val="002372DD"/>
    <w:rsid w:val="00242748"/>
    <w:rsid w:val="00246C33"/>
    <w:rsid w:val="002479D1"/>
    <w:rsid w:val="002505D8"/>
    <w:rsid w:val="002536E6"/>
    <w:rsid w:val="00253990"/>
    <w:rsid w:val="0026752C"/>
    <w:rsid w:val="002774D6"/>
    <w:rsid w:val="0028439E"/>
    <w:rsid w:val="002868D5"/>
    <w:rsid w:val="00287437"/>
    <w:rsid w:val="00293A34"/>
    <w:rsid w:val="002A105C"/>
    <w:rsid w:val="002A6883"/>
    <w:rsid w:val="002B0281"/>
    <w:rsid w:val="002B19F8"/>
    <w:rsid w:val="002B1A7A"/>
    <w:rsid w:val="002B2A6D"/>
    <w:rsid w:val="002B3D52"/>
    <w:rsid w:val="002B6628"/>
    <w:rsid w:val="002B6DB4"/>
    <w:rsid w:val="002D4F7B"/>
    <w:rsid w:val="002E3273"/>
    <w:rsid w:val="002E3F36"/>
    <w:rsid w:val="002E4EF4"/>
    <w:rsid w:val="002E5532"/>
    <w:rsid w:val="002E6351"/>
    <w:rsid w:val="002F2C3C"/>
    <w:rsid w:val="002F4B2C"/>
    <w:rsid w:val="002F5B83"/>
    <w:rsid w:val="002F6421"/>
    <w:rsid w:val="003051A8"/>
    <w:rsid w:val="00313EE0"/>
    <w:rsid w:val="00316C8D"/>
    <w:rsid w:val="003239EA"/>
    <w:rsid w:val="00327646"/>
    <w:rsid w:val="0033039B"/>
    <w:rsid w:val="00331650"/>
    <w:rsid w:val="0034010F"/>
    <w:rsid w:val="003403DF"/>
    <w:rsid w:val="003428A7"/>
    <w:rsid w:val="00342C80"/>
    <w:rsid w:val="003449CF"/>
    <w:rsid w:val="00346B04"/>
    <w:rsid w:val="00347179"/>
    <w:rsid w:val="00350D6E"/>
    <w:rsid w:val="0035174D"/>
    <w:rsid w:val="00354480"/>
    <w:rsid w:val="003600E7"/>
    <w:rsid w:val="0036300F"/>
    <w:rsid w:val="003630EE"/>
    <w:rsid w:val="00363690"/>
    <w:rsid w:val="0036431C"/>
    <w:rsid w:val="003707C4"/>
    <w:rsid w:val="003741F8"/>
    <w:rsid w:val="00381AB0"/>
    <w:rsid w:val="0038648A"/>
    <w:rsid w:val="0039400D"/>
    <w:rsid w:val="003970EE"/>
    <w:rsid w:val="00397C39"/>
    <w:rsid w:val="003A068A"/>
    <w:rsid w:val="003A4207"/>
    <w:rsid w:val="003A7D11"/>
    <w:rsid w:val="003B034F"/>
    <w:rsid w:val="003B49D9"/>
    <w:rsid w:val="003C0475"/>
    <w:rsid w:val="003C0E49"/>
    <w:rsid w:val="003C4894"/>
    <w:rsid w:val="003D1DDD"/>
    <w:rsid w:val="003D3657"/>
    <w:rsid w:val="003E3B3C"/>
    <w:rsid w:val="003E552A"/>
    <w:rsid w:val="003F1E1B"/>
    <w:rsid w:val="003F5C52"/>
    <w:rsid w:val="003F72E9"/>
    <w:rsid w:val="00407DFC"/>
    <w:rsid w:val="0041156D"/>
    <w:rsid w:val="00416373"/>
    <w:rsid w:val="00416CB4"/>
    <w:rsid w:val="004209B9"/>
    <w:rsid w:val="00431D91"/>
    <w:rsid w:val="00432AAA"/>
    <w:rsid w:val="00433919"/>
    <w:rsid w:val="004439AA"/>
    <w:rsid w:val="004570B8"/>
    <w:rsid w:val="0046009B"/>
    <w:rsid w:val="004641C9"/>
    <w:rsid w:val="00466B12"/>
    <w:rsid w:val="00466DB6"/>
    <w:rsid w:val="00467097"/>
    <w:rsid w:val="0048019B"/>
    <w:rsid w:val="0048413D"/>
    <w:rsid w:val="0048446D"/>
    <w:rsid w:val="00484D56"/>
    <w:rsid w:val="004918A6"/>
    <w:rsid w:val="0049595A"/>
    <w:rsid w:val="00496B08"/>
    <w:rsid w:val="004975AA"/>
    <w:rsid w:val="004A0B46"/>
    <w:rsid w:val="004A1C89"/>
    <w:rsid w:val="004A520A"/>
    <w:rsid w:val="004B4EA8"/>
    <w:rsid w:val="004C12F2"/>
    <w:rsid w:val="004C57D6"/>
    <w:rsid w:val="004D1216"/>
    <w:rsid w:val="004D27F4"/>
    <w:rsid w:val="004D330D"/>
    <w:rsid w:val="004D3C3F"/>
    <w:rsid w:val="004D4310"/>
    <w:rsid w:val="004E0B0A"/>
    <w:rsid w:val="004E0C42"/>
    <w:rsid w:val="004E0D3F"/>
    <w:rsid w:val="004E367F"/>
    <w:rsid w:val="004E44DD"/>
    <w:rsid w:val="004F1997"/>
    <w:rsid w:val="004F3C31"/>
    <w:rsid w:val="004F5B0B"/>
    <w:rsid w:val="0050092D"/>
    <w:rsid w:val="00500C46"/>
    <w:rsid w:val="00505C9E"/>
    <w:rsid w:val="00512768"/>
    <w:rsid w:val="005135FF"/>
    <w:rsid w:val="00525525"/>
    <w:rsid w:val="0053216C"/>
    <w:rsid w:val="00535A57"/>
    <w:rsid w:val="00536792"/>
    <w:rsid w:val="00537F6D"/>
    <w:rsid w:val="005423EE"/>
    <w:rsid w:val="00542D5A"/>
    <w:rsid w:val="00543669"/>
    <w:rsid w:val="00544526"/>
    <w:rsid w:val="00556980"/>
    <w:rsid w:val="00563FC9"/>
    <w:rsid w:val="00582DD4"/>
    <w:rsid w:val="005833A7"/>
    <w:rsid w:val="005A1363"/>
    <w:rsid w:val="005A2D93"/>
    <w:rsid w:val="005B0542"/>
    <w:rsid w:val="005B1F52"/>
    <w:rsid w:val="005B36AF"/>
    <w:rsid w:val="005B3CB5"/>
    <w:rsid w:val="005B6C63"/>
    <w:rsid w:val="005B7E70"/>
    <w:rsid w:val="005C22A9"/>
    <w:rsid w:val="005C41E5"/>
    <w:rsid w:val="005D35BC"/>
    <w:rsid w:val="005D4866"/>
    <w:rsid w:val="005D6724"/>
    <w:rsid w:val="005D7EEC"/>
    <w:rsid w:val="005F3B58"/>
    <w:rsid w:val="005F72BD"/>
    <w:rsid w:val="00600DEF"/>
    <w:rsid w:val="00604695"/>
    <w:rsid w:val="0060689D"/>
    <w:rsid w:val="00606B0A"/>
    <w:rsid w:val="006139CD"/>
    <w:rsid w:val="006143BB"/>
    <w:rsid w:val="006264E9"/>
    <w:rsid w:val="006275F0"/>
    <w:rsid w:val="0063092A"/>
    <w:rsid w:val="0063109D"/>
    <w:rsid w:val="006367E4"/>
    <w:rsid w:val="00653362"/>
    <w:rsid w:val="00656A63"/>
    <w:rsid w:val="006632D1"/>
    <w:rsid w:val="00663C0A"/>
    <w:rsid w:val="006652C4"/>
    <w:rsid w:val="00666687"/>
    <w:rsid w:val="00673F5E"/>
    <w:rsid w:val="00675AF1"/>
    <w:rsid w:val="00677B4A"/>
    <w:rsid w:val="0068118D"/>
    <w:rsid w:val="0068369E"/>
    <w:rsid w:val="006877D0"/>
    <w:rsid w:val="00690679"/>
    <w:rsid w:val="00692D7C"/>
    <w:rsid w:val="006942DB"/>
    <w:rsid w:val="006A4B93"/>
    <w:rsid w:val="006A5342"/>
    <w:rsid w:val="006A7178"/>
    <w:rsid w:val="006B0ADF"/>
    <w:rsid w:val="006B1BFE"/>
    <w:rsid w:val="006B34DD"/>
    <w:rsid w:val="006B5C73"/>
    <w:rsid w:val="006D26B8"/>
    <w:rsid w:val="006D26ED"/>
    <w:rsid w:val="006D3844"/>
    <w:rsid w:val="006D4E9B"/>
    <w:rsid w:val="006D7C9E"/>
    <w:rsid w:val="006E1790"/>
    <w:rsid w:val="006E1AC9"/>
    <w:rsid w:val="006E2A18"/>
    <w:rsid w:val="006F0951"/>
    <w:rsid w:val="006F7780"/>
    <w:rsid w:val="007005E6"/>
    <w:rsid w:val="00710181"/>
    <w:rsid w:val="0071357E"/>
    <w:rsid w:val="0071370D"/>
    <w:rsid w:val="0072164A"/>
    <w:rsid w:val="007232B4"/>
    <w:rsid w:val="00726570"/>
    <w:rsid w:val="0073547B"/>
    <w:rsid w:val="00737B13"/>
    <w:rsid w:val="00746642"/>
    <w:rsid w:val="0075013C"/>
    <w:rsid w:val="00752A56"/>
    <w:rsid w:val="007532C3"/>
    <w:rsid w:val="00755B15"/>
    <w:rsid w:val="00755BC5"/>
    <w:rsid w:val="00760440"/>
    <w:rsid w:val="00763A0F"/>
    <w:rsid w:val="00764FCD"/>
    <w:rsid w:val="0076692C"/>
    <w:rsid w:val="00774D67"/>
    <w:rsid w:val="0077602D"/>
    <w:rsid w:val="00785161"/>
    <w:rsid w:val="007A0BFD"/>
    <w:rsid w:val="007A19ED"/>
    <w:rsid w:val="007A397A"/>
    <w:rsid w:val="007B3AEF"/>
    <w:rsid w:val="007B3FD0"/>
    <w:rsid w:val="007B7959"/>
    <w:rsid w:val="007C05D9"/>
    <w:rsid w:val="007C7BAD"/>
    <w:rsid w:val="007D7351"/>
    <w:rsid w:val="007E0022"/>
    <w:rsid w:val="007E626F"/>
    <w:rsid w:val="007F6E83"/>
    <w:rsid w:val="008012DE"/>
    <w:rsid w:val="00802457"/>
    <w:rsid w:val="008027D8"/>
    <w:rsid w:val="00803742"/>
    <w:rsid w:val="008052E5"/>
    <w:rsid w:val="00805891"/>
    <w:rsid w:val="008211D9"/>
    <w:rsid w:val="00825A96"/>
    <w:rsid w:val="008342A7"/>
    <w:rsid w:val="00834CFA"/>
    <w:rsid w:val="00840136"/>
    <w:rsid w:val="0084023E"/>
    <w:rsid w:val="008418A6"/>
    <w:rsid w:val="008641C0"/>
    <w:rsid w:val="008700D6"/>
    <w:rsid w:val="00875997"/>
    <w:rsid w:val="00875AE2"/>
    <w:rsid w:val="00876B1E"/>
    <w:rsid w:val="0088389A"/>
    <w:rsid w:val="00885366"/>
    <w:rsid w:val="008A6877"/>
    <w:rsid w:val="008B1228"/>
    <w:rsid w:val="008B6C45"/>
    <w:rsid w:val="008C6ADB"/>
    <w:rsid w:val="008D2E61"/>
    <w:rsid w:val="008E4278"/>
    <w:rsid w:val="008E475A"/>
    <w:rsid w:val="008F17CC"/>
    <w:rsid w:val="008F35E9"/>
    <w:rsid w:val="00904D5F"/>
    <w:rsid w:val="0090787B"/>
    <w:rsid w:val="009163ED"/>
    <w:rsid w:val="009174FD"/>
    <w:rsid w:val="00920D0B"/>
    <w:rsid w:val="009239D6"/>
    <w:rsid w:val="00923D6D"/>
    <w:rsid w:val="009269FB"/>
    <w:rsid w:val="00930CEF"/>
    <w:rsid w:val="00930DFA"/>
    <w:rsid w:val="00935DD4"/>
    <w:rsid w:val="00936075"/>
    <w:rsid w:val="00940902"/>
    <w:rsid w:val="009413FB"/>
    <w:rsid w:val="00943F1D"/>
    <w:rsid w:val="00947F21"/>
    <w:rsid w:val="00956013"/>
    <w:rsid w:val="009616AC"/>
    <w:rsid w:val="00964802"/>
    <w:rsid w:val="00966781"/>
    <w:rsid w:val="00971E0D"/>
    <w:rsid w:val="0097346C"/>
    <w:rsid w:val="009776D5"/>
    <w:rsid w:val="009844BD"/>
    <w:rsid w:val="009938C5"/>
    <w:rsid w:val="009968D3"/>
    <w:rsid w:val="00997702"/>
    <w:rsid w:val="009B23E5"/>
    <w:rsid w:val="009B79AF"/>
    <w:rsid w:val="009C198F"/>
    <w:rsid w:val="009C4627"/>
    <w:rsid w:val="009C6061"/>
    <w:rsid w:val="009D2170"/>
    <w:rsid w:val="009E6FE6"/>
    <w:rsid w:val="009F05F7"/>
    <w:rsid w:val="009F5433"/>
    <w:rsid w:val="009F7A69"/>
    <w:rsid w:val="00A00F3D"/>
    <w:rsid w:val="00A15629"/>
    <w:rsid w:val="00A207AD"/>
    <w:rsid w:val="00A26C04"/>
    <w:rsid w:val="00A302D2"/>
    <w:rsid w:val="00A33F04"/>
    <w:rsid w:val="00A34822"/>
    <w:rsid w:val="00A359A3"/>
    <w:rsid w:val="00A359E2"/>
    <w:rsid w:val="00A4407F"/>
    <w:rsid w:val="00A44488"/>
    <w:rsid w:val="00A602EB"/>
    <w:rsid w:val="00A61B24"/>
    <w:rsid w:val="00A74C3B"/>
    <w:rsid w:val="00A769F6"/>
    <w:rsid w:val="00A76ACE"/>
    <w:rsid w:val="00A82945"/>
    <w:rsid w:val="00A924B7"/>
    <w:rsid w:val="00AB0884"/>
    <w:rsid w:val="00AB1AB5"/>
    <w:rsid w:val="00AB6F01"/>
    <w:rsid w:val="00AB6FDA"/>
    <w:rsid w:val="00AB7153"/>
    <w:rsid w:val="00AC457E"/>
    <w:rsid w:val="00AC540A"/>
    <w:rsid w:val="00AC5728"/>
    <w:rsid w:val="00AC7BDA"/>
    <w:rsid w:val="00AD37CF"/>
    <w:rsid w:val="00AD5D83"/>
    <w:rsid w:val="00AE1148"/>
    <w:rsid w:val="00AE15B4"/>
    <w:rsid w:val="00AF1BA9"/>
    <w:rsid w:val="00AF2C03"/>
    <w:rsid w:val="00AF728F"/>
    <w:rsid w:val="00B06E62"/>
    <w:rsid w:val="00B075A2"/>
    <w:rsid w:val="00B15D89"/>
    <w:rsid w:val="00B201EF"/>
    <w:rsid w:val="00B2096B"/>
    <w:rsid w:val="00B23E37"/>
    <w:rsid w:val="00B33CE6"/>
    <w:rsid w:val="00B341DB"/>
    <w:rsid w:val="00B372DE"/>
    <w:rsid w:val="00B43249"/>
    <w:rsid w:val="00B56063"/>
    <w:rsid w:val="00B5719A"/>
    <w:rsid w:val="00B57515"/>
    <w:rsid w:val="00B57E70"/>
    <w:rsid w:val="00B67731"/>
    <w:rsid w:val="00B71DCC"/>
    <w:rsid w:val="00B73E71"/>
    <w:rsid w:val="00B73F76"/>
    <w:rsid w:val="00B80F9F"/>
    <w:rsid w:val="00B874F4"/>
    <w:rsid w:val="00B9163C"/>
    <w:rsid w:val="00B96081"/>
    <w:rsid w:val="00B968D6"/>
    <w:rsid w:val="00BA58F1"/>
    <w:rsid w:val="00BA5BE1"/>
    <w:rsid w:val="00BB08BC"/>
    <w:rsid w:val="00BB0AD8"/>
    <w:rsid w:val="00BB14E1"/>
    <w:rsid w:val="00BB2622"/>
    <w:rsid w:val="00BB7C64"/>
    <w:rsid w:val="00BC036F"/>
    <w:rsid w:val="00BC1965"/>
    <w:rsid w:val="00BC29F2"/>
    <w:rsid w:val="00BD1789"/>
    <w:rsid w:val="00BD2C8D"/>
    <w:rsid w:val="00BD48A9"/>
    <w:rsid w:val="00BD65C1"/>
    <w:rsid w:val="00BE03F2"/>
    <w:rsid w:val="00BE0FB2"/>
    <w:rsid w:val="00BE78E2"/>
    <w:rsid w:val="00BF2925"/>
    <w:rsid w:val="00BF632F"/>
    <w:rsid w:val="00C005B6"/>
    <w:rsid w:val="00C1509A"/>
    <w:rsid w:val="00C209CE"/>
    <w:rsid w:val="00C2381C"/>
    <w:rsid w:val="00C23E76"/>
    <w:rsid w:val="00C256ED"/>
    <w:rsid w:val="00C30224"/>
    <w:rsid w:val="00C30AD9"/>
    <w:rsid w:val="00C34586"/>
    <w:rsid w:val="00C45869"/>
    <w:rsid w:val="00C56D24"/>
    <w:rsid w:val="00C62480"/>
    <w:rsid w:val="00C67D07"/>
    <w:rsid w:val="00C72B32"/>
    <w:rsid w:val="00C82E90"/>
    <w:rsid w:val="00C85125"/>
    <w:rsid w:val="00C865E5"/>
    <w:rsid w:val="00C946DF"/>
    <w:rsid w:val="00C9573C"/>
    <w:rsid w:val="00CA1895"/>
    <w:rsid w:val="00CA733C"/>
    <w:rsid w:val="00CC4F01"/>
    <w:rsid w:val="00CC53DA"/>
    <w:rsid w:val="00CD2D84"/>
    <w:rsid w:val="00CD320B"/>
    <w:rsid w:val="00CF0547"/>
    <w:rsid w:val="00CF5852"/>
    <w:rsid w:val="00CF59DB"/>
    <w:rsid w:val="00D00AFE"/>
    <w:rsid w:val="00D05B83"/>
    <w:rsid w:val="00D06263"/>
    <w:rsid w:val="00D169D3"/>
    <w:rsid w:val="00D25A3E"/>
    <w:rsid w:val="00D37C95"/>
    <w:rsid w:val="00D40028"/>
    <w:rsid w:val="00D57E97"/>
    <w:rsid w:val="00D71884"/>
    <w:rsid w:val="00D7445A"/>
    <w:rsid w:val="00D75A16"/>
    <w:rsid w:val="00D819B6"/>
    <w:rsid w:val="00D860E6"/>
    <w:rsid w:val="00D86AB1"/>
    <w:rsid w:val="00D97C48"/>
    <w:rsid w:val="00DA43EF"/>
    <w:rsid w:val="00DA5CFA"/>
    <w:rsid w:val="00DA5F09"/>
    <w:rsid w:val="00DB2CDD"/>
    <w:rsid w:val="00DC283C"/>
    <w:rsid w:val="00DC50ED"/>
    <w:rsid w:val="00DC696E"/>
    <w:rsid w:val="00DC70D4"/>
    <w:rsid w:val="00DD5034"/>
    <w:rsid w:val="00DD6EED"/>
    <w:rsid w:val="00DD7A50"/>
    <w:rsid w:val="00DE7BDE"/>
    <w:rsid w:val="00DF2AF9"/>
    <w:rsid w:val="00DF5CF4"/>
    <w:rsid w:val="00DF7440"/>
    <w:rsid w:val="00E01765"/>
    <w:rsid w:val="00E01A30"/>
    <w:rsid w:val="00E065AA"/>
    <w:rsid w:val="00E100E8"/>
    <w:rsid w:val="00E13612"/>
    <w:rsid w:val="00E13A1D"/>
    <w:rsid w:val="00E240D7"/>
    <w:rsid w:val="00E321F0"/>
    <w:rsid w:val="00E32C0D"/>
    <w:rsid w:val="00E42BA4"/>
    <w:rsid w:val="00E434B9"/>
    <w:rsid w:val="00E53B10"/>
    <w:rsid w:val="00E71267"/>
    <w:rsid w:val="00E74392"/>
    <w:rsid w:val="00E77844"/>
    <w:rsid w:val="00E823C6"/>
    <w:rsid w:val="00E848F1"/>
    <w:rsid w:val="00E964D8"/>
    <w:rsid w:val="00E96A39"/>
    <w:rsid w:val="00EB57DC"/>
    <w:rsid w:val="00EB603A"/>
    <w:rsid w:val="00EB7D53"/>
    <w:rsid w:val="00EC25D3"/>
    <w:rsid w:val="00ED0B9C"/>
    <w:rsid w:val="00EF4DCF"/>
    <w:rsid w:val="00F053C5"/>
    <w:rsid w:val="00F071ED"/>
    <w:rsid w:val="00F11A1A"/>
    <w:rsid w:val="00F150DA"/>
    <w:rsid w:val="00F177E6"/>
    <w:rsid w:val="00F241B4"/>
    <w:rsid w:val="00F250FA"/>
    <w:rsid w:val="00F34446"/>
    <w:rsid w:val="00F35181"/>
    <w:rsid w:val="00F36138"/>
    <w:rsid w:val="00F419A8"/>
    <w:rsid w:val="00F50671"/>
    <w:rsid w:val="00F50AF1"/>
    <w:rsid w:val="00F615BA"/>
    <w:rsid w:val="00F64012"/>
    <w:rsid w:val="00F74857"/>
    <w:rsid w:val="00F83325"/>
    <w:rsid w:val="00F834BE"/>
    <w:rsid w:val="00F86910"/>
    <w:rsid w:val="00F9133F"/>
    <w:rsid w:val="00F93624"/>
    <w:rsid w:val="00FA00FC"/>
    <w:rsid w:val="00FB3203"/>
    <w:rsid w:val="00FB5083"/>
    <w:rsid w:val="00FC0382"/>
    <w:rsid w:val="00FC0982"/>
    <w:rsid w:val="00FC3D4A"/>
    <w:rsid w:val="00FC71BF"/>
    <w:rsid w:val="00FD24EE"/>
    <w:rsid w:val="00FD7386"/>
    <w:rsid w:val="00FE6959"/>
    <w:rsid w:val="00FE6C5E"/>
    <w:rsid w:val="00FE7E76"/>
    <w:rsid w:val="00FF3AE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62465"/>
    <o:shapelayout v:ext="edit">
      <o:idmap v:ext="edit" data="1"/>
    </o:shapelayout>
  </w:shapeDefaults>
  <w:decimalSymbol w:val="."/>
  <w:listSeparator w:val=","/>
  <w14:docId w14:val="3981B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A520A"/>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4A520A"/>
    <w:pPr>
      <w:keepNext/>
      <w:keepLines/>
      <w:numPr>
        <w:numId w:val="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A520A"/>
    <w:pPr>
      <w:keepNext/>
      <w:keepLines/>
      <w:numPr>
        <w:ilvl w:val="1"/>
        <w:numId w:val="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A520A"/>
    <w:pPr>
      <w:keepNext/>
      <w:keepLines/>
      <w:numPr>
        <w:ilvl w:val="2"/>
        <w:numId w:val="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A520A"/>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4A520A"/>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4A520A"/>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4A520A"/>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4A520A"/>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4A520A"/>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unhideWhenUsed/>
    <w:rsid w:val="004A520A"/>
    <w:pPr>
      <w:numPr>
        <w:numId w:val="1"/>
      </w:numPr>
    </w:pPr>
  </w:style>
  <w:style w:type="numbering" w:styleId="1ai">
    <w:name w:val="Outline List 1"/>
    <w:basedOn w:val="NoList"/>
    <w:uiPriority w:val="99"/>
    <w:unhideWhenUsed/>
    <w:rsid w:val="004A520A"/>
    <w:pPr>
      <w:numPr>
        <w:numId w:val="4"/>
      </w:numPr>
    </w:pPr>
  </w:style>
  <w:style w:type="paragraph" w:customStyle="1" w:styleId="ActHead1">
    <w:name w:val="ActHead 1"/>
    <w:aliases w:val="c"/>
    <w:basedOn w:val="OPCParaBase"/>
    <w:next w:val="Normal"/>
    <w:qFormat/>
    <w:rsid w:val="004A520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A520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A520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A520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A520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A520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A520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A520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A520A"/>
    <w:pPr>
      <w:keepNext/>
      <w:keepLines/>
      <w:spacing w:before="280" w:line="240" w:lineRule="auto"/>
      <w:ind w:left="1134" w:hanging="1134"/>
      <w:outlineLvl w:val="8"/>
    </w:pPr>
    <w:rPr>
      <w:b/>
      <w:i/>
      <w:kern w:val="28"/>
      <w:sz w:val="28"/>
    </w:rPr>
  </w:style>
  <w:style w:type="paragraph" w:customStyle="1" w:styleId="SOText">
    <w:name w:val="SO Text"/>
    <w:aliases w:val="sot"/>
    <w:link w:val="SOTextChar"/>
    <w:rsid w:val="004A520A"/>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paragraph" w:customStyle="1" w:styleId="Actno">
    <w:name w:val="Actno"/>
    <w:basedOn w:val="ShortT"/>
    <w:next w:val="Normal"/>
    <w:qFormat/>
    <w:rsid w:val="004A520A"/>
  </w:style>
  <w:style w:type="character" w:customStyle="1" w:styleId="SOTextChar">
    <w:name w:val="SO Text Char"/>
    <w:aliases w:val="sot Char"/>
    <w:basedOn w:val="DefaultParagraphFont"/>
    <w:link w:val="SOText"/>
    <w:rsid w:val="004A520A"/>
    <w:rPr>
      <w:rFonts w:eastAsiaTheme="minorHAnsi" w:cstheme="minorBidi"/>
      <w:sz w:val="22"/>
      <w:lang w:eastAsia="en-US"/>
    </w:rPr>
  </w:style>
  <w:style w:type="paragraph" w:customStyle="1" w:styleId="SOTextNote">
    <w:name w:val="SO TextNote"/>
    <w:aliases w:val="sont"/>
    <w:basedOn w:val="SOText"/>
    <w:qFormat/>
    <w:rsid w:val="004A520A"/>
    <w:pPr>
      <w:spacing w:before="122" w:line="198" w:lineRule="exact"/>
      <w:ind w:left="1843" w:hanging="709"/>
    </w:pPr>
    <w:rPr>
      <w:sz w:val="18"/>
    </w:rPr>
  </w:style>
  <w:style w:type="paragraph" w:customStyle="1" w:styleId="SOPara">
    <w:name w:val="SO Para"/>
    <w:aliases w:val="soa"/>
    <w:basedOn w:val="SOText"/>
    <w:link w:val="SOParaChar"/>
    <w:qFormat/>
    <w:rsid w:val="004A520A"/>
    <w:pPr>
      <w:tabs>
        <w:tab w:val="right" w:pos="1786"/>
      </w:tabs>
      <w:spacing w:before="40"/>
      <w:ind w:left="2070" w:hanging="936"/>
    </w:pPr>
  </w:style>
  <w:style w:type="character" w:customStyle="1" w:styleId="SOParaChar">
    <w:name w:val="SO Para Char"/>
    <w:aliases w:val="soa Char"/>
    <w:basedOn w:val="DefaultParagraphFont"/>
    <w:link w:val="SOPara"/>
    <w:rsid w:val="004A520A"/>
    <w:rPr>
      <w:rFonts w:eastAsiaTheme="minorHAnsi" w:cstheme="minorBidi"/>
      <w:sz w:val="22"/>
      <w:lang w:eastAsia="en-US"/>
    </w:rPr>
  </w:style>
  <w:style w:type="paragraph" w:customStyle="1" w:styleId="FileName">
    <w:name w:val="FileName"/>
    <w:basedOn w:val="Normal"/>
    <w:rsid w:val="004A520A"/>
  </w:style>
  <w:style w:type="paragraph" w:customStyle="1" w:styleId="SOHeadBold">
    <w:name w:val="SO HeadBold"/>
    <w:aliases w:val="sohb"/>
    <w:basedOn w:val="SOText"/>
    <w:next w:val="SOText"/>
    <w:link w:val="SOHeadBoldChar"/>
    <w:qFormat/>
    <w:rsid w:val="004A520A"/>
    <w:rPr>
      <w:b/>
    </w:rPr>
  </w:style>
  <w:style w:type="numbering" w:styleId="ArticleSection">
    <w:name w:val="Outline List 3"/>
    <w:basedOn w:val="NoList"/>
    <w:uiPriority w:val="99"/>
    <w:unhideWhenUsed/>
    <w:rsid w:val="004A520A"/>
    <w:pPr>
      <w:numPr>
        <w:numId w:val="5"/>
      </w:numPr>
    </w:pPr>
  </w:style>
  <w:style w:type="character" w:customStyle="1" w:styleId="SOHeadBoldChar">
    <w:name w:val="SO HeadBold Char"/>
    <w:aliases w:val="sohb Char"/>
    <w:basedOn w:val="DefaultParagraphFont"/>
    <w:link w:val="SOHeadBold"/>
    <w:rsid w:val="004A520A"/>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4A520A"/>
    <w:rPr>
      <w:i/>
    </w:rPr>
  </w:style>
  <w:style w:type="paragraph" w:styleId="BalloonText">
    <w:name w:val="Balloon Text"/>
    <w:basedOn w:val="Normal"/>
    <w:link w:val="BalloonTextChar"/>
    <w:uiPriority w:val="99"/>
    <w:unhideWhenUsed/>
    <w:rsid w:val="004A520A"/>
    <w:pPr>
      <w:spacing w:line="240" w:lineRule="auto"/>
    </w:pPr>
    <w:rPr>
      <w:rFonts w:ascii="Segoe UI" w:hAnsi="Segoe UI" w:cs="Segoe UI"/>
      <w:sz w:val="18"/>
      <w:szCs w:val="18"/>
    </w:rPr>
  </w:style>
  <w:style w:type="paragraph" w:styleId="BlockText">
    <w:name w:val="Block Text"/>
    <w:basedOn w:val="Normal"/>
    <w:uiPriority w:val="99"/>
    <w:unhideWhenUsed/>
    <w:rsid w:val="004A520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4A520A"/>
    <w:pPr>
      <w:spacing w:line="240" w:lineRule="auto"/>
    </w:pPr>
    <w:rPr>
      <w:sz w:val="24"/>
    </w:rPr>
  </w:style>
  <w:style w:type="paragraph" w:styleId="BodyText">
    <w:name w:val="Body Text"/>
    <w:basedOn w:val="Normal"/>
    <w:link w:val="BodyTextChar"/>
    <w:uiPriority w:val="99"/>
    <w:unhideWhenUsed/>
    <w:rsid w:val="004A520A"/>
    <w:pPr>
      <w:spacing w:after="120"/>
    </w:pPr>
  </w:style>
  <w:style w:type="paragraph" w:styleId="BodyText2">
    <w:name w:val="Body Text 2"/>
    <w:basedOn w:val="Normal"/>
    <w:link w:val="BodyText2Char"/>
    <w:uiPriority w:val="99"/>
    <w:unhideWhenUsed/>
    <w:rsid w:val="004A520A"/>
    <w:pPr>
      <w:spacing w:after="120" w:line="480" w:lineRule="auto"/>
    </w:pPr>
  </w:style>
  <w:style w:type="paragraph" w:styleId="BodyText3">
    <w:name w:val="Body Text 3"/>
    <w:basedOn w:val="Normal"/>
    <w:link w:val="BodyText3Char"/>
    <w:uiPriority w:val="99"/>
    <w:unhideWhenUsed/>
    <w:rsid w:val="004A520A"/>
    <w:pPr>
      <w:spacing w:after="120"/>
    </w:pPr>
    <w:rPr>
      <w:sz w:val="16"/>
      <w:szCs w:val="16"/>
    </w:rPr>
  </w:style>
  <w:style w:type="paragraph" w:styleId="BodyTextFirstIndent">
    <w:name w:val="Body Text First Indent"/>
    <w:basedOn w:val="BodyText"/>
    <w:link w:val="BodyTextFirstIndentChar"/>
    <w:uiPriority w:val="99"/>
    <w:unhideWhenUsed/>
    <w:rsid w:val="004A520A"/>
    <w:pPr>
      <w:spacing w:after="0"/>
      <w:ind w:firstLine="360"/>
    </w:pPr>
  </w:style>
  <w:style w:type="paragraph" w:styleId="BodyTextIndent">
    <w:name w:val="Body Text Indent"/>
    <w:basedOn w:val="Normal"/>
    <w:link w:val="BodyTextIndentChar"/>
    <w:uiPriority w:val="99"/>
    <w:unhideWhenUsed/>
    <w:rsid w:val="004A520A"/>
    <w:pPr>
      <w:spacing w:after="120"/>
      <w:ind w:left="283"/>
    </w:pPr>
  </w:style>
  <w:style w:type="paragraph" w:styleId="BodyTextFirstIndent2">
    <w:name w:val="Body Text First Indent 2"/>
    <w:basedOn w:val="BodyTextIndent"/>
    <w:link w:val="BodyTextFirstIndent2Char"/>
    <w:uiPriority w:val="99"/>
    <w:unhideWhenUsed/>
    <w:rsid w:val="004A520A"/>
    <w:pPr>
      <w:spacing w:after="0"/>
      <w:ind w:left="360" w:firstLine="360"/>
    </w:pPr>
  </w:style>
  <w:style w:type="paragraph" w:styleId="BodyTextIndent2">
    <w:name w:val="Body Text Indent 2"/>
    <w:basedOn w:val="Normal"/>
    <w:link w:val="BodyTextIndent2Char"/>
    <w:uiPriority w:val="99"/>
    <w:unhideWhenUsed/>
    <w:rsid w:val="004A520A"/>
    <w:pPr>
      <w:spacing w:after="120" w:line="480" w:lineRule="auto"/>
      <w:ind w:left="283"/>
    </w:pPr>
  </w:style>
  <w:style w:type="paragraph" w:styleId="BodyTextIndent3">
    <w:name w:val="Body Text Indent 3"/>
    <w:basedOn w:val="Normal"/>
    <w:link w:val="BodyTextIndent3Char"/>
    <w:uiPriority w:val="99"/>
    <w:unhideWhenUsed/>
    <w:rsid w:val="004A520A"/>
    <w:pPr>
      <w:spacing w:after="120"/>
      <w:ind w:left="283"/>
    </w:pPr>
    <w:rPr>
      <w:sz w:val="16"/>
      <w:szCs w:val="16"/>
    </w:rPr>
  </w:style>
  <w:style w:type="character" w:customStyle="1" w:styleId="SOHeadItalicChar">
    <w:name w:val="SO HeadItalic Char"/>
    <w:aliases w:val="sohi Char"/>
    <w:basedOn w:val="DefaultParagraphFont"/>
    <w:link w:val="SOHeadItalic"/>
    <w:rsid w:val="004A520A"/>
    <w:rPr>
      <w:rFonts w:eastAsiaTheme="minorHAnsi" w:cstheme="minorBidi"/>
      <w:i/>
      <w:sz w:val="22"/>
      <w:lang w:eastAsia="en-US"/>
    </w:rPr>
  </w:style>
  <w:style w:type="paragraph" w:customStyle="1" w:styleId="BoxText">
    <w:name w:val="BoxText"/>
    <w:aliases w:val="bt"/>
    <w:basedOn w:val="OPCParaBase"/>
    <w:qFormat/>
    <w:rsid w:val="004A520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A520A"/>
    <w:rPr>
      <w:b/>
    </w:rPr>
  </w:style>
  <w:style w:type="paragraph" w:customStyle="1" w:styleId="BoxHeadItalic">
    <w:name w:val="BoxHeadItalic"/>
    <w:aliases w:val="bhi"/>
    <w:basedOn w:val="BoxText"/>
    <w:next w:val="BoxStep"/>
    <w:qFormat/>
    <w:rsid w:val="004A520A"/>
    <w:rPr>
      <w:i/>
    </w:rPr>
  </w:style>
  <w:style w:type="paragraph" w:customStyle="1" w:styleId="BoxList">
    <w:name w:val="BoxList"/>
    <w:aliases w:val="bl"/>
    <w:basedOn w:val="BoxText"/>
    <w:qFormat/>
    <w:rsid w:val="004A520A"/>
    <w:pPr>
      <w:ind w:left="1559" w:hanging="425"/>
    </w:pPr>
  </w:style>
  <w:style w:type="paragraph" w:customStyle="1" w:styleId="BoxNote">
    <w:name w:val="BoxNote"/>
    <w:aliases w:val="bn"/>
    <w:basedOn w:val="BoxText"/>
    <w:qFormat/>
    <w:rsid w:val="004A520A"/>
    <w:pPr>
      <w:tabs>
        <w:tab w:val="left" w:pos="1985"/>
      </w:tabs>
      <w:spacing w:before="122" w:line="198" w:lineRule="exact"/>
      <w:ind w:left="2948" w:hanging="1814"/>
    </w:pPr>
    <w:rPr>
      <w:sz w:val="18"/>
    </w:rPr>
  </w:style>
  <w:style w:type="paragraph" w:customStyle="1" w:styleId="BoxPara">
    <w:name w:val="BoxPara"/>
    <w:aliases w:val="bp"/>
    <w:basedOn w:val="BoxText"/>
    <w:qFormat/>
    <w:rsid w:val="004A520A"/>
    <w:pPr>
      <w:tabs>
        <w:tab w:val="right" w:pos="2268"/>
      </w:tabs>
      <w:ind w:left="2552" w:hanging="1418"/>
    </w:pPr>
  </w:style>
  <w:style w:type="paragraph" w:customStyle="1" w:styleId="BoxStep">
    <w:name w:val="BoxStep"/>
    <w:aliases w:val="bs"/>
    <w:basedOn w:val="BoxText"/>
    <w:qFormat/>
    <w:rsid w:val="004A520A"/>
    <w:pPr>
      <w:ind w:left="1985" w:hanging="851"/>
    </w:pPr>
  </w:style>
  <w:style w:type="paragraph" w:styleId="Caption">
    <w:name w:val="caption"/>
    <w:basedOn w:val="Normal"/>
    <w:next w:val="Normal"/>
    <w:uiPriority w:val="35"/>
    <w:unhideWhenUsed/>
    <w:qFormat/>
    <w:rsid w:val="004A520A"/>
    <w:pPr>
      <w:spacing w:after="200" w:line="240" w:lineRule="auto"/>
    </w:pPr>
    <w:rPr>
      <w:i/>
      <w:iCs/>
      <w:color w:val="1F497D" w:themeColor="text2"/>
      <w:sz w:val="18"/>
      <w:szCs w:val="18"/>
    </w:rPr>
  </w:style>
  <w:style w:type="character" w:customStyle="1" w:styleId="CharAmPartNo">
    <w:name w:val="CharAmPartNo"/>
    <w:basedOn w:val="OPCCharBase"/>
    <w:qFormat/>
    <w:rsid w:val="004A520A"/>
  </w:style>
  <w:style w:type="character" w:customStyle="1" w:styleId="CharAmPartText">
    <w:name w:val="CharAmPartText"/>
    <w:basedOn w:val="OPCCharBase"/>
    <w:qFormat/>
    <w:rsid w:val="004A520A"/>
  </w:style>
  <w:style w:type="character" w:customStyle="1" w:styleId="CharAmSchNo">
    <w:name w:val="CharAmSchNo"/>
    <w:basedOn w:val="OPCCharBase"/>
    <w:qFormat/>
    <w:rsid w:val="004A520A"/>
  </w:style>
  <w:style w:type="character" w:customStyle="1" w:styleId="CharAmSchText">
    <w:name w:val="CharAmSchText"/>
    <w:basedOn w:val="OPCCharBase"/>
    <w:qFormat/>
    <w:rsid w:val="004A520A"/>
  </w:style>
  <w:style w:type="character" w:customStyle="1" w:styleId="CharBoldItalic">
    <w:name w:val="CharBoldItalic"/>
    <w:basedOn w:val="OPCCharBase"/>
    <w:uiPriority w:val="1"/>
    <w:qFormat/>
    <w:rsid w:val="004A520A"/>
    <w:rPr>
      <w:b/>
      <w:i/>
    </w:rPr>
  </w:style>
  <w:style w:type="character" w:customStyle="1" w:styleId="CharChapNo">
    <w:name w:val="CharChapNo"/>
    <w:basedOn w:val="OPCCharBase"/>
    <w:uiPriority w:val="1"/>
    <w:qFormat/>
    <w:rsid w:val="004A520A"/>
  </w:style>
  <w:style w:type="character" w:customStyle="1" w:styleId="CharChapText">
    <w:name w:val="CharChapText"/>
    <w:basedOn w:val="OPCCharBase"/>
    <w:uiPriority w:val="1"/>
    <w:qFormat/>
    <w:rsid w:val="004A520A"/>
  </w:style>
  <w:style w:type="character" w:customStyle="1" w:styleId="CharDivNo">
    <w:name w:val="CharDivNo"/>
    <w:basedOn w:val="OPCCharBase"/>
    <w:uiPriority w:val="1"/>
    <w:qFormat/>
    <w:rsid w:val="004A520A"/>
  </w:style>
  <w:style w:type="character" w:customStyle="1" w:styleId="CharDivText">
    <w:name w:val="CharDivText"/>
    <w:basedOn w:val="OPCCharBase"/>
    <w:uiPriority w:val="1"/>
    <w:qFormat/>
    <w:rsid w:val="004A520A"/>
  </w:style>
  <w:style w:type="character" w:customStyle="1" w:styleId="CharItalic">
    <w:name w:val="CharItalic"/>
    <w:basedOn w:val="OPCCharBase"/>
    <w:uiPriority w:val="1"/>
    <w:qFormat/>
    <w:rsid w:val="004A520A"/>
    <w:rPr>
      <w:i/>
    </w:rPr>
  </w:style>
  <w:style w:type="paragraph" w:customStyle="1" w:styleId="SOBullet">
    <w:name w:val="SO Bullet"/>
    <w:aliases w:val="sotb"/>
    <w:basedOn w:val="SOText"/>
    <w:link w:val="SOBulletChar"/>
    <w:qFormat/>
    <w:rsid w:val="004A520A"/>
    <w:pPr>
      <w:ind w:left="1559" w:hanging="425"/>
    </w:pPr>
  </w:style>
  <w:style w:type="character" w:customStyle="1" w:styleId="SOBulletChar">
    <w:name w:val="SO Bullet Char"/>
    <w:aliases w:val="sotb Char"/>
    <w:basedOn w:val="DefaultParagraphFont"/>
    <w:link w:val="SOBullet"/>
    <w:rsid w:val="004A520A"/>
    <w:rPr>
      <w:rFonts w:eastAsiaTheme="minorHAnsi" w:cstheme="minorBidi"/>
      <w:sz w:val="22"/>
      <w:lang w:eastAsia="en-US"/>
    </w:rPr>
  </w:style>
  <w:style w:type="character" w:customStyle="1" w:styleId="CharPartNo">
    <w:name w:val="CharPartNo"/>
    <w:basedOn w:val="OPCCharBase"/>
    <w:uiPriority w:val="1"/>
    <w:qFormat/>
    <w:rsid w:val="004A520A"/>
  </w:style>
  <w:style w:type="character" w:customStyle="1" w:styleId="CharPartText">
    <w:name w:val="CharPartText"/>
    <w:basedOn w:val="OPCCharBase"/>
    <w:uiPriority w:val="1"/>
    <w:qFormat/>
    <w:rsid w:val="004A520A"/>
  </w:style>
  <w:style w:type="character" w:customStyle="1" w:styleId="CharSectno">
    <w:name w:val="CharSectno"/>
    <w:basedOn w:val="OPCCharBase"/>
    <w:qFormat/>
    <w:rsid w:val="004A520A"/>
  </w:style>
  <w:style w:type="character" w:customStyle="1" w:styleId="CharSubdNo">
    <w:name w:val="CharSubdNo"/>
    <w:basedOn w:val="OPCCharBase"/>
    <w:uiPriority w:val="1"/>
    <w:qFormat/>
    <w:rsid w:val="004A520A"/>
  </w:style>
  <w:style w:type="character" w:customStyle="1" w:styleId="CharSubdText">
    <w:name w:val="CharSubdText"/>
    <w:basedOn w:val="OPCCharBase"/>
    <w:uiPriority w:val="1"/>
    <w:qFormat/>
    <w:rsid w:val="004A520A"/>
  </w:style>
  <w:style w:type="paragraph" w:styleId="Closing">
    <w:name w:val="Closing"/>
    <w:basedOn w:val="Normal"/>
    <w:link w:val="ClosingChar"/>
    <w:uiPriority w:val="99"/>
    <w:unhideWhenUsed/>
    <w:rsid w:val="004A520A"/>
    <w:pPr>
      <w:spacing w:line="240" w:lineRule="auto"/>
      <w:ind w:left="4252"/>
    </w:pPr>
  </w:style>
  <w:style w:type="character" w:styleId="CommentReference">
    <w:name w:val="annotation reference"/>
    <w:basedOn w:val="DefaultParagraphFont"/>
    <w:uiPriority w:val="99"/>
    <w:unhideWhenUsed/>
    <w:rsid w:val="004A520A"/>
    <w:rPr>
      <w:sz w:val="16"/>
      <w:szCs w:val="16"/>
    </w:rPr>
  </w:style>
  <w:style w:type="paragraph" w:styleId="CommentText">
    <w:name w:val="annotation text"/>
    <w:basedOn w:val="Normal"/>
    <w:link w:val="CommentTextChar"/>
    <w:uiPriority w:val="99"/>
    <w:unhideWhenUsed/>
    <w:rsid w:val="004A520A"/>
    <w:pPr>
      <w:spacing w:line="240" w:lineRule="auto"/>
    </w:pPr>
    <w:rPr>
      <w:sz w:val="20"/>
    </w:rPr>
  </w:style>
  <w:style w:type="paragraph" w:styleId="CommentSubject">
    <w:name w:val="annotation subject"/>
    <w:basedOn w:val="CommentText"/>
    <w:next w:val="CommentText"/>
    <w:link w:val="CommentSubjectChar"/>
    <w:uiPriority w:val="99"/>
    <w:unhideWhenUsed/>
    <w:rsid w:val="004A520A"/>
    <w:rPr>
      <w:b/>
      <w:bCs/>
    </w:rPr>
  </w:style>
  <w:style w:type="paragraph" w:customStyle="1" w:styleId="SOBulletNote">
    <w:name w:val="SO BulletNote"/>
    <w:aliases w:val="sonb"/>
    <w:basedOn w:val="SOTextNote"/>
    <w:link w:val="SOBulletNoteChar"/>
    <w:qFormat/>
    <w:rsid w:val="004A520A"/>
    <w:pPr>
      <w:tabs>
        <w:tab w:val="left" w:pos="1560"/>
      </w:tabs>
      <w:ind w:left="2268" w:hanging="1134"/>
    </w:pPr>
  </w:style>
  <w:style w:type="character" w:customStyle="1" w:styleId="SOBulletNoteChar">
    <w:name w:val="SO BulletNote Char"/>
    <w:aliases w:val="sonb Char"/>
    <w:basedOn w:val="DefaultParagraphFont"/>
    <w:link w:val="SOBulletNote"/>
    <w:rsid w:val="004A520A"/>
    <w:rPr>
      <w:rFonts w:eastAsiaTheme="minorHAnsi" w:cstheme="minorBidi"/>
      <w:sz w:val="18"/>
      <w:lang w:eastAsia="en-US"/>
    </w:rPr>
  </w:style>
  <w:style w:type="paragraph" w:customStyle="1" w:styleId="notetext">
    <w:name w:val="note(text)"/>
    <w:aliases w:val="n"/>
    <w:basedOn w:val="OPCParaBase"/>
    <w:rsid w:val="004A520A"/>
    <w:pPr>
      <w:spacing w:before="122" w:line="240" w:lineRule="auto"/>
      <w:ind w:left="1985" w:hanging="851"/>
    </w:pPr>
    <w:rPr>
      <w:sz w:val="18"/>
    </w:rPr>
  </w:style>
  <w:style w:type="paragraph" w:customStyle="1" w:styleId="notemargin">
    <w:name w:val="note(margin)"/>
    <w:aliases w:val="nm"/>
    <w:basedOn w:val="OPCParaBase"/>
    <w:rsid w:val="004A520A"/>
    <w:pPr>
      <w:tabs>
        <w:tab w:val="left" w:pos="709"/>
      </w:tabs>
      <w:spacing w:before="122" w:line="198" w:lineRule="exact"/>
      <w:ind w:left="709" w:hanging="709"/>
    </w:pPr>
    <w:rPr>
      <w:sz w:val="18"/>
    </w:rPr>
  </w:style>
  <w:style w:type="paragraph" w:customStyle="1" w:styleId="CTA-">
    <w:name w:val="CTA -"/>
    <w:basedOn w:val="OPCParaBase"/>
    <w:rsid w:val="004A520A"/>
    <w:pPr>
      <w:spacing w:before="60" w:line="240" w:lineRule="atLeast"/>
      <w:ind w:left="85" w:hanging="85"/>
    </w:pPr>
    <w:rPr>
      <w:sz w:val="20"/>
    </w:rPr>
  </w:style>
  <w:style w:type="paragraph" w:customStyle="1" w:styleId="CTA--">
    <w:name w:val="CTA --"/>
    <w:basedOn w:val="OPCParaBase"/>
    <w:next w:val="Normal"/>
    <w:rsid w:val="004A520A"/>
    <w:pPr>
      <w:spacing w:before="60" w:line="240" w:lineRule="atLeast"/>
      <w:ind w:left="142" w:hanging="142"/>
    </w:pPr>
    <w:rPr>
      <w:sz w:val="20"/>
    </w:rPr>
  </w:style>
  <w:style w:type="paragraph" w:customStyle="1" w:styleId="CTA---">
    <w:name w:val="CTA ---"/>
    <w:basedOn w:val="OPCParaBase"/>
    <w:next w:val="Normal"/>
    <w:rsid w:val="004A520A"/>
    <w:pPr>
      <w:spacing w:before="60" w:line="240" w:lineRule="atLeast"/>
      <w:ind w:left="198" w:hanging="198"/>
    </w:pPr>
    <w:rPr>
      <w:sz w:val="20"/>
    </w:rPr>
  </w:style>
  <w:style w:type="paragraph" w:customStyle="1" w:styleId="CTA----">
    <w:name w:val="CTA ----"/>
    <w:basedOn w:val="OPCParaBase"/>
    <w:next w:val="Normal"/>
    <w:rsid w:val="004A520A"/>
    <w:pPr>
      <w:spacing w:before="60" w:line="240" w:lineRule="atLeast"/>
      <w:ind w:left="255" w:hanging="255"/>
    </w:pPr>
    <w:rPr>
      <w:sz w:val="20"/>
    </w:rPr>
  </w:style>
  <w:style w:type="paragraph" w:customStyle="1" w:styleId="CTA1a">
    <w:name w:val="CTA 1(a)"/>
    <w:basedOn w:val="OPCParaBase"/>
    <w:rsid w:val="004A520A"/>
    <w:pPr>
      <w:tabs>
        <w:tab w:val="right" w:pos="414"/>
      </w:tabs>
      <w:spacing w:before="40" w:line="240" w:lineRule="atLeast"/>
      <w:ind w:left="675" w:hanging="675"/>
    </w:pPr>
    <w:rPr>
      <w:sz w:val="20"/>
    </w:rPr>
  </w:style>
  <w:style w:type="paragraph" w:customStyle="1" w:styleId="CTA1ai">
    <w:name w:val="CTA 1(a)(i)"/>
    <w:basedOn w:val="OPCParaBase"/>
    <w:rsid w:val="004A520A"/>
    <w:pPr>
      <w:tabs>
        <w:tab w:val="right" w:pos="1004"/>
      </w:tabs>
      <w:spacing w:before="40" w:line="240" w:lineRule="atLeast"/>
      <w:ind w:left="1253" w:hanging="1253"/>
    </w:pPr>
    <w:rPr>
      <w:sz w:val="20"/>
    </w:rPr>
  </w:style>
  <w:style w:type="paragraph" w:customStyle="1" w:styleId="CTA2a">
    <w:name w:val="CTA 2(a)"/>
    <w:basedOn w:val="OPCParaBase"/>
    <w:rsid w:val="004A520A"/>
    <w:pPr>
      <w:tabs>
        <w:tab w:val="right" w:pos="482"/>
      </w:tabs>
      <w:spacing w:before="40" w:line="240" w:lineRule="atLeast"/>
      <w:ind w:left="748" w:hanging="748"/>
    </w:pPr>
    <w:rPr>
      <w:sz w:val="20"/>
    </w:rPr>
  </w:style>
  <w:style w:type="paragraph" w:customStyle="1" w:styleId="CTA2ai">
    <w:name w:val="CTA 2(a)(i)"/>
    <w:basedOn w:val="OPCParaBase"/>
    <w:rsid w:val="004A520A"/>
    <w:pPr>
      <w:tabs>
        <w:tab w:val="right" w:pos="1089"/>
      </w:tabs>
      <w:spacing w:before="40" w:line="240" w:lineRule="atLeast"/>
      <w:ind w:left="1327" w:hanging="1327"/>
    </w:pPr>
    <w:rPr>
      <w:sz w:val="20"/>
    </w:rPr>
  </w:style>
  <w:style w:type="paragraph" w:customStyle="1" w:styleId="CTA3a">
    <w:name w:val="CTA 3(a)"/>
    <w:basedOn w:val="OPCParaBase"/>
    <w:rsid w:val="004A520A"/>
    <w:pPr>
      <w:tabs>
        <w:tab w:val="right" w:pos="556"/>
      </w:tabs>
      <w:spacing w:before="40" w:line="240" w:lineRule="atLeast"/>
      <w:ind w:left="805" w:hanging="805"/>
    </w:pPr>
    <w:rPr>
      <w:sz w:val="20"/>
    </w:rPr>
  </w:style>
  <w:style w:type="paragraph" w:customStyle="1" w:styleId="CTA3ai">
    <w:name w:val="CTA 3(a)(i)"/>
    <w:basedOn w:val="OPCParaBase"/>
    <w:rsid w:val="004A520A"/>
    <w:pPr>
      <w:tabs>
        <w:tab w:val="right" w:pos="1140"/>
      </w:tabs>
      <w:spacing w:before="40" w:line="240" w:lineRule="atLeast"/>
      <w:ind w:left="1361" w:hanging="1361"/>
    </w:pPr>
    <w:rPr>
      <w:sz w:val="20"/>
    </w:rPr>
  </w:style>
  <w:style w:type="paragraph" w:customStyle="1" w:styleId="CTA4a">
    <w:name w:val="CTA 4(a)"/>
    <w:basedOn w:val="OPCParaBase"/>
    <w:rsid w:val="004A520A"/>
    <w:pPr>
      <w:tabs>
        <w:tab w:val="right" w:pos="624"/>
      </w:tabs>
      <w:spacing w:before="40" w:line="240" w:lineRule="atLeast"/>
      <w:ind w:left="873" w:hanging="873"/>
    </w:pPr>
    <w:rPr>
      <w:sz w:val="20"/>
    </w:rPr>
  </w:style>
  <w:style w:type="paragraph" w:customStyle="1" w:styleId="CTA4ai">
    <w:name w:val="CTA 4(a)(i)"/>
    <w:basedOn w:val="OPCParaBase"/>
    <w:rsid w:val="004A520A"/>
    <w:pPr>
      <w:tabs>
        <w:tab w:val="right" w:pos="1213"/>
      </w:tabs>
      <w:spacing w:before="40" w:line="240" w:lineRule="atLeast"/>
      <w:ind w:left="1452" w:hanging="1452"/>
    </w:pPr>
    <w:rPr>
      <w:sz w:val="20"/>
    </w:rPr>
  </w:style>
  <w:style w:type="paragraph" w:customStyle="1" w:styleId="CTACAPS">
    <w:name w:val="CTA CAPS"/>
    <w:basedOn w:val="OPCParaBase"/>
    <w:rsid w:val="004A520A"/>
    <w:pPr>
      <w:spacing w:before="60" w:line="240" w:lineRule="atLeast"/>
    </w:pPr>
    <w:rPr>
      <w:sz w:val="20"/>
    </w:rPr>
  </w:style>
  <w:style w:type="paragraph" w:customStyle="1" w:styleId="CTAright">
    <w:name w:val="CTA right"/>
    <w:basedOn w:val="OPCParaBase"/>
    <w:rsid w:val="004A520A"/>
    <w:pPr>
      <w:spacing w:before="60" w:line="240" w:lineRule="auto"/>
      <w:jc w:val="right"/>
    </w:pPr>
    <w:rPr>
      <w:sz w:val="20"/>
    </w:rPr>
  </w:style>
  <w:style w:type="paragraph" w:styleId="Date">
    <w:name w:val="Date"/>
    <w:basedOn w:val="Normal"/>
    <w:next w:val="Normal"/>
    <w:link w:val="DateChar"/>
    <w:uiPriority w:val="99"/>
    <w:unhideWhenUsed/>
    <w:rsid w:val="004A520A"/>
  </w:style>
  <w:style w:type="paragraph" w:customStyle="1" w:styleId="subsection">
    <w:name w:val="subsection"/>
    <w:aliases w:val="ss"/>
    <w:basedOn w:val="OPCParaBase"/>
    <w:link w:val="subsectionChar"/>
    <w:rsid w:val="004A520A"/>
    <w:pPr>
      <w:tabs>
        <w:tab w:val="right" w:pos="1021"/>
      </w:tabs>
      <w:spacing w:before="180" w:line="240" w:lineRule="auto"/>
      <w:ind w:left="1134" w:hanging="1134"/>
    </w:pPr>
  </w:style>
  <w:style w:type="paragraph" w:customStyle="1" w:styleId="Definition">
    <w:name w:val="Definition"/>
    <w:aliases w:val="dd"/>
    <w:basedOn w:val="OPCParaBase"/>
    <w:rsid w:val="004A520A"/>
    <w:pPr>
      <w:spacing w:before="180" w:line="240" w:lineRule="auto"/>
      <w:ind w:left="1134"/>
    </w:pPr>
  </w:style>
  <w:style w:type="paragraph" w:styleId="DocumentMap">
    <w:name w:val="Document Map"/>
    <w:basedOn w:val="Normal"/>
    <w:link w:val="DocumentMapChar"/>
    <w:uiPriority w:val="99"/>
    <w:unhideWhenUsed/>
    <w:rsid w:val="004A520A"/>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4A520A"/>
    <w:pPr>
      <w:spacing w:line="240" w:lineRule="auto"/>
    </w:pPr>
  </w:style>
  <w:style w:type="character" w:styleId="Emphasis">
    <w:name w:val="Emphasis"/>
    <w:basedOn w:val="DefaultParagraphFont"/>
    <w:uiPriority w:val="20"/>
    <w:qFormat/>
    <w:rsid w:val="004A520A"/>
    <w:rPr>
      <w:i/>
      <w:iCs/>
    </w:rPr>
  </w:style>
  <w:style w:type="character" w:styleId="EndnoteReference">
    <w:name w:val="endnote reference"/>
    <w:basedOn w:val="DefaultParagraphFont"/>
    <w:uiPriority w:val="99"/>
    <w:unhideWhenUsed/>
    <w:rsid w:val="004A520A"/>
    <w:rPr>
      <w:vertAlign w:val="superscript"/>
    </w:rPr>
  </w:style>
  <w:style w:type="paragraph" w:styleId="EndnoteText">
    <w:name w:val="endnote text"/>
    <w:basedOn w:val="Normal"/>
    <w:link w:val="EndnoteTextChar"/>
    <w:uiPriority w:val="99"/>
    <w:unhideWhenUsed/>
    <w:rsid w:val="004A520A"/>
    <w:pPr>
      <w:spacing w:line="240" w:lineRule="auto"/>
    </w:pPr>
    <w:rPr>
      <w:sz w:val="20"/>
    </w:rPr>
  </w:style>
  <w:style w:type="paragraph" w:styleId="EnvelopeAddress">
    <w:name w:val="envelope address"/>
    <w:basedOn w:val="Normal"/>
    <w:uiPriority w:val="99"/>
    <w:unhideWhenUsed/>
    <w:rsid w:val="004A520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4A520A"/>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4A520A"/>
    <w:rPr>
      <w:color w:val="800080" w:themeColor="followedHyperlink"/>
      <w:u w:val="single"/>
    </w:rPr>
  </w:style>
  <w:style w:type="paragraph" w:styleId="Footer">
    <w:name w:val="footer"/>
    <w:link w:val="FooterChar"/>
    <w:rsid w:val="004A520A"/>
    <w:pPr>
      <w:tabs>
        <w:tab w:val="center" w:pos="4153"/>
        <w:tab w:val="right" w:pos="8306"/>
      </w:tabs>
    </w:pPr>
    <w:rPr>
      <w:sz w:val="22"/>
      <w:szCs w:val="24"/>
    </w:rPr>
  </w:style>
  <w:style w:type="character" w:styleId="FootnoteReference">
    <w:name w:val="footnote reference"/>
    <w:basedOn w:val="DefaultParagraphFont"/>
    <w:uiPriority w:val="99"/>
    <w:unhideWhenUsed/>
    <w:rsid w:val="004A520A"/>
    <w:rPr>
      <w:vertAlign w:val="superscript"/>
    </w:rPr>
  </w:style>
  <w:style w:type="paragraph" w:styleId="FootnoteText">
    <w:name w:val="footnote text"/>
    <w:basedOn w:val="Normal"/>
    <w:link w:val="FootnoteTextChar"/>
    <w:uiPriority w:val="99"/>
    <w:unhideWhenUsed/>
    <w:rsid w:val="004A520A"/>
    <w:pPr>
      <w:spacing w:line="240" w:lineRule="auto"/>
    </w:pPr>
    <w:rPr>
      <w:sz w:val="20"/>
    </w:rPr>
  </w:style>
  <w:style w:type="paragraph" w:customStyle="1" w:styleId="Formula">
    <w:name w:val="Formula"/>
    <w:basedOn w:val="OPCParaBase"/>
    <w:rsid w:val="004A520A"/>
    <w:pPr>
      <w:spacing w:line="240" w:lineRule="auto"/>
      <w:ind w:left="1134"/>
    </w:pPr>
    <w:rPr>
      <w:sz w:val="20"/>
    </w:rPr>
  </w:style>
  <w:style w:type="paragraph" w:styleId="Header">
    <w:name w:val="header"/>
    <w:basedOn w:val="OPCParaBase"/>
    <w:link w:val="HeaderChar"/>
    <w:unhideWhenUsed/>
    <w:rsid w:val="004A520A"/>
    <w:pPr>
      <w:keepNext/>
      <w:keepLines/>
      <w:tabs>
        <w:tab w:val="center" w:pos="4150"/>
        <w:tab w:val="right" w:pos="8307"/>
      </w:tabs>
      <w:spacing w:line="160" w:lineRule="exact"/>
    </w:pPr>
    <w:rPr>
      <w:sz w:val="16"/>
    </w:rPr>
  </w:style>
  <w:style w:type="paragraph" w:customStyle="1" w:styleId="House">
    <w:name w:val="House"/>
    <w:basedOn w:val="OPCParaBase"/>
    <w:rsid w:val="004A520A"/>
    <w:pPr>
      <w:spacing w:line="240" w:lineRule="auto"/>
    </w:pPr>
    <w:rPr>
      <w:sz w:val="28"/>
    </w:rPr>
  </w:style>
  <w:style w:type="character" w:styleId="HTMLAcronym">
    <w:name w:val="HTML Acronym"/>
    <w:basedOn w:val="DefaultParagraphFont"/>
    <w:uiPriority w:val="99"/>
    <w:unhideWhenUsed/>
    <w:rsid w:val="004A520A"/>
  </w:style>
  <w:style w:type="paragraph" w:styleId="HTMLAddress">
    <w:name w:val="HTML Address"/>
    <w:basedOn w:val="Normal"/>
    <w:link w:val="HTMLAddressChar"/>
    <w:uiPriority w:val="99"/>
    <w:unhideWhenUsed/>
    <w:rsid w:val="004A520A"/>
    <w:pPr>
      <w:spacing w:line="240" w:lineRule="auto"/>
    </w:pPr>
    <w:rPr>
      <w:i/>
      <w:iCs/>
    </w:rPr>
  </w:style>
  <w:style w:type="character" w:styleId="HTMLCite">
    <w:name w:val="HTML Cite"/>
    <w:basedOn w:val="DefaultParagraphFont"/>
    <w:uiPriority w:val="99"/>
    <w:unhideWhenUsed/>
    <w:rsid w:val="004A520A"/>
    <w:rPr>
      <w:i/>
      <w:iCs/>
    </w:rPr>
  </w:style>
  <w:style w:type="character" w:styleId="HTMLCode">
    <w:name w:val="HTML Code"/>
    <w:basedOn w:val="DefaultParagraphFont"/>
    <w:uiPriority w:val="99"/>
    <w:unhideWhenUsed/>
    <w:rsid w:val="004A520A"/>
    <w:rPr>
      <w:rFonts w:ascii="Consolas" w:hAnsi="Consolas"/>
      <w:sz w:val="20"/>
      <w:szCs w:val="20"/>
    </w:rPr>
  </w:style>
  <w:style w:type="character" w:styleId="HTMLDefinition">
    <w:name w:val="HTML Definition"/>
    <w:basedOn w:val="DefaultParagraphFont"/>
    <w:uiPriority w:val="99"/>
    <w:unhideWhenUsed/>
    <w:rsid w:val="004A520A"/>
    <w:rPr>
      <w:i/>
      <w:iCs/>
    </w:rPr>
  </w:style>
  <w:style w:type="character" w:styleId="HTMLKeyboard">
    <w:name w:val="HTML Keyboard"/>
    <w:basedOn w:val="DefaultParagraphFont"/>
    <w:uiPriority w:val="99"/>
    <w:unhideWhenUsed/>
    <w:rsid w:val="004A520A"/>
    <w:rPr>
      <w:rFonts w:ascii="Consolas" w:hAnsi="Consolas"/>
      <w:sz w:val="20"/>
      <w:szCs w:val="20"/>
    </w:rPr>
  </w:style>
  <w:style w:type="paragraph" w:styleId="HTMLPreformatted">
    <w:name w:val="HTML Preformatted"/>
    <w:basedOn w:val="Normal"/>
    <w:link w:val="HTMLPreformattedChar"/>
    <w:uiPriority w:val="99"/>
    <w:unhideWhenUsed/>
    <w:rsid w:val="004A520A"/>
    <w:pPr>
      <w:spacing w:line="240" w:lineRule="auto"/>
    </w:pPr>
    <w:rPr>
      <w:rFonts w:ascii="Consolas" w:hAnsi="Consolas"/>
      <w:sz w:val="20"/>
    </w:rPr>
  </w:style>
  <w:style w:type="character" w:styleId="HTMLSample">
    <w:name w:val="HTML Sample"/>
    <w:basedOn w:val="DefaultParagraphFont"/>
    <w:uiPriority w:val="99"/>
    <w:unhideWhenUsed/>
    <w:rsid w:val="004A520A"/>
    <w:rPr>
      <w:rFonts w:ascii="Consolas" w:hAnsi="Consolas"/>
      <w:sz w:val="24"/>
      <w:szCs w:val="24"/>
    </w:rPr>
  </w:style>
  <w:style w:type="character" w:styleId="HTMLTypewriter">
    <w:name w:val="HTML Typewriter"/>
    <w:basedOn w:val="DefaultParagraphFont"/>
    <w:uiPriority w:val="99"/>
    <w:unhideWhenUsed/>
    <w:rsid w:val="004A520A"/>
    <w:rPr>
      <w:rFonts w:ascii="Consolas" w:hAnsi="Consolas"/>
      <w:sz w:val="20"/>
      <w:szCs w:val="20"/>
    </w:rPr>
  </w:style>
  <w:style w:type="character" w:styleId="HTMLVariable">
    <w:name w:val="HTML Variable"/>
    <w:basedOn w:val="DefaultParagraphFont"/>
    <w:uiPriority w:val="99"/>
    <w:unhideWhenUsed/>
    <w:rsid w:val="004A520A"/>
    <w:rPr>
      <w:i/>
      <w:iCs/>
    </w:rPr>
  </w:style>
  <w:style w:type="character" w:styleId="Hyperlink">
    <w:name w:val="Hyperlink"/>
    <w:basedOn w:val="DefaultParagraphFont"/>
    <w:uiPriority w:val="99"/>
    <w:unhideWhenUsed/>
    <w:rsid w:val="004A520A"/>
    <w:rPr>
      <w:color w:val="0000FF" w:themeColor="hyperlink"/>
      <w:u w:val="single"/>
    </w:rPr>
  </w:style>
  <w:style w:type="paragraph" w:styleId="Index1">
    <w:name w:val="index 1"/>
    <w:basedOn w:val="Normal"/>
    <w:next w:val="Normal"/>
    <w:autoRedefine/>
    <w:uiPriority w:val="99"/>
    <w:unhideWhenUsed/>
    <w:rsid w:val="004A520A"/>
    <w:pPr>
      <w:spacing w:line="240" w:lineRule="auto"/>
      <w:ind w:left="220" w:hanging="220"/>
    </w:pPr>
  </w:style>
  <w:style w:type="paragraph" w:styleId="Index2">
    <w:name w:val="index 2"/>
    <w:basedOn w:val="Normal"/>
    <w:next w:val="Normal"/>
    <w:autoRedefine/>
    <w:uiPriority w:val="99"/>
    <w:unhideWhenUsed/>
    <w:rsid w:val="004A520A"/>
    <w:pPr>
      <w:spacing w:line="240" w:lineRule="auto"/>
      <w:ind w:left="440" w:hanging="220"/>
    </w:pPr>
  </w:style>
  <w:style w:type="paragraph" w:styleId="Index3">
    <w:name w:val="index 3"/>
    <w:basedOn w:val="Normal"/>
    <w:next w:val="Normal"/>
    <w:autoRedefine/>
    <w:uiPriority w:val="99"/>
    <w:unhideWhenUsed/>
    <w:rsid w:val="004A520A"/>
    <w:pPr>
      <w:spacing w:line="240" w:lineRule="auto"/>
      <w:ind w:left="660" w:hanging="220"/>
    </w:pPr>
  </w:style>
  <w:style w:type="paragraph" w:styleId="Index4">
    <w:name w:val="index 4"/>
    <w:basedOn w:val="Normal"/>
    <w:next w:val="Normal"/>
    <w:autoRedefine/>
    <w:uiPriority w:val="99"/>
    <w:unhideWhenUsed/>
    <w:rsid w:val="004A520A"/>
    <w:pPr>
      <w:spacing w:line="240" w:lineRule="auto"/>
      <w:ind w:left="880" w:hanging="220"/>
    </w:pPr>
  </w:style>
  <w:style w:type="paragraph" w:styleId="Index5">
    <w:name w:val="index 5"/>
    <w:basedOn w:val="Normal"/>
    <w:next w:val="Normal"/>
    <w:autoRedefine/>
    <w:uiPriority w:val="99"/>
    <w:unhideWhenUsed/>
    <w:rsid w:val="004A520A"/>
    <w:pPr>
      <w:spacing w:line="240" w:lineRule="auto"/>
      <w:ind w:left="1100" w:hanging="220"/>
    </w:pPr>
  </w:style>
  <w:style w:type="paragraph" w:styleId="Index6">
    <w:name w:val="index 6"/>
    <w:basedOn w:val="Normal"/>
    <w:next w:val="Normal"/>
    <w:autoRedefine/>
    <w:uiPriority w:val="99"/>
    <w:unhideWhenUsed/>
    <w:rsid w:val="004A520A"/>
    <w:pPr>
      <w:spacing w:line="240" w:lineRule="auto"/>
      <w:ind w:left="1320" w:hanging="220"/>
    </w:pPr>
  </w:style>
  <w:style w:type="paragraph" w:styleId="Index7">
    <w:name w:val="index 7"/>
    <w:basedOn w:val="Normal"/>
    <w:next w:val="Normal"/>
    <w:autoRedefine/>
    <w:uiPriority w:val="99"/>
    <w:unhideWhenUsed/>
    <w:rsid w:val="004A520A"/>
    <w:pPr>
      <w:spacing w:line="240" w:lineRule="auto"/>
      <w:ind w:left="1540" w:hanging="220"/>
    </w:pPr>
  </w:style>
  <w:style w:type="paragraph" w:styleId="Index8">
    <w:name w:val="index 8"/>
    <w:basedOn w:val="Normal"/>
    <w:next w:val="Normal"/>
    <w:autoRedefine/>
    <w:uiPriority w:val="99"/>
    <w:unhideWhenUsed/>
    <w:rsid w:val="004A520A"/>
    <w:pPr>
      <w:spacing w:line="240" w:lineRule="auto"/>
      <w:ind w:left="1760" w:hanging="220"/>
    </w:pPr>
  </w:style>
  <w:style w:type="paragraph" w:styleId="Index9">
    <w:name w:val="index 9"/>
    <w:basedOn w:val="Normal"/>
    <w:next w:val="Normal"/>
    <w:autoRedefine/>
    <w:uiPriority w:val="99"/>
    <w:unhideWhenUsed/>
    <w:rsid w:val="004A520A"/>
    <w:pPr>
      <w:spacing w:line="240" w:lineRule="auto"/>
      <w:ind w:left="1980" w:hanging="220"/>
    </w:pPr>
  </w:style>
  <w:style w:type="paragraph" w:styleId="IndexHeading">
    <w:name w:val="index heading"/>
    <w:basedOn w:val="Normal"/>
    <w:next w:val="Index1"/>
    <w:uiPriority w:val="99"/>
    <w:unhideWhenUsed/>
    <w:rsid w:val="004A520A"/>
    <w:rPr>
      <w:rFonts w:asciiTheme="majorHAnsi" w:eastAsiaTheme="majorEastAsia" w:hAnsiTheme="majorHAnsi" w:cstheme="majorBidi"/>
      <w:b/>
      <w:bCs/>
    </w:rPr>
  </w:style>
  <w:style w:type="paragraph" w:customStyle="1" w:styleId="Item">
    <w:name w:val="Item"/>
    <w:aliases w:val="i"/>
    <w:basedOn w:val="OPCParaBase"/>
    <w:next w:val="ItemHead"/>
    <w:rsid w:val="004A520A"/>
    <w:pPr>
      <w:keepLines/>
      <w:spacing w:before="80" w:line="240" w:lineRule="auto"/>
      <w:ind w:left="709"/>
    </w:pPr>
  </w:style>
  <w:style w:type="paragraph" w:customStyle="1" w:styleId="ItemHead">
    <w:name w:val="ItemHead"/>
    <w:aliases w:val="ih"/>
    <w:basedOn w:val="OPCParaBase"/>
    <w:next w:val="Item"/>
    <w:rsid w:val="004A520A"/>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4A520A"/>
    <w:rPr>
      <w:sz w:val="16"/>
    </w:rPr>
  </w:style>
  <w:style w:type="paragraph" w:styleId="List">
    <w:name w:val="List"/>
    <w:basedOn w:val="Normal"/>
    <w:uiPriority w:val="99"/>
    <w:unhideWhenUsed/>
    <w:rsid w:val="004A520A"/>
    <w:pPr>
      <w:ind w:left="283" w:hanging="283"/>
      <w:contextualSpacing/>
    </w:pPr>
  </w:style>
  <w:style w:type="paragraph" w:styleId="List2">
    <w:name w:val="List 2"/>
    <w:basedOn w:val="Normal"/>
    <w:uiPriority w:val="99"/>
    <w:unhideWhenUsed/>
    <w:rsid w:val="004A520A"/>
    <w:pPr>
      <w:ind w:left="566" w:hanging="283"/>
      <w:contextualSpacing/>
    </w:pPr>
  </w:style>
  <w:style w:type="paragraph" w:styleId="List3">
    <w:name w:val="List 3"/>
    <w:basedOn w:val="Normal"/>
    <w:uiPriority w:val="99"/>
    <w:unhideWhenUsed/>
    <w:rsid w:val="004A520A"/>
    <w:pPr>
      <w:ind w:left="849" w:hanging="283"/>
      <w:contextualSpacing/>
    </w:pPr>
  </w:style>
  <w:style w:type="paragraph" w:styleId="List4">
    <w:name w:val="List 4"/>
    <w:basedOn w:val="Normal"/>
    <w:uiPriority w:val="99"/>
    <w:unhideWhenUsed/>
    <w:rsid w:val="004A520A"/>
    <w:pPr>
      <w:ind w:left="1132" w:hanging="283"/>
      <w:contextualSpacing/>
    </w:pPr>
  </w:style>
  <w:style w:type="paragraph" w:styleId="List5">
    <w:name w:val="List 5"/>
    <w:basedOn w:val="Normal"/>
    <w:uiPriority w:val="99"/>
    <w:unhideWhenUsed/>
    <w:rsid w:val="004A520A"/>
    <w:pPr>
      <w:ind w:left="1415" w:hanging="283"/>
      <w:contextualSpacing/>
    </w:pPr>
  </w:style>
  <w:style w:type="paragraph" w:styleId="ListBullet">
    <w:name w:val="List Bullet"/>
    <w:basedOn w:val="Normal"/>
    <w:uiPriority w:val="99"/>
    <w:unhideWhenUsed/>
    <w:rsid w:val="004A520A"/>
    <w:pPr>
      <w:numPr>
        <w:numId w:val="7"/>
      </w:numPr>
      <w:contextualSpacing/>
    </w:pPr>
  </w:style>
  <w:style w:type="paragraph" w:styleId="ListBullet2">
    <w:name w:val="List Bullet 2"/>
    <w:basedOn w:val="Normal"/>
    <w:uiPriority w:val="99"/>
    <w:unhideWhenUsed/>
    <w:rsid w:val="004A520A"/>
    <w:pPr>
      <w:numPr>
        <w:numId w:val="9"/>
      </w:numPr>
      <w:contextualSpacing/>
    </w:pPr>
  </w:style>
  <w:style w:type="paragraph" w:styleId="ListBullet3">
    <w:name w:val="List Bullet 3"/>
    <w:basedOn w:val="Normal"/>
    <w:uiPriority w:val="99"/>
    <w:unhideWhenUsed/>
    <w:rsid w:val="004A520A"/>
    <w:pPr>
      <w:numPr>
        <w:numId w:val="11"/>
      </w:numPr>
      <w:contextualSpacing/>
    </w:pPr>
  </w:style>
  <w:style w:type="paragraph" w:styleId="ListBullet4">
    <w:name w:val="List Bullet 4"/>
    <w:basedOn w:val="Normal"/>
    <w:uiPriority w:val="99"/>
    <w:unhideWhenUsed/>
    <w:rsid w:val="004A520A"/>
    <w:pPr>
      <w:numPr>
        <w:numId w:val="13"/>
      </w:numPr>
      <w:contextualSpacing/>
    </w:pPr>
  </w:style>
  <w:style w:type="paragraph" w:styleId="ListBullet5">
    <w:name w:val="List Bullet 5"/>
    <w:basedOn w:val="Normal"/>
    <w:uiPriority w:val="99"/>
    <w:unhideWhenUsed/>
    <w:rsid w:val="004A520A"/>
    <w:pPr>
      <w:numPr>
        <w:numId w:val="15"/>
      </w:numPr>
      <w:contextualSpacing/>
    </w:pPr>
  </w:style>
  <w:style w:type="paragraph" w:styleId="ListContinue">
    <w:name w:val="List Continue"/>
    <w:basedOn w:val="Normal"/>
    <w:uiPriority w:val="99"/>
    <w:unhideWhenUsed/>
    <w:rsid w:val="004A520A"/>
    <w:pPr>
      <w:spacing w:after="120"/>
      <w:ind w:left="283"/>
      <w:contextualSpacing/>
    </w:pPr>
  </w:style>
  <w:style w:type="paragraph" w:styleId="ListContinue2">
    <w:name w:val="List Continue 2"/>
    <w:basedOn w:val="Normal"/>
    <w:uiPriority w:val="99"/>
    <w:unhideWhenUsed/>
    <w:rsid w:val="004A520A"/>
    <w:pPr>
      <w:spacing w:after="120"/>
      <w:ind w:left="566"/>
      <w:contextualSpacing/>
    </w:pPr>
  </w:style>
  <w:style w:type="paragraph" w:styleId="ListContinue3">
    <w:name w:val="List Continue 3"/>
    <w:basedOn w:val="Normal"/>
    <w:uiPriority w:val="99"/>
    <w:unhideWhenUsed/>
    <w:rsid w:val="004A520A"/>
    <w:pPr>
      <w:spacing w:after="120"/>
      <w:ind w:left="849"/>
      <w:contextualSpacing/>
    </w:pPr>
  </w:style>
  <w:style w:type="paragraph" w:styleId="ListContinue4">
    <w:name w:val="List Continue 4"/>
    <w:basedOn w:val="Normal"/>
    <w:uiPriority w:val="99"/>
    <w:unhideWhenUsed/>
    <w:rsid w:val="004A520A"/>
    <w:pPr>
      <w:spacing w:after="120"/>
      <w:ind w:left="1132"/>
      <w:contextualSpacing/>
    </w:pPr>
  </w:style>
  <w:style w:type="paragraph" w:styleId="ListContinue5">
    <w:name w:val="List Continue 5"/>
    <w:basedOn w:val="Normal"/>
    <w:uiPriority w:val="99"/>
    <w:unhideWhenUsed/>
    <w:rsid w:val="004A520A"/>
    <w:pPr>
      <w:spacing w:after="120"/>
      <w:ind w:left="1415"/>
      <w:contextualSpacing/>
    </w:pPr>
  </w:style>
  <w:style w:type="paragraph" w:styleId="ListNumber">
    <w:name w:val="List Number"/>
    <w:basedOn w:val="Normal"/>
    <w:uiPriority w:val="99"/>
    <w:unhideWhenUsed/>
    <w:rsid w:val="004A520A"/>
    <w:pPr>
      <w:numPr>
        <w:numId w:val="17"/>
      </w:numPr>
      <w:contextualSpacing/>
    </w:pPr>
  </w:style>
  <w:style w:type="paragraph" w:styleId="ListNumber2">
    <w:name w:val="List Number 2"/>
    <w:basedOn w:val="Normal"/>
    <w:uiPriority w:val="99"/>
    <w:unhideWhenUsed/>
    <w:rsid w:val="004A520A"/>
    <w:pPr>
      <w:numPr>
        <w:numId w:val="19"/>
      </w:numPr>
      <w:contextualSpacing/>
    </w:pPr>
  </w:style>
  <w:style w:type="paragraph" w:styleId="ListNumber3">
    <w:name w:val="List Number 3"/>
    <w:basedOn w:val="Normal"/>
    <w:uiPriority w:val="99"/>
    <w:unhideWhenUsed/>
    <w:rsid w:val="004A520A"/>
    <w:pPr>
      <w:numPr>
        <w:numId w:val="21"/>
      </w:numPr>
      <w:contextualSpacing/>
    </w:pPr>
  </w:style>
  <w:style w:type="paragraph" w:styleId="ListNumber4">
    <w:name w:val="List Number 4"/>
    <w:basedOn w:val="Normal"/>
    <w:uiPriority w:val="99"/>
    <w:unhideWhenUsed/>
    <w:rsid w:val="004A520A"/>
    <w:pPr>
      <w:numPr>
        <w:numId w:val="23"/>
      </w:numPr>
      <w:contextualSpacing/>
    </w:pPr>
  </w:style>
  <w:style w:type="paragraph" w:styleId="ListNumber5">
    <w:name w:val="List Number 5"/>
    <w:basedOn w:val="Normal"/>
    <w:uiPriority w:val="99"/>
    <w:unhideWhenUsed/>
    <w:rsid w:val="004A520A"/>
    <w:pPr>
      <w:numPr>
        <w:numId w:val="25"/>
      </w:numPr>
      <w:contextualSpacing/>
    </w:pPr>
  </w:style>
  <w:style w:type="paragraph" w:customStyle="1" w:styleId="LongT">
    <w:name w:val="LongT"/>
    <w:basedOn w:val="OPCParaBase"/>
    <w:rsid w:val="004A520A"/>
    <w:pPr>
      <w:spacing w:line="240" w:lineRule="auto"/>
    </w:pPr>
    <w:rPr>
      <w:b/>
      <w:sz w:val="32"/>
    </w:rPr>
  </w:style>
  <w:style w:type="paragraph" w:styleId="MacroText">
    <w:name w:val="macro"/>
    <w:link w:val="MacroTextChar"/>
    <w:uiPriority w:val="99"/>
    <w:unhideWhenUsed/>
    <w:rsid w:val="004A520A"/>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4A520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4A520A"/>
    <w:rPr>
      <w:rFonts w:cs="Times New Roman"/>
      <w:sz w:val="24"/>
      <w:szCs w:val="24"/>
    </w:rPr>
  </w:style>
  <w:style w:type="paragraph" w:styleId="NormalIndent">
    <w:name w:val="Normal Indent"/>
    <w:basedOn w:val="Normal"/>
    <w:uiPriority w:val="99"/>
    <w:unhideWhenUsed/>
    <w:rsid w:val="004A520A"/>
    <w:pPr>
      <w:ind w:left="720"/>
    </w:pPr>
  </w:style>
  <w:style w:type="paragraph" w:styleId="NoteHeading">
    <w:name w:val="Note Heading"/>
    <w:basedOn w:val="Normal"/>
    <w:next w:val="Normal"/>
    <w:link w:val="NoteHeadingChar"/>
    <w:uiPriority w:val="99"/>
    <w:unhideWhenUsed/>
    <w:rsid w:val="004A520A"/>
    <w:pPr>
      <w:spacing w:line="240" w:lineRule="auto"/>
    </w:pPr>
  </w:style>
  <w:style w:type="paragraph" w:customStyle="1" w:styleId="notedraft">
    <w:name w:val="note(draft)"/>
    <w:aliases w:val="nd"/>
    <w:basedOn w:val="OPCParaBase"/>
    <w:rsid w:val="004A520A"/>
    <w:pPr>
      <w:spacing w:before="240" w:line="240" w:lineRule="auto"/>
      <w:ind w:left="284" w:hanging="284"/>
    </w:pPr>
    <w:rPr>
      <w:i/>
      <w:sz w:val="24"/>
    </w:rPr>
  </w:style>
  <w:style w:type="paragraph" w:customStyle="1" w:styleId="notepara">
    <w:name w:val="note(para)"/>
    <w:aliases w:val="na"/>
    <w:basedOn w:val="OPCParaBase"/>
    <w:rsid w:val="004A520A"/>
    <w:pPr>
      <w:spacing w:before="40" w:line="198" w:lineRule="exact"/>
      <w:ind w:left="2354" w:hanging="369"/>
    </w:pPr>
    <w:rPr>
      <w:sz w:val="18"/>
    </w:rPr>
  </w:style>
  <w:style w:type="paragraph" w:customStyle="1" w:styleId="noteParlAmend">
    <w:name w:val="note(ParlAmend)"/>
    <w:aliases w:val="npp"/>
    <w:basedOn w:val="OPCParaBase"/>
    <w:next w:val="ParlAmend"/>
    <w:rsid w:val="004A520A"/>
    <w:pPr>
      <w:spacing w:line="240" w:lineRule="auto"/>
      <w:jc w:val="right"/>
    </w:pPr>
    <w:rPr>
      <w:rFonts w:ascii="Arial" w:hAnsi="Arial"/>
      <w:b/>
      <w:i/>
    </w:rPr>
  </w:style>
  <w:style w:type="character" w:styleId="PageNumber">
    <w:name w:val="page number"/>
    <w:basedOn w:val="DefaultParagraphFont"/>
    <w:uiPriority w:val="99"/>
    <w:unhideWhenUsed/>
    <w:rsid w:val="004A520A"/>
  </w:style>
  <w:style w:type="paragraph" w:customStyle="1" w:styleId="Page1">
    <w:name w:val="Page1"/>
    <w:basedOn w:val="OPCParaBase"/>
    <w:rsid w:val="004A520A"/>
    <w:pPr>
      <w:spacing w:before="5600" w:line="240" w:lineRule="auto"/>
    </w:pPr>
    <w:rPr>
      <w:b/>
      <w:sz w:val="32"/>
    </w:rPr>
  </w:style>
  <w:style w:type="paragraph" w:customStyle="1" w:styleId="PageBreak">
    <w:name w:val="PageBreak"/>
    <w:aliases w:val="pb"/>
    <w:basedOn w:val="OPCParaBase"/>
    <w:rsid w:val="004A520A"/>
    <w:pPr>
      <w:spacing w:line="240" w:lineRule="auto"/>
    </w:pPr>
    <w:rPr>
      <w:sz w:val="20"/>
    </w:rPr>
  </w:style>
  <w:style w:type="paragraph" w:customStyle="1" w:styleId="paragraph">
    <w:name w:val="paragraph"/>
    <w:aliases w:val="a"/>
    <w:basedOn w:val="OPCParaBase"/>
    <w:link w:val="paragraphChar"/>
    <w:rsid w:val="004A520A"/>
    <w:pPr>
      <w:tabs>
        <w:tab w:val="right" w:pos="1531"/>
      </w:tabs>
      <w:spacing w:before="40" w:line="240" w:lineRule="auto"/>
      <w:ind w:left="1644" w:hanging="1644"/>
    </w:pPr>
  </w:style>
  <w:style w:type="paragraph" w:customStyle="1" w:styleId="paragraphsub">
    <w:name w:val="paragraph(sub)"/>
    <w:aliases w:val="aa"/>
    <w:basedOn w:val="OPCParaBase"/>
    <w:rsid w:val="004A520A"/>
    <w:pPr>
      <w:tabs>
        <w:tab w:val="right" w:pos="1985"/>
      </w:tabs>
      <w:spacing w:before="40" w:line="240" w:lineRule="auto"/>
      <w:ind w:left="2098" w:hanging="2098"/>
    </w:pPr>
  </w:style>
  <w:style w:type="paragraph" w:customStyle="1" w:styleId="paragraphsub-sub">
    <w:name w:val="paragraph(sub-sub)"/>
    <w:aliases w:val="aaa"/>
    <w:basedOn w:val="OPCParaBase"/>
    <w:rsid w:val="004A520A"/>
    <w:pPr>
      <w:tabs>
        <w:tab w:val="right" w:pos="2722"/>
      </w:tabs>
      <w:spacing w:before="40" w:line="240" w:lineRule="auto"/>
      <w:ind w:left="2835" w:hanging="2835"/>
    </w:pPr>
  </w:style>
  <w:style w:type="paragraph" w:customStyle="1" w:styleId="ParlAmend">
    <w:name w:val="ParlAmend"/>
    <w:aliases w:val="pp"/>
    <w:basedOn w:val="OPCParaBase"/>
    <w:rsid w:val="004A520A"/>
    <w:pPr>
      <w:spacing w:before="240" w:line="240" w:lineRule="atLeast"/>
      <w:ind w:hanging="567"/>
    </w:pPr>
    <w:rPr>
      <w:sz w:val="24"/>
    </w:rPr>
  </w:style>
  <w:style w:type="paragraph" w:customStyle="1" w:styleId="Penalty">
    <w:name w:val="Penalty"/>
    <w:basedOn w:val="OPCParaBase"/>
    <w:rsid w:val="004A520A"/>
    <w:pPr>
      <w:tabs>
        <w:tab w:val="left" w:pos="2977"/>
      </w:tabs>
      <w:spacing w:before="180" w:line="240" w:lineRule="auto"/>
      <w:ind w:left="1985" w:hanging="851"/>
    </w:pPr>
  </w:style>
  <w:style w:type="paragraph" w:styleId="PlainText">
    <w:name w:val="Plain Text"/>
    <w:basedOn w:val="Normal"/>
    <w:link w:val="PlainTextChar"/>
    <w:uiPriority w:val="99"/>
    <w:unhideWhenUsed/>
    <w:rsid w:val="004A520A"/>
    <w:pPr>
      <w:spacing w:line="240" w:lineRule="auto"/>
    </w:pPr>
    <w:rPr>
      <w:rFonts w:ascii="Consolas" w:hAnsi="Consolas"/>
      <w:sz w:val="21"/>
      <w:szCs w:val="21"/>
    </w:rPr>
  </w:style>
  <w:style w:type="paragraph" w:customStyle="1" w:styleId="Portfolio">
    <w:name w:val="Portfolio"/>
    <w:basedOn w:val="OPCParaBase"/>
    <w:rsid w:val="004A520A"/>
    <w:pPr>
      <w:spacing w:line="240" w:lineRule="auto"/>
    </w:pPr>
    <w:rPr>
      <w:i/>
      <w:sz w:val="20"/>
    </w:rPr>
  </w:style>
  <w:style w:type="paragraph" w:customStyle="1" w:styleId="Preamble">
    <w:name w:val="Preamble"/>
    <w:basedOn w:val="OPCParaBase"/>
    <w:next w:val="Normal"/>
    <w:rsid w:val="004A520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A520A"/>
    <w:pPr>
      <w:spacing w:line="240" w:lineRule="auto"/>
    </w:pPr>
    <w:rPr>
      <w:i/>
      <w:sz w:val="20"/>
    </w:rPr>
  </w:style>
  <w:style w:type="paragraph" w:styleId="Salutation">
    <w:name w:val="Salutation"/>
    <w:basedOn w:val="Normal"/>
    <w:next w:val="Normal"/>
    <w:link w:val="SalutationChar"/>
    <w:uiPriority w:val="99"/>
    <w:unhideWhenUsed/>
    <w:rsid w:val="004A520A"/>
  </w:style>
  <w:style w:type="paragraph" w:customStyle="1" w:styleId="Session">
    <w:name w:val="Session"/>
    <w:basedOn w:val="OPCParaBase"/>
    <w:rsid w:val="004A520A"/>
    <w:pPr>
      <w:spacing w:line="240" w:lineRule="auto"/>
    </w:pPr>
    <w:rPr>
      <w:sz w:val="28"/>
    </w:rPr>
  </w:style>
  <w:style w:type="paragraph" w:customStyle="1" w:styleId="ShortT">
    <w:name w:val="ShortT"/>
    <w:basedOn w:val="OPCParaBase"/>
    <w:next w:val="Normal"/>
    <w:qFormat/>
    <w:rsid w:val="004A520A"/>
    <w:pPr>
      <w:spacing w:line="240" w:lineRule="auto"/>
    </w:pPr>
    <w:rPr>
      <w:b/>
      <w:sz w:val="40"/>
    </w:rPr>
  </w:style>
  <w:style w:type="paragraph" w:styleId="Signature">
    <w:name w:val="Signature"/>
    <w:basedOn w:val="Normal"/>
    <w:link w:val="SignatureChar"/>
    <w:uiPriority w:val="99"/>
    <w:unhideWhenUsed/>
    <w:rsid w:val="004A520A"/>
    <w:pPr>
      <w:spacing w:line="240" w:lineRule="auto"/>
      <w:ind w:left="4252"/>
    </w:pPr>
  </w:style>
  <w:style w:type="paragraph" w:customStyle="1" w:styleId="Sponsor">
    <w:name w:val="Sponsor"/>
    <w:basedOn w:val="OPCParaBase"/>
    <w:rsid w:val="004A520A"/>
    <w:pPr>
      <w:spacing w:line="240" w:lineRule="auto"/>
    </w:pPr>
    <w:rPr>
      <w:i/>
    </w:rPr>
  </w:style>
  <w:style w:type="character" w:styleId="Strong">
    <w:name w:val="Strong"/>
    <w:basedOn w:val="DefaultParagraphFont"/>
    <w:uiPriority w:val="22"/>
    <w:qFormat/>
    <w:rsid w:val="004A520A"/>
    <w:rPr>
      <w:b/>
      <w:bCs/>
    </w:rPr>
  </w:style>
  <w:style w:type="paragraph" w:customStyle="1" w:styleId="Subitem">
    <w:name w:val="Subitem"/>
    <w:aliases w:val="iss"/>
    <w:basedOn w:val="OPCParaBase"/>
    <w:rsid w:val="004A520A"/>
    <w:pPr>
      <w:spacing w:before="180" w:line="240" w:lineRule="auto"/>
      <w:ind w:left="709" w:hanging="709"/>
    </w:pPr>
  </w:style>
  <w:style w:type="paragraph" w:customStyle="1" w:styleId="SubitemHead">
    <w:name w:val="SubitemHead"/>
    <w:aliases w:val="issh"/>
    <w:basedOn w:val="OPCParaBase"/>
    <w:rsid w:val="004A520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A520A"/>
    <w:pPr>
      <w:spacing w:before="40" w:line="240" w:lineRule="auto"/>
      <w:ind w:left="1134"/>
    </w:pPr>
  </w:style>
  <w:style w:type="paragraph" w:customStyle="1" w:styleId="SubsectionHead">
    <w:name w:val="SubsectionHead"/>
    <w:aliases w:val="ssh"/>
    <w:basedOn w:val="OPCParaBase"/>
    <w:next w:val="subsection"/>
    <w:rsid w:val="004A520A"/>
    <w:pPr>
      <w:keepNext/>
      <w:keepLines/>
      <w:spacing w:before="240" w:line="240" w:lineRule="auto"/>
      <w:ind w:left="1134"/>
    </w:pPr>
    <w:rPr>
      <w:i/>
    </w:rPr>
  </w:style>
  <w:style w:type="paragraph" w:styleId="Subtitle">
    <w:name w:val="Subtitle"/>
    <w:basedOn w:val="Normal"/>
    <w:next w:val="Normal"/>
    <w:link w:val="SubtitleChar"/>
    <w:uiPriority w:val="11"/>
    <w:qFormat/>
    <w:rsid w:val="004A520A"/>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4A520A"/>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4A520A"/>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4A520A"/>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4A520A"/>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4A520A"/>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4A520A"/>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4A520A"/>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4A520A"/>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4A520A"/>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4A520A"/>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4A520A"/>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4A520A"/>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4A520A"/>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4A520A"/>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4A520A"/>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4A520A"/>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4A520A"/>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A520A"/>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4A520A"/>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4A520A"/>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4A520A"/>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4A520A"/>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4A520A"/>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4A520A"/>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4A520A"/>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4A520A"/>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4A520A"/>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4A520A"/>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4A520A"/>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4A520A"/>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4A520A"/>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4A520A"/>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4A520A"/>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4A520A"/>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4A520A"/>
    <w:pPr>
      <w:ind w:left="220" w:hanging="220"/>
    </w:pPr>
  </w:style>
  <w:style w:type="paragraph" w:styleId="TableofFigures">
    <w:name w:val="table of figures"/>
    <w:basedOn w:val="Normal"/>
    <w:next w:val="Normal"/>
    <w:uiPriority w:val="99"/>
    <w:unhideWhenUsed/>
    <w:rsid w:val="004A520A"/>
  </w:style>
  <w:style w:type="table" w:styleId="TableProfessional">
    <w:name w:val="Table Professional"/>
    <w:basedOn w:val="TableNormal"/>
    <w:uiPriority w:val="99"/>
    <w:unhideWhenUsed/>
    <w:rsid w:val="004A520A"/>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4A520A"/>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4A520A"/>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4A520A"/>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4A520A"/>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4A520A"/>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4A520A"/>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4A520A"/>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4A520A"/>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4A520A"/>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4A520A"/>
    <w:pPr>
      <w:spacing w:before="60" w:line="240" w:lineRule="auto"/>
      <w:ind w:left="284" w:hanging="284"/>
    </w:pPr>
    <w:rPr>
      <w:sz w:val="20"/>
    </w:rPr>
  </w:style>
  <w:style w:type="paragraph" w:customStyle="1" w:styleId="Tablei">
    <w:name w:val="Table(i)"/>
    <w:aliases w:val="taa"/>
    <w:basedOn w:val="OPCParaBase"/>
    <w:rsid w:val="004A520A"/>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4A520A"/>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4A520A"/>
    <w:pPr>
      <w:spacing w:before="60" w:line="240" w:lineRule="atLeast"/>
    </w:pPr>
    <w:rPr>
      <w:sz w:val="20"/>
    </w:rPr>
  </w:style>
  <w:style w:type="paragraph" w:styleId="Title">
    <w:name w:val="Title"/>
    <w:basedOn w:val="Normal"/>
    <w:next w:val="Normal"/>
    <w:link w:val="TitleChar"/>
    <w:uiPriority w:val="10"/>
    <w:qFormat/>
    <w:rsid w:val="004A520A"/>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4A520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A520A"/>
    <w:pPr>
      <w:numPr>
        <w:numId w:val="47"/>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A520A"/>
    <w:pPr>
      <w:spacing w:before="122" w:line="198" w:lineRule="exact"/>
      <w:ind w:left="1985" w:hanging="851"/>
      <w:jc w:val="right"/>
    </w:pPr>
    <w:rPr>
      <w:sz w:val="18"/>
    </w:rPr>
  </w:style>
  <w:style w:type="paragraph" w:customStyle="1" w:styleId="TLPTableBullet">
    <w:name w:val="TLPTableBullet"/>
    <w:aliases w:val="ttb"/>
    <w:basedOn w:val="OPCParaBase"/>
    <w:rsid w:val="004A520A"/>
    <w:pPr>
      <w:spacing w:line="240" w:lineRule="exact"/>
      <w:ind w:left="284" w:hanging="284"/>
    </w:pPr>
    <w:rPr>
      <w:sz w:val="20"/>
    </w:rPr>
  </w:style>
  <w:style w:type="paragraph" w:styleId="TOAHeading">
    <w:name w:val="toa heading"/>
    <w:basedOn w:val="Normal"/>
    <w:next w:val="Normal"/>
    <w:uiPriority w:val="99"/>
    <w:unhideWhenUsed/>
    <w:rsid w:val="004A520A"/>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4A520A"/>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A520A"/>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A520A"/>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A520A"/>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4A520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A520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A520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4A520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A520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A520A"/>
    <w:pPr>
      <w:keepLines/>
      <w:spacing w:before="240" w:after="120" w:line="240" w:lineRule="auto"/>
      <w:ind w:left="794"/>
    </w:pPr>
    <w:rPr>
      <w:b/>
      <w:kern w:val="28"/>
      <w:sz w:val="20"/>
    </w:rPr>
  </w:style>
  <w:style w:type="paragraph" w:customStyle="1" w:styleId="TofSectsHeading">
    <w:name w:val="TofSects(Heading)"/>
    <w:basedOn w:val="OPCParaBase"/>
    <w:rsid w:val="004A520A"/>
    <w:pPr>
      <w:spacing w:before="240" w:after="120" w:line="240" w:lineRule="auto"/>
    </w:pPr>
    <w:rPr>
      <w:b/>
      <w:sz w:val="24"/>
    </w:rPr>
  </w:style>
  <w:style w:type="paragraph" w:customStyle="1" w:styleId="TofSectsSection">
    <w:name w:val="TofSects(Section)"/>
    <w:basedOn w:val="OPCParaBase"/>
    <w:rsid w:val="004A520A"/>
    <w:pPr>
      <w:keepLines/>
      <w:spacing w:before="40" w:line="240" w:lineRule="auto"/>
      <w:ind w:left="1588" w:hanging="794"/>
    </w:pPr>
    <w:rPr>
      <w:kern w:val="28"/>
      <w:sz w:val="18"/>
    </w:rPr>
  </w:style>
  <w:style w:type="paragraph" w:customStyle="1" w:styleId="TofSectsSubdiv">
    <w:name w:val="TofSects(Subdiv)"/>
    <w:basedOn w:val="OPCParaBase"/>
    <w:rsid w:val="004A520A"/>
    <w:pPr>
      <w:keepLines/>
      <w:spacing w:before="80" w:line="240" w:lineRule="auto"/>
      <w:ind w:left="1588" w:hanging="794"/>
    </w:pPr>
    <w:rPr>
      <w:kern w:val="28"/>
    </w:rPr>
  </w:style>
  <w:style w:type="character" w:customStyle="1" w:styleId="subsectionChar">
    <w:name w:val="subsection Char"/>
    <w:aliases w:val="ss Char"/>
    <w:link w:val="subsection"/>
    <w:rsid w:val="006877D0"/>
    <w:rPr>
      <w:sz w:val="22"/>
    </w:rPr>
  </w:style>
  <w:style w:type="character" w:customStyle="1" w:styleId="paragraphChar">
    <w:name w:val="paragraph Char"/>
    <w:aliases w:val="a Char"/>
    <w:link w:val="paragraph"/>
    <w:rsid w:val="006877D0"/>
    <w:rPr>
      <w:sz w:val="22"/>
    </w:rPr>
  </w:style>
  <w:style w:type="character" w:customStyle="1" w:styleId="HeaderChar">
    <w:name w:val="Header Char"/>
    <w:basedOn w:val="DefaultParagraphFont"/>
    <w:link w:val="Header"/>
    <w:rsid w:val="004A520A"/>
    <w:rPr>
      <w:sz w:val="16"/>
    </w:rPr>
  </w:style>
  <w:style w:type="character" w:customStyle="1" w:styleId="OPCCharBase">
    <w:name w:val="OPCCharBase"/>
    <w:uiPriority w:val="1"/>
    <w:qFormat/>
    <w:rsid w:val="004A520A"/>
  </w:style>
  <w:style w:type="paragraph" w:customStyle="1" w:styleId="OPCParaBase">
    <w:name w:val="OPCParaBase"/>
    <w:qFormat/>
    <w:rsid w:val="004A520A"/>
    <w:pPr>
      <w:spacing w:line="260" w:lineRule="atLeast"/>
    </w:pPr>
    <w:rPr>
      <w:sz w:val="22"/>
    </w:rPr>
  </w:style>
  <w:style w:type="paragraph" w:customStyle="1" w:styleId="noteToPara">
    <w:name w:val="noteToPara"/>
    <w:aliases w:val="ntp"/>
    <w:basedOn w:val="OPCParaBase"/>
    <w:rsid w:val="004A520A"/>
    <w:pPr>
      <w:spacing w:before="122" w:line="198" w:lineRule="exact"/>
      <w:ind w:left="2353" w:hanging="709"/>
    </w:pPr>
    <w:rPr>
      <w:sz w:val="18"/>
    </w:rPr>
  </w:style>
  <w:style w:type="paragraph" w:customStyle="1" w:styleId="WRStyle">
    <w:name w:val="WR Style"/>
    <w:aliases w:val="WR"/>
    <w:basedOn w:val="OPCParaBase"/>
    <w:rsid w:val="004A520A"/>
    <w:pPr>
      <w:spacing w:before="240" w:line="240" w:lineRule="auto"/>
      <w:ind w:left="284" w:hanging="284"/>
    </w:pPr>
    <w:rPr>
      <w:b/>
      <w:i/>
      <w:kern w:val="28"/>
      <w:sz w:val="24"/>
    </w:rPr>
  </w:style>
  <w:style w:type="character" w:customStyle="1" w:styleId="FooterChar">
    <w:name w:val="Footer Char"/>
    <w:basedOn w:val="DefaultParagraphFont"/>
    <w:link w:val="Footer"/>
    <w:rsid w:val="004A520A"/>
    <w:rPr>
      <w:sz w:val="22"/>
      <w:szCs w:val="24"/>
    </w:rPr>
  </w:style>
  <w:style w:type="table" w:customStyle="1" w:styleId="CFlag">
    <w:name w:val="CFlag"/>
    <w:basedOn w:val="TableNormal"/>
    <w:uiPriority w:val="99"/>
    <w:rsid w:val="004A520A"/>
    <w:tblPr/>
  </w:style>
  <w:style w:type="paragraph" w:customStyle="1" w:styleId="SignCoverPageEnd">
    <w:name w:val="SignCoverPageEnd"/>
    <w:basedOn w:val="OPCParaBase"/>
    <w:next w:val="Normal"/>
    <w:rsid w:val="004A520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A520A"/>
    <w:pPr>
      <w:pBdr>
        <w:top w:val="single" w:sz="4" w:space="1" w:color="auto"/>
      </w:pBdr>
      <w:spacing w:before="360"/>
      <w:ind w:right="397"/>
      <w:jc w:val="both"/>
    </w:pPr>
  </w:style>
  <w:style w:type="paragraph" w:customStyle="1" w:styleId="ENotesHeading1">
    <w:name w:val="ENotesHeading 1"/>
    <w:aliases w:val="Enh1"/>
    <w:basedOn w:val="OPCParaBase"/>
    <w:next w:val="Normal"/>
    <w:rsid w:val="004A520A"/>
    <w:pPr>
      <w:spacing w:before="120"/>
      <w:outlineLvl w:val="1"/>
    </w:pPr>
    <w:rPr>
      <w:b/>
      <w:sz w:val="28"/>
      <w:szCs w:val="28"/>
    </w:rPr>
  </w:style>
  <w:style w:type="paragraph" w:customStyle="1" w:styleId="ENotesHeading2">
    <w:name w:val="ENotesHeading 2"/>
    <w:aliases w:val="Enh2,ENh2"/>
    <w:basedOn w:val="OPCParaBase"/>
    <w:next w:val="Normal"/>
    <w:rsid w:val="004A520A"/>
    <w:pPr>
      <w:spacing w:before="120" w:after="120"/>
      <w:outlineLvl w:val="2"/>
    </w:pPr>
    <w:rPr>
      <w:b/>
      <w:sz w:val="24"/>
      <w:szCs w:val="28"/>
    </w:rPr>
  </w:style>
  <w:style w:type="paragraph" w:customStyle="1" w:styleId="CompiledActNo">
    <w:name w:val="CompiledActNo"/>
    <w:basedOn w:val="OPCParaBase"/>
    <w:next w:val="Normal"/>
    <w:rsid w:val="004A520A"/>
    <w:rPr>
      <w:b/>
      <w:sz w:val="24"/>
      <w:szCs w:val="24"/>
    </w:rPr>
  </w:style>
  <w:style w:type="paragraph" w:customStyle="1" w:styleId="ENotesText">
    <w:name w:val="ENotesText"/>
    <w:aliases w:val="Ent"/>
    <w:basedOn w:val="OPCParaBase"/>
    <w:next w:val="Normal"/>
    <w:rsid w:val="004A520A"/>
    <w:pPr>
      <w:spacing w:before="120"/>
    </w:pPr>
  </w:style>
  <w:style w:type="paragraph" w:customStyle="1" w:styleId="CompiledMadeUnder">
    <w:name w:val="CompiledMadeUnder"/>
    <w:basedOn w:val="OPCParaBase"/>
    <w:next w:val="Normal"/>
    <w:rsid w:val="004A520A"/>
    <w:rPr>
      <w:i/>
      <w:sz w:val="24"/>
      <w:szCs w:val="24"/>
    </w:rPr>
  </w:style>
  <w:style w:type="paragraph" w:customStyle="1" w:styleId="Paragraphsub-sub-sub">
    <w:name w:val="Paragraph(sub-sub-sub)"/>
    <w:aliases w:val="aaaa"/>
    <w:basedOn w:val="OPCParaBase"/>
    <w:rsid w:val="004A520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A520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A520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A520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A520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A520A"/>
    <w:pPr>
      <w:spacing w:before="60" w:line="240" w:lineRule="auto"/>
    </w:pPr>
    <w:rPr>
      <w:rFonts w:cs="Arial"/>
      <w:sz w:val="20"/>
      <w:szCs w:val="22"/>
    </w:rPr>
  </w:style>
  <w:style w:type="paragraph" w:customStyle="1" w:styleId="ActHead10">
    <w:name w:val="ActHead 10"/>
    <w:aliases w:val="sp"/>
    <w:basedOn w:val="OPCParaBase"/>
    <w:next w:val="ActHead3"/>
    <w:rsid w:val="004A520A"/>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4A520A"/>
    <w:rPr>
      <w:rFonts w:ascii="Segoe UI" w:eastAsiaTheme="minorHAnsi" w:hAnsi="Segoe UI" w:cs="Segoe UI"/>
      <w:sz w:val="18"/>
      <w:szCs w:val="18"/>
      <w:lang w:eastAsia="en-US"/>
    </w:rPr>
  </w:style>
  <w:style w:type="paragraph" w:customStyle="1" w:styleId="NoteToSubpara">
    <w:name w:val="NoteToSubpara"/>
    <w:aliases w:val="nts"/>
    <w:basedOn w:val="OPCParaBase"/>
    <w:rsid w:val="004A520A"/>
    <w:pPr>
      <w:spacing w:before="40" w:line="198" w:lineRule="exact"/>
      <w:ind w:left="2835" w:hanging="709"/>
    </w:pPr>
    <w:rPr>
      <w:sz w:val="18"/>
    </w:rPr>
  </w:style>
  <w:style w:type="paragraph" w:customStyle="1" w:styleId="ENoteTableHeading">
    <w:name w:val="ENoteTableHeading"/>
    <w:aliases w:val="enth"/>
    <w:basedOn w:val="OPCParaBase"/>
    <w:rsid w:val="004A520A"/>
    <w:pPr>
      <w:keepNext/>
      <w:spacing w:before="60" w:line="240" w:lineRule="atLeast"/>
    </w:pPr>
    <w:rPr>
      <w:rFonts w:ascii="Arial" w:hAnsi="Arial"/>
      <w:b/>
      <w:sz w:val="16"/>
    </w:rPr>
  </w:style>
  <w:style w:type="paragraph" w:customStyle="1" w:styleId="ENoteTTi">
    <w:name w:val="ENoteTTi"/>
    <w:aliases w:val="entti"/>
    <w:basedOn w:val="OPCParaBase"/>
    <w:rsid w:val="004A520A"/>
    <w:pPr>
      <w:keepNext/>
      <w:spacing w:before="60" w:line="240" w:lineRule="atLeast"/>
      <w:ind w:left="170"/>
    </w:pPr>
    <w:rPr>
      <w:sz w:val="16"/>
    </w:rPr>
  </w:style>
  <w:style w:type="paragraph" w:customStyle="1" w:styleId="ENoteTTIndentHeading">
    <w:name w:val="ENoteTTIndentHeading"/>
    <w:aliases w:val="enTTHi"/>
    <w:basedOn w:val="OPCParaBase"/>
    <w:rsid w:val="004A520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A520A"/>
    <w:pPr>
      <w:spacing w:before="60" w:line="240" w:lineRule="atLeast"/>
    </w:pPr>
    <w:rPr>
      <w:sz w:val="16"/>
    </w:rPr>
  </w:style>
  <w:style w:type="paragraph" w:customStyle="1" w:styleId="MadeunderText">
    <w:name w:val="MadeunderText"/>
    <w:basedOn w:val="OPCParaBase"/>
    <w:next w:val="Normal"/>
    <w:rsid w:val="004A520A"/>
    <w:pPr>
      <w:spacing w:before="240"/>
    </w:pPr>
    <w:rPr>
      <w:sz w:val="24"/>
      <w:szCs w:val="24"/>
    </w:rPr>
  </w:style>
  <w:style w:type="paragraph" w:customStyle="1" w:styleId="ENotesHeading3">
    <w:name w:val="ENotesHeading 3"/>
    <w:aliases w:val="Enh3"/>
    <w:basedOn w:val="OPCParaBase"/>
    <w:next w:val="Normal"/>
    <w:rsid w:val="004A520A"/>
    <w:pPr>
      <w:keepNext/>
      <w:spacing w:before="120" w:line="240" w:lineRule="auto"/>
      <w:outlineLvl w:val="4"/>
    </w:pPr>
    <w:rPr>
      <w:b/>
      <w:szCs w:val="24"/>
    </w:rPr>
  </w:style>
  <w:style w:type="paragraph" w:customStyle="1" w:styleId="SubPartCASA">
    <w:name w:val="SubPart(CASA)"/>
    <w:aliases w:val="csp"/>
    <w:basedOn w:val="OPCParaBase"/>
    <w:next w:val="ActHead3"/>
    <w:rsid w:val="004A520A"/>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4A520A"/>
  </w:style>
  <w:style w:type="character" w:customStyle="1" w:styleId="CharSubPartNoCASA">
    <w:name w:val="CharSubPartNo(CASA)"/>
    <w:basedOn w:val="OPCCharBase"/>
    <w:uiPriority w:val="1"/>
    <w:rsid w:val="004A520A"/>
  </w:style>
  <w:style w:type="paragraph" w:customStyle="1" w:styleId="ENoteTTIndentHeadingSub">
    <w:name w:val="ENoteTTIndentHeadingSub"/>
    <w:aliases w:val="enTTHis"/>
    <w:basedOn w:val="OPCParaBase"/>
    <w:rsid w:val="004A520A"/>
    <w:pPr>
      <w:keepNext/>
      <w:spacing w:before="60" w:line="240" w:lineRule="atLeast"/>
      <w:ind w:left="340"/>
    </w:pPr>
    <w:rPr>
      <w:b/>
      <w:sz w:val="16"/>
    </w:rPr>
  </w:style>
  <w:style w:type="paragraph" w:customStyle="1" w:styleId="ENoteTTiSub">
    <w:name w:val="ENoteTTiSub"/>
    <w:aliases w:val="enttis"/>
    <w:basedOn w:val="OPCParaBase"/>
    <w:rsid w:val="004A520A"/>
    <w:pPr>
      <w:keepNext/>
      <w:spacing w:before="60" w:line="240" w:lineRule="atLeast"/>
      <w:ind w:left="340"/>
    </w:pPr>
    <w:rPr>
      <w:sz w:val="16"/>
    </w:rPr>
  </w:style>
  <w:style w:type="paragraph" w:customStyle="1" w:styleId="SubDivisionMigration">
    <w:name w:val="SubDivisionMigration"/>
    <w:aliases w:val="sdm"/>
    <w:basedOn w:val="OPCParaBase"/>
    <w:rsid w:val="004A520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A520A"/>
    <w:pPr>
      <w:keepNext/>
      <w:keepLines/>
      <w:spacing w:before="240" w:line="240" w:lineRule="auto"/>
      <w:ind w:left="1134" w:hanging="1134"/>
    </w:pPr>
    <w:rPr>
      <w:b/>
      <w:sz w:val="28"/>
    </w:rPr>
  </w:style>
  <w:style w:type="paragraph" w:customStyle="1" w:styleId="FreeForm">
    <w:name w:val="FreeForm"/>
    <w:rsid w:val="004A520A"/>
    <w:rPr>
      <w:rFonts w:ascii="Arial" w:eastAsiaTheme="minorHAnsi" w:hAnsi="Arial" w:cstheme="minorBidi"/>
      <w:sz w:val="22"/>
      <w:lang w:eastAsia="en-US"/>
    </w:rPr>
  </w:style>
  <w:style w:type="paragraph" w:customStyle="1" w:styleId="TableHeading">
    <w:name w:val="TableHeading"/>
    <w:aliases w:val="th"/>
    <w:basedOn w:val="OPCParaBase"/>
    <w:next w:val="Tabletext"/>
    <w:rsid w:val="004A520A"/>
    <w:pPr>
      <w:keepNext/>
      <w:spacing w:before="60" w:line="240" w:lineRule="atLeast"/>
    </w:pPr>
    <w:rPr>
      <w:b/>
      <w:sz w:val="20"/>
    </w:rPr>
  </w:style>
  <w:style w:type="paragraph" w:styleId="Revision">
    <w:name w:val="Revision"/>
    <w:hidden/>
    <w:uiPriority w:val="99"/>
    <w:semiHidden/>
    <w:rsid w:val="00BF632F"/>
    <w:rPr>
      <w:rFonts w:eastAsiaTheme="minorHAnsi" w:cstheme="minorBidi"/>
      <w:sz w:val="22"/>
      <w:lang w:eastAsia="en-US"/>
    </w:rPr>
  </w:style>
  <w:style w:type="paragraph" w:customStyle="1" w:styleId="EnStatement">
    <w:name w:val="EnStatement"/>
    <w:basedOn w:val="Normal"/>
    <w:rsid w:val="004A520A"/>
    <w:pPr>
      <w:numPr>
        <w:numId w:val="49"/>
      </w:numPr>
    </w:pPr>
    <w:rPr>
      <w:rFonts w:eastAsia="Times New Roman" w:cs="Times New Roman"/>
      <w:lang w:eastAsia="en-AU"/>
    </w:rPr>
  </w:style>
  <w:style w:type="paragraph" w:customStyle="1" w:styleId="EnStatementHeading">
    <w:name w:val="EnStatementHeading"/>
    <w:basedOn w:val="Normal"/>
    <w:rsid w:val="004A520A"/>
    <w:rPr>
      <w:rFonts w:eastAsia="Times New Roman" w:cs="Times New Roman"/>
      <w:b/>
      <w:lang w:eastAsia="en-AU"/>
    </w:rPr>
  </w:style>
  <w:style w:type="character" w:customStyle="1" w:styleId="ActHead5Char">
    <w:name w:val="ActHead 5 Char"/>
    <w:aliases w:val="s Char"/>
    <w:basedOn w:val="DefaultParagraphFont"/>
    <w:link w:val="ActHead5"/>
    <w:rsid w:val="00160A95"/>
    <w:rPr>
      <w:b/>
      <w:kern w:val="28"/>
      <w:sz w:val="24"/>
    </w:rPr>
  </w:style>
  <w:style w:type="paragraph" w:customStyle="1" w:styleId="Transitional">
    <w:name w:val="Transitional"/>
    <w:aliases w:val="tr"/>
    <w:basedOn w:val="ItemHead"/>
    <w:next w:val="Item"/>
    <w:rsid w:val="004A520A"/>
  </w:style>
  <w:style w:type="character" w:customStyle="1" w:styleId="Heading1Char">
    <w:name w:val="Heading 1 Char"/>
    <w:basedOn w:val="DefaultParagraphFont"/>
    <w:link w:val="Heading1"/>
    <w:uiPriority w:val="9"/>
    <w:rsid w:val="004A520A"/>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4A520A"/>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4A520A"/>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4A520A"/>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4A520A"/>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4A520A"/>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4A520A"/>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4A520A"/>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4A520A"/>
    <w:rPr>
      <w:rFonts w:asciiTheme="majorHAnsi" w:eastAsiaTheme="majorEastAsia" w:hAnsiTheme="majorHAnsi" w:cstheme="majorBidi"/>
      <w:i/>
      <w:iCs/>
      <w:color w:val="272727" w:themeColor="text1" w:themeTint="D8"/>
      <w:sz w:val="21"/>
      <w:szCs w:val="21"/>
      <w:lang w:eastAsia="en-US"/>
    </w:rPr>
  </w:style>
  <w:style w:type="paragraph" w:styleId="Bibliography">
    <w:name w:val="Bibliography"/>
    <w:basedOn w:val="Normal"/>
    <w:next w:val="Normal"/>
    <w:uiPriority w:val="37"/>
    <w:semiHidden/>
    <w:unhideWhenUsed/>
    <w:rsid w:val="004A520A"/>
  </w:style>
  <w:style w:type="character" w:customStyle="1" w:styleId="BodyTextChar">
    <w:name w:val="Body Text Char"/>
    <w:basedOn w:val="DefaultParagraphFont"/>
    <w:link w:val="BodyText"/>
    <w:uiPriority w:val="99"/>
    <w:rsid w:val="004A520A"/>
    <w:rPr>
      <w:rFonts w:eastAsiaTheme="minorHAnsi" w:cstheme="minorBidi"/>
      <w:sz w:val="22"/>
      <w:lang w:eastAsia="en-US"/>
    </w:rPr>
  </w:style>
  <w:style w:type="character" w:customStyle="1" w:styleId="BodyText2Char">
    <w:name w:val="Body Text 2 Char"/>
    <w:basedOn w:val="DefaultParagraphFont"/>
    <w:link w:val="BodyText2"/>
    <w:uiPriority w:val="99"/>
    <w:rsid w:val="004A520A"/>
    <w:rPr>
      <w:rFonts w:eastAsiaTheme="minorHAnsi" w:cstheme="minorBidi"/>
      <w:sz w:val="22"/>
      <w:lang w:eastAsia="en-US"/>
    </w:rPr>
  </w:style>
  <w:style w:type="character" w:customStyle="1" w:styleId="BodyText3Char">
    <w:name w:val="Body Text 3 Char"/>
    <w:basedOn w:val="DefaultParagraphFont"/>
    <w:link w:val="BodyText3"/>
    <w:uiPriority w:val="99"/>
    <w:rsid w:val="004A520A"/>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4A520A"/>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4A520A"/>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4A520A"/>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4A520A"/>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4A520A"/>
    <w:rPr>
      <w:rFonts w:eastAsiaTheme="minorHAnsi" w:cstheme="minorBidi"/>
      <w:sz w:val="16"/>
      <w:szCs w:val="16"/>
      <w:lang w:eastAsia="en-US"/>
    </w:rPr>
  </w:style>
  <w:style w:type="character" w:styleId="BookTitle">
    <w:name w:val="Book Title"/>
    <w:basedOn w:val="DefaultParagraphFont"/>
    <w:uiPriority w:val="33"/>
    <w:qFormat/>
    <w:rsid w:val="004A520A"/>
    <w:rPr>
      <w:b/>
      <w:bCs/>
      <w:i/>
      <w:iCs/>
      <w:spacing w:val="5"/>
    </w:rPr>
  </w:style>
  <w:style w:type="character" w:customStyle="1" w:styleId="ClosingChar">
    <w:name w:val="Closing Char"/>
    <w:basedOn w:val="DefaultParagraphFont"/>
    <w:link w:val="Closing"/>
    <w:uiPriority w:val="99"/>
    <w:rsid w:val="004A520A"/>
    <w:rPr>
      <w:rFonts w:eastAsiaTheme="minorHAnsi" w:cstheme="minorBidi"/>
      <w:sz w:val="22"/>
      <w:lang w:eastAsia="en-US"/>
    </w:rPr>
  </w:style>
  <w:style w:type="table" w:styleId="ColorfulGrid">
    <w:name w:val="Colorful Grid"/>
    <w:basedOn w:val="TableNormal"/>
    <w:uiPriority w:val="73"/>
    <w:semiHidden/>
    <w:unhideWhenUsed/>
    <w:rsid w:val="004A520A"/>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A520A"/>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4A520A"/>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4A520A"/>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4A520A"/>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4A520A"/>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4A520A"/>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4A520A"/>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A520A"/>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4A520A"/>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4A520A"/>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4A520A"/>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4A520A"/>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4A520A"/>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4A520A"/>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A520A"/>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A520A"/>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A520A"/>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4A520A"/>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A520A"/>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A520A"/>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4A520A"/>
    <w:rPr>
      <w:rFonts w:eastAsiaTheme="minorHAnsi" w:cstheme="minorBidi"/>
      <w:lang w:eastAsia="en-US"/>
    </w:rPr>
  </w:style>
  <w:style w:type="character" w:customStyle="1" w:styleId="CommentSubjectChar">
    <w:name w:val="Comment Subject Char"/>
    <w:basedOn w:val="CommentTextChar"/>
    <w:link w:val="CommentSubject"/>
    <w:uiPriority w:val="99"/>
    <w:rsid w:val="004A520A"/>
    <w:rPr>
      <w:rFonts w:eastAsiaTheme="minorHAnsi" w:cstheme="minorBidi"/>
      <w:b/>
      <w:bCs/>
      <w:lang w:eastAsia="en-US"/>
    </w:rPr>
  </w:style>
  <w:style w:type="table" w:styleId="DarkList">
    <w:name w:val="Dark List"/>
    <w:basedOn w:val="TableNormal"/>
    <w:uiPriority w:val="70"/>
    <w:semiHidden/>
    <w:unhideWhenUsed/>
    <w:rsid w:val="004A520A"/>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A520A"/>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4A520A"/>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4A520A"/>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4A520A"/>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4A520A"/>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4A520A"/>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4A520A"/>
    <w:rPr>
      <w:rFonts w:eastAsiaTheme="minorHAnsi" w:cstheme="minorBidi"/>
      <w:sz w:val="22"/>
      <w:lang w:eastAsia="en-US"/>
    </w:rPr>
  </w:style>
  <w:style w:type="character" w:customStyle="1" w:styleId="DocumentMapChar">
    <w:name w:val="Document Map Char"/>
    <w:basedOn w:val="DefaultParagraphFont"/>
    <w:link w:val="DocumentMap"/>
    <w:uiPriority w:val="99"/>
    <w:rsid w:val="004A520A"/>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4A520A"/>
    <w:rPr>
      <w:rFonts w:eastAsiaTheme="minorHAnsi" w:cstheme="minorBidi"/>
      <w:sz w:val="22"/>
      <w:lang w:eastAsia="en-US"/>
    </w:rPr>
  </w:style>
  <w:style w:type="character" w:customStyle="1" w:styleId="EndnoteTextChar">
    <w:name w:val="Endnote Text Char"/>
    <w:basedOn w:val="DefaultParagraphFont"/>
    <w:link w:val="EndnoteText"/>
    <w:uiPriority w:val="99"/>
    <w:rsid w:val="004A520A"/>
    <w:rPr>
      <w:rFonts w:eastAsiaTheme="minorHAnsi" w:cstheme="minorBidi"/>
      <w:lang w:eastAsia="en-US"/>
    </w:rPr>
  </w:style>
  <w:style w:type="character" w:customStyle="1" w:styleId="FootnoteTextChar">
    <w:name w:val="Footnote Text Char"/>
    <w:basedOn w:val="DefaultParagraphFont"/>
    <w:link w:val="FootnoteText"/>
    <w:uiPriority w:val="99"/>
    <w:rsid w:val="004A520A"/>
    <w:rPr>
      <w:rFonts w:eastAsiaTheme="minorHAnsi" w:cstheme="minorBidi"/>
      <w:lang w:eastAsia="en-US"/>
    </w:rPr>
  </w:style>
  <w:style w:type="table" w:styleId="GridTable1Light">
    <w:name w:val="Grid Table 1 Light"/>
    <w:basedOn w:val="TableNormal"/>
    <w:uiPriority w:val="46"/>
    <w:rsid w:val="004A520A"/>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A520A"/>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A520A"/>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A520A"/>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A520A"/>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A520A"/>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A520A"/>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A520A"/>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A520A"/>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A520A"/>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A520A"/>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A520A"/>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A520A"/>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A520A"/>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A520A"/>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A520A"/>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A520A"/>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A520A"/>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A520A"/>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A520A"/>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A520A"/>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A520A"/>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A520A"/>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A520A"/>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A520A"/>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A520A"/>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A520A"/>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A520A"/>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A520A"/>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A520A"/>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A520A"/>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A520A"/>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A520A"/>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A520A"/>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A520A"/>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A520A"/>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A520A"/>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A520A"/>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A520A"/>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A520A"/>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A520A"/>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A520A"/>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A520A"/>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A520A"/>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A520A"/>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A520A"/>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A520A"/>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A520A"/>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A520A"/>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4A520A"/>
    <w:rPr>
      <w:color w:val="2B579A"/>
      <w:shd w:val="clear" w:color="auto" w:fill="E1DFDD"/>
    </w:rPr>
  </w:style>
  <w:style w:type="character" w:customStyle="1" w:styleId="HTMLAddressChar">
    <w:name w:val="HTML Address Char"/>
    <w:basedOn w:val="DefaultParagraphFont"/>
    <w:link w:val="HTMLAddress"/>
    <w:uiPriority w:val="99"/>
    <w:rsid w:val="004A520A"/>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4A520A"/>
    <w:rPr>
      <w:rFonts w:ascii="Consolas" w:eastAsiaTheme="minorHAnsi" w:hAnsi="Consolas" w:cstheme="minorBidi"/>
      <w:lang w:eastAsia="en-US"/>
    </w:rPr>
  </w:style>
  <w:style w:type="character" w:styleId="IntenseEmphasis">
    <w:name w:val="Intense Emphasis"/>
    <w:basedOn w:val="DefaultParagraphFont"/>
    <w:uiPriority w:val="21"/>
    <w:qFormat/>
    <w:rsid w:val="004A520A"/>
    <w:rPr>
      <w:i/>
      <w:iCs/>
      <w:color w:val="4F81BD" w:themeColor="accent1"/>
    </w:rPr>
  </w:style>
  <w:style w:type="paragraph" w:styleId="IntenseQuote">
    <w:name w:val="Intense Quote"/>
    <w:basedOn w:val="Normal"/>
    <w:next w:val="Normal"/>
    <w:link w:val="IntenseQuoteChar"/>
    <w:uiPriority w:val="30"/>
    <w:qFormat/>
    <w:rsid w:val="004A520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A520A"/>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4A520A"/>
    <w:rPr>
      <w:b/>
      <w:bCs/>
      <w:smallCaps/>
      <w:color w:val="4F81BD" w:themeColor="accent1"/>
      <w:spacing w:val="5"/>
    </w:rPr>
  </w:style>
  <w:style w:type="table" w:styleId="LightGrid">
    <w:name w:val="Light Grid"/>
    <w:basedOn w:val="TableNormal"/>
    <w:uiPriority w:val="62"/>
    <w:semiHidden/>
    <w:unhideWhenUsed/>
    <w:rsid w:val="004A520A"/>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A520A"/>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4A520A"/>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4A520A"/>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4A520A"/>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4A520A"/>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4A520A"/>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4A520A"/>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A520A"/>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4A520A"/>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4A520A"/>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4A520A"/>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4A520A"/>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4A520A"/>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4A520A"/>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A520A"/>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4A520A"/>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4A520A"/>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4A520A"/>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4A520A"/>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4A520A"/>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4A520A"/>
    <w:pPr>
      <w:ind w:left="720"/>
      <w:contextualSpacing/>
    </w:pPr>
  </w:style>
  <w:style w:type="table" w:styleId="ListTable1Light">
    <w:name w:val="List Table 1 Light"/>
    <w:basedOn w:val="TableNormal"/>
    <w:uiPriority w:val="46"/>
    <w:rsid w:val="004A520A"/>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A520A"/>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A520A"/>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A520A"/>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A520A"/>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A520A"/>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A520A"/>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A520A"/>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A520A"/>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A520A"/>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A520A"/>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A520A"/>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A520A"/>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A520A"/>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A520A"/>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A520A"/>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A520A"/>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A520A"/>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A520A"/>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A520A"/>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A520A"/>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A520A"/>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A520A"/>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A520A"/>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A520A"/>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A520A"/>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A520A"/>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A520A"/>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A520A"/>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A520A"/>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A520A"/>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A520A"/>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A520A"/>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A520A"/>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A520A"/>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A520A"/>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A520A"/>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4A520A"/>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4A520A"/>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4A520A"/>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4A520A"/>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4A520A"/>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4A520A"/>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A520A"/>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A520A"/>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A520A"/>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A520A"/>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A520A"/>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A520A"/>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4A520A"/>
    <w:rPr>
      <w:rFonts w:ascii="Consolas" w:eastAsiaTheme="minorHAnsi" w:hAnsi="Consolas" w:cstheme="minorBidi"/>
      <w:lang w:eastAsia="en-US"/>
    </w:rPr>
  </w:style>
  <w:style w:type="table" w:styleId="MediumGrid1">
    <w:name w:val="Medium Grid 1"/>
    <w:basedOn w:val="TableNormal"/>
    <w:uiPriority w:val="67"/>
    <w:semiHidden/>
    <w:unhideWhenUsed/>
    <w:rsid w:val="004A520A"/>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A520A"/>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4A520A"/>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4A520A"/>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4A520A"/>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4A520A"/>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4A520A"/>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4A520A"/>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A520A"/>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A520A"/>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A520A"/>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A520A"/>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A520A"/>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A520A"/>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A520A"/>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A520A"/>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4A520A"/>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4A520A"/>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4A520A"/>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4A520A"/>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4A520A"/>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4A520A"/>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A520A"/>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4A520A"/>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4A520A"/>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4A520A"/>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4A520A"/>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4A520A"/>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4A520A"/>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A520A"/>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A520A"/>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A520A"/>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A520A"/>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A520A"/>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A520A"/>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A520A"/>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A520A"/>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A520A"/>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A520A"/>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A520A"/>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A520A"/>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A520A"/>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A520A"/>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A520A"/>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A520A"/>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A520A"/>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A520A"/>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A520A"/>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A520A"/>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4A520A"/>
    <w:rPr>
      <w:color w:val="2B579A"/>
      <w:shd w:val="clear" w:color="auto" w:fill="E1DFDD"/>
    </w:rPr>
  </w:style>
  <w:style w:type="character" w:customStyle="1" w:styleId="MessageHeaderChar">
    <w:name w:val="Message Header Char"/>
    <w:basedOn w:val="DefaultParagraphFont"/>
    <w:link w:val="MessageHeader"/>
    <w:uiPriority w:val="99"/>
    <w:rsid w:val="004A520A"/>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4A520A"/>
    <w:rPr>
      <w:rFonts w:eastAsiaTheme="minorHAnsi" w:cstheme="minorBidi"/>
      <w:sz w:val="22"/>
      <w:lang w:eastAsia="en-US"/>
    </w:rPr>
  </w:style>
  <w:style w:type="character" w:customStyle="1" w:styleId="NoteHeadingChar">
    <w:name w:val="Note Heading Char"/>
    <w:basedOn w:val="DefaultParagraphFont"/>
    <w:link w:val="NoteHeading"/>
    <w:uiPriority w:val="99"/>
    <w:rsid w:val="004A520A"/>
    <w:rPr>
      <w:rFonts w:eastAsiaTheme="minorHAnsi" w:cstheme="minorBidi"/>
      <w:sz w:val="22"/>
      <w:lang w:eastAsia="en-US"/>
    </w:rPr>
  </w:style>
  <w:style w:type="character" w:styleId="PlaceholderText">
    <w:name w:val="Placeholder Text"/>
    <w:basedOn w:val="DefaultParagraphFont"/>
    <w:uiPriority w:val="99"/>
    <w:semiHidden/>
    <w:rsid w:val="004A520A"/>
    <w:rPr>
      <w:color w:val="808080"/>
    </w:rPr>
  </w:style>
  <w:style w:type="table" w:styleId="PlainTable1">
    <w:name w:val="Plain Table 1"/>
    <w:basedOn w:val="TableNormal"/>
    <w:uiPriority w:val="41"/>
    <w:rsid w:val="004A520A"/>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A520A"/>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A520A"/>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A520A"/>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A520A"/>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4A520A"/>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4A52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A520A"/>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4A520A"/>
    <w:rPr>
      <w:rFonts w:eastAsiaTheme="minorHAnsi" w:cstheme="minorBidi"/>
      <w:sz w:val="22"/>
      <w:lang w:eastAsia="en-US"/>
    </w:rPr>
  </w:style>
  <w:style w:type="character" w:customStyle="1" w:styleId="SignatureChar">
    <w:name w:val="Signature Char"/>
    <w:basedOn w:val="DefaultParagraphFont"/>
    <w:link w:val="Signature"/>
    <w:uiPriority w:val="99"/>
    <w:rsid w:val="004A520A"/>
    <w:rPr>
      <w:rFonts w:eastAsiaTheme="minorHAnsi" w:cstheme="minorBidi"/>
      <w:sz w:val="22"/>
      <w:lang w:eastAsia="en-US"/>
    </w:rPr>
  </w:style>
  <w:style w:type="character" w:styleId="SmartHyperlink">
    <w:name w:val="Smart Hyperlink"/>
    <w:basedOn w:val="DefaultParagraphFont"/>
    <w:uiPriority w:val="99"/>
    <w:semiHidden/>
    <w:unhideWhenUsed/>
    <w:rsid w:val="004A520A"/>
    <w:rPr>
      <w:u w:val="dotted"/>
    </w:rPr>
  </w:style>
  <w:style w:type="character" w:customStyle="1" w:styleId="SubtitleChar">
    <w:name w:val="Subtitle Char"/>
    <w:basedOn w:val="DefaultParagraphFont"/>
    <w:link w:val="Subtitle"/>
    <w:uiPriority w:val="11"/>
    <w:rsid w:val="004A520A"/>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4A520A"/>
    <w:rPr>
      <w:i/>
      <w:iCs/>
      <w:color w:val="404040" w:themeColor="text1" w:themeTint="BF"/>
    </w:rPr>
  </w:style>
  <w:style w:type="character" w:styleId="SubtleReference">
    <w:name w:val="Subtle Reference"/>
    <w:basedOn w:val="DefaultParagraphFont"/>
    <w:uiPriority w:val="31"/>
    <w:qFormat/>
    <w:rsid w:val="004A520A"/>
    <w:rPr>
      <w:smallCaps/>
      <w:color w:val="5A5A5A" w:themeColor="text1" w:themeTint="A5"/>
    </w:rPr>
  </w:style>
  <w:style w:type="table" w:styleId="TableGridLight">
    <w:name w:val="Grid Table Light"/>
    <w:basedOn w:val="TableNormal"/>
    <w:uiPriority w:val="40"/>
    <w:rsid w:val="004A520A"/>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4A520A"/>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4A520A"/>
    <w:pPr>
      <w:numPr>
        <w:numId w:val="0"/>
      </w:numPr>
      <w:outlineLvl w:val="9"/>
    </w:pPr>
  </w:style>
  <w:style w:type="character" w:styleId="UnresolvedMention">
    <w:name w:val="Unresolved Mention"/>
    <w:basedOn w:val="DefaultParagraphFont"/>
    <w:uiPriority w:val="99"/>
    <w:semiHidden/>
    <w:unhideWhenUsed/>
    <w:rsid w:val="004A520A"/>
    <w:rPr>
      <w:color w:val="605E5C"/>
      <w:shd w:val="clear" w:color="auto" w:fill="E1DFDD"/>
    </w:rPr>
  </w:style>
  <w:style w:type="paragraph" w:customStyle="1" w:styleId="SOText2">
    <w:name w:val="SO Text2"/>
    <w:aliases w:val="sot2"/>
    <w:basedOn w:val="Normal"/>
    <w:next w:val="SOText"/>
    <w:link w:val="SOText2Char"/>
    <w:rsid w:val="004A520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A520A"/>
    <w:rPr>
      <w:rFonts w:eastAsiaTheme="minorHAnsi" w:cstheme="minorBidi"/>
      <w:sz w:val="22"/>
      <w:lang w:eastAsia="en-US"/>
    </w:rPr>
  </w:style>
  <w:style w:type="paragraph" w:customStyle="1" w:styleId="ETAsubitem">
    <w:name w:val="ETA(subitem)"/>
    <w:basedOn w:val="OPCParaBase"/>
    <w:rsid w:val="004A520A"/>
    <w:pPr>
      <w:tabs>
        <w:tab w:val="right" w:pos="340"/>
      </w:tabs>
      <w:spacing w:before="60" w:line="240" w:lineRule="auto"/>
      <w:ind w:left="454" w:hanging="454"/>
    </w:pPr>
    <w:rPr>
      <w:sz w:val="20"/>
    </w:rPr>
  </w:style>
  <w:style w:type="paragraph" w:customStyle="1" w:styleId="ETApara">
    <w:name w:val="ETA(para)"/>
    <w:basedOn w:val="OPCParaBase"/>
    <w:rsid w:val="004A520A"/>
    <w:pPr>
      <w:tabs>
        <w:tab w:val="right" w:pos="754"/>
      </w:tabs>
      <w:spacing w:before="60" w:line="240" w:lineRule="auto"/>
      <w:ind w:left="828" w:hanging="828"/>
    </w:pPr>
    <w:rPr>
      <w:sz w:val="20"/>
    </w:rPr>
  </w:style>
  <w:style w:type="paragraph" w:customStyle="1" w:styleId="ETAsubpara">
    <w:name w:val="ETA(subpara)"/>
    <w:basedOn w:val="OPCParaBase"/>
    <w:rsid w:val="004A520A"/>
    <w:pPr>
      <w:tabs>
        <w:tab w:val="right" w:pos="1083"/>
      </w:tabs>
      <w:spacing w:before="60" w:line="240" w:lineRule="auto"/>
      <w:ind w:left="1191" w:hanging="1191"/>
    </w:pPr>
    <w:rPr>
      <w:sz w:val="20"/>
    </w:rPr>
  </w:style>
  <w:style w:type="paragraph" w:customStyle="1" w:styleId="ETAsub-subpara">
    <w:name w:val="ETA(sub-subpara)"/>
    <w:basedOn w:val="OPCParaBase"/>
    <w:rsid w:val="004A520A"/>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4A520A"/>
    <w:rPr>
      <w:b/>
      <w:sz w:val="28"/>
      <w:szCs w:val="28"/>
    </w:rPr>
  </w:style>
  <w:style w:type="paragraph" w:customStyle="1" w:styleId="NotesHeading2">
    <w:name w:val="NotesHeading 2"/>
    <w:basedOn w:val="OPCParaBase"/>
    <w:next w:val="Normal"/>
    <w:rsid w:val="004A520A"/>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8"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5AD96-2C53-462D-8E6C-CD5116B82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59</Pages>
  <Words>12539</Words>
  <Characters>61578</Characters>
  <Application>Microsoft Office Word</Application>
  <DocSecurity>0</DocSecurity>
  <PresentationFormat/>
  <Lines>1961</Lines>
  <Paragraphs>994</Paragraphs>
  <ScaleCrop>false</ScaleCrop>
  <HeadingPairs>
    <vt:vector size="2" baseType="variant">
      <vt:variant>
        <vt:lpstr>Title</vt:lpstr>
      </vt:variant>
      <vt:variant>
        <vt:i4>1</vt:i4>
      </vt:variant>
    </vt:vector>
  </HeadingPairs>
  <TitlesOfParts>
    <vt:vector size="1" baseType="lpstr">
      <vt:lpstr>Workplace Gender Equality Act 2012</vt:lpstr>
    </vt:vector>
  </TitlesOfParts>
  <Manager/>
  <Company/>
  <LinksUpToDate>false</LinksUpToDate>
  <CharactersWithSpaces>73576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Gender Equality Act 2012</dc:title>
  <dc:subject/>
  <dc:creator/>
  <cp:keywords/>
  <dc:description/>
  <cp:lastModifiedBy/>
  <cp:revision>1</cp:revision>
  <cp:lastPrinted>2014-07-10T00:44:00Z</cp:lastPrinted>
  <dcterms:created xsi:type="dcterms:W3CDTF">2025-04-09T03:59:00Z</dcterms:created>
  <dcterms:modified xsi:type="dcterms:W3CDTF">2025-04-09T03:59:00Z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OFFICIAL</vt:lpwstr>
  </property>
  <property fmtid="{D5CDD505-2E9C-101B-9397-08002B2CF9AE}" pid="4" name="DLM">
    <vt:lpwstr> </vt:lpwstr>
  </property>
  <property fmtid="{D5CDD505-2E9C-101B-9397-08002B2CF9AE}" pid="5" name="ShortT">
    <vt:lpwstr>Workplace Gender Equality Act 2012</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Actno">
    <vt:lpwstr/>
  </property>
  <property fmtid="{D5CDD505-2E9C-101B-9397-08002B2CF9AE}" pid="10" name="Class">
    <vt:lpwstr/>
  </property>
  <property fmtid="{D5CDD505-2E9C-101B-9397-08002B2CF9AE}" pid="11" name="CompilationVersion">
    <vt:i4>3</vt:i4>
  </property>
  <property fmtid="{D5CDD505-2E9C-101B-9397-08002B2CF9AE}" pid="12" name="CompilationNumber">
    <vt:lpwstr>23</vt:lpwstr>
  </property>
  <property fmtid="{D5CDD505-2E9C-101B-9397-08002B2CF9AE}" pid="13" name="StartDate">
    <vt:lpwstr>4 April 2025</vt:lpwstr>
  </property>
  <property fmtid="{D5CDD505-2E9C-101B-9397-08002B2CF9AE}" pid="14" name="PreparedDate">
    <vt:filetime>2016-03-04T14:00:00Z</vt:filetime>
  </property>
  <property fmtid="{D5CDD505-2E9C-101B-9397-08002B2CF9AE}" pid="15" name="RegisteredDate">
    <vt:lpwstr>8 May 2023</vt:lpwstr>
  </property>
  <property fmtid="{D5CDD505-2E9C-101B-9397-08002B2CF9AE}" pid="16" name="IncludesUpTo">
    <vt:lpwstr>Act No. 25, 2025</vt:lpwstr>
  </property>
</Properties>
</file>