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6B99C" w14:textId="77777777" w:rsidR="00244267" w:rsidRPr="00244267" w:rsidRDefault="00244267" w:rsidP="00244267">
      <w:pPr>
        <w:spacing w:after="0" w:line="240" w:lineRule="auto"/>
        <w:jc w:val="center"/>
        <w:rPr>
          <w:rFonts w:ascii="Times New Roman" w:hAnsi="Times New Roman" w:cs="Times New Roman"/>
        </w:rPr>
      </w:pPr>
      <w:r w:rsidRPr="00244267">
        <w:rPr>
          <w:rFonts w:ascii="Times New Roman" w:hAnsi="Times New Roman" w:cs="Times New Roman"/>
          <w:noProof/>
          <w:lang w:val="en-AU" w:eastAsia="en-AU"/>
        </w:rPr>
        <w:drawing>
          <wp:inline distT="0" distB="0" distL="0" distR="0" wp14:anchorId="2CC2F0EC" wp14:editId="4DA1531E">
            <wp:extent cx="993648" cy="737616"/>
            <wp:effectExtent l="19050" t="0" r="0" b="0"/>
            <wp:docPr id="16" name="Picture 1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A7B4F37" w14:textId="77777777" w:rsidR="00B9407A" w:rsidRPr="00244267" w:rsidRDefault="00AA1F71" w:rsidP="007F6AB7">
      <w:pPr>
        <w:spacing w:before="240" w:after="240" w:line="240" w:lineRule="auto"/>
        <w:jc w:val="center"/>
        <w:rPr>
          <w:rFonts w:ascii="Times New Roman" w:hAnsi="Times New Roman" w:cs="Times New Roman"/>
          <w:sz w:val="36"/>
        </w:rPr>
      </w:pPr>
      <w:r w:rsidRPr="00244267">
        <w:rPr>
          <w:rFonts w:ascii="Times New Roman" w:hAnsi="Times New Roman" w:cs="Times New Roman"/>
          <w:b/>
          <w:sz w:val="36"/>
        </w:rPr>
        <w:t>Oil Companies (Stock Loss Reimbursement)</w:t>
      </w:r>
      <w:r w:rsidR="00244267" w:rsidRPr="00244267">
        <w:rPr>
          <w:rFonts w:ascii="Times New Roman" w:hAnsi="Times New Roman" w:cs="Times New Roman"/>
          <w:b/>
          <w:sz w:val="36"/>
        </w:rPr>
        <w:t xml:space="preserve"> </w:t>
      </w:r>
      <w:r w:rsidRPr="00244267">
        <w:rPr>
          <w:rFonts w:ascii="Times New Roman" w:hAnsi="Times New Roman" w:cs="Times New Roman"/>
          <w:b/>
          <w:sz w:val="36"/>
        </w:rPr>
        <w:t>Act 1986</w:t>
      </w:r>
    </w:p>
    <w:p w14:paraId="779ADE00" w14:textId="77777777" w:rsidR="00B9407A" w:rsidRPr="00244267" w:rsidRDefault="00AA1F71" w:rsidP="00244267">
      <w:pPr>
        <w:spacing w:before="120" w:after="120" w:line="240" w:lineRule="auto"/>
        <w:jc w:val="center"/>
        <w:rPr>
          <w:rFonts w:ascii="Times New Roman" w:hAnsi="Times New Roman" w:cs="Times New Roman"/>
          <w:sz w:val="28"/>
        </w:rPr>
      </w:pPr>
      <w:r w:rsidRPr="00244267">
        <w:rPr>
          <w:rFonts w:ascii="Times New Roman" w:hAnsi="Times New Roman" w:cs="Times New Roman"/>
          <w:b/>
          <w:sz w:val="28"/>
        </w:rPr>
        <w:t>No. 18 of 1986</w:t>
      </w:r>
    </w:p>
    <w:p w14:paraId="0B438ADB" w14:textId="77777777" w:rsidR="00244267" w:rsidRPr="00244267" w:rsidRDefault="00244267" w:rsidP="00244267">
      <w:pPr>
        <w:pBdr>
          <w:bottom w:val="thickThinSmallGap" w:sz="12" w:space="1" w:color="auto"/>
        </w:pBdr>
        <w:spacing w:before="120" w:after="120" w:line="240" w:lineRule="auto"/>
        <w:jc w:val="center"/>
        <w:rPr>
          <w:rFonts w:ascii="Times New Roman" w:hAnsi="Times New Roman" w:cs="Times New Roman"/>
        </w:rPr>
      </w:pPr>
    </w:p>
    <w:p w14:paraId="3932B9EB" w14:textId="77777777" w:rsidR="00B9407A" w:rsidRPr="00244267" w:rsidRDefault="00AA1F71" w:rsidP="007F6AB7">
      <w:pPr>
        <w:spacing w:before="240" w:after="120" w:line="240" w:lineRule="auto"/>
        <w:jc w:val="center"/>
        <w:rPr>
          <w:rFonts w:ascii="Times New Roman" w:hAnsi="Times New Roman" w:cs="Times New Roman"/>
          <w:sz w:val="26"/>
        </w:rPr>
      </w:pPr>
      <w:r w:rsidRPr="00244267">
        <w:rPr>
          <w:rFonts w:ascii="Times New Roman" w:hAnsi="Times New Roman" w:cs="Times New Roman"/>
          <w:b/>
          <w:sz w:val="26"/>
        </w:rPr>
        <w:t>An Act to reimburse oil companies for losses incurred as a result of those companies having purchased indigenous crude oil at import parity prices during February 1986</w:t>
      </w:r>
    </w:p>
    <w:p w14:paraId="6A133559" w14:textId="77777777" w:rsidR="00B9407A" w:rsidRPr="00244267" w:rsidRDefault="00AA1F71" w:rsidP="00244267">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244267">
        <w:rPr>
          <w:rFonts w:ascii="Times New Roman" w:hAnsi="Times New Roman" w:cs="Times New Roman"/>
          <w:i/>
          <w:sz w:val="24"/>
        </w:rPr>
        <w:t>Assented to 13 May 1986</w:t>
      </w:r>
      <w:r w:rsidRPr="00ED6DE4">
        <w:rPr>
          <w:rFonts w:ascii="Times New Roman" w:hAnsi="Times New Roman" w:cs="Times New Roman"/>
          <w:sz w:val="24"/>
        </w:rPr>
        <w:t>]</w:t>
      </w:r>
    </w:p>
    <w:p w14:paraId="7DF29462" w14:textId="77777777" w:rsidR="00B9407A" w:rsidRPr="00244267" w:rsidRDefault="00B9407A" w:rsidP="00AF2305">
      <w:pPr>
        <w:spacing w:after="0" w:line="240" w:lineRule="auto"/>
        <w:ind w:firstLine="432"/>
        <w:jc w:val="both"/>
        <w:rPr>
          <w:rFonts w:ascii="Times New Roman" w:hAnsi="Times New Roman" w:cs="Times New Roman"/>
          <w:sz w:val="24"/>
        </w:rPr>
      </w:pPr>
      <w:r w:rsidRPr="00244267">
        <w:rPr>
          <w:rFonts w:ascii="Times New Roman" w:hAnsi="Times New Roman" w:cs="Times New Roman"/>
          <w:sz w:val="24"/>
        </w:rPr>
        <w:t>BE IT ENACTED by the Queen, and the Senate and the House of Representatives of the Commonwealth of Australia, as follows:</w:t>
      </w:r>
    </w:p>
    <w:p w14:paraId="5E3379DF"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Short title</w:t>
      </w:r>
    </w:p>
    <w:p w14:paraId="77D74D0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Oil Companies (Stock Loss Reimbursement) Act 1986.</w:t>
      </w:r>
    </w:p>
    <w:p w14:paraId="19B310C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Commencement</w:t>
      </w:r>
    </w:p>
    <w:p w14:paraId="0596CF3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This Act shall come into operation on the day on which it receives the Royal Assent.</w:t>
      </w:r>
    </w:p>
    <w:p w14:paraId="0597A08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Payments to oil companies</w:t>
      </w:r>
    </w:p>
    <w:p w14:paraId="24F571EC" w14:textId="77777777" w:rsidR="00E445E8" w:rsidRPr="00745A93" w:rsidRDefault="00AA1F71" w:rsidP="007F6AB7">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Each company named in column 1 of the following table is entitled to receive a payment of the amount specified in column 2 of that table opposite to the name of that company:</w:t>
      </w:r>
      <w:r w:rsidR="00E445E8" w:rsidRPr="00745A93">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6310"/>
        <w:gridCol w:w="1215"/>
      </w:tblGrid>
      <w:tr w:rsidR="00B9407A" w:rsidRPr="00745A93" w14:paraId="10EBA47E" w14:textId="77777777" w:rsidTr="00E31798">
        <w:trPr>
          <w:trHeight w:val="20"/>
        </w:trPr>
        <w:tc>
          <w:tcPr>
            <w:tcW w:w="4193" w:type="pct"/>
            <w:tcBorders>
              <w:top w:val="single" w:sz="6" w:space="0" w:color="auto"/>
              <w:bottom w:val="single" w:sz="6" w:space="0" w:color="auto"/>
            </w:tcBorders>
          </w:tcPr>
          <w:p w14:paraId="77202447" w14:textId="77777777" w:rsidR="00B9407A" w:rsidRPr="00745A93" w:rsidRDefault="00B9407A" w:rsidP="00B37AF3">
            <w:pPr>
              <w:spacing w:before="60" w:after="60" w:line="240" w:lineRule="auto"/>
              <w:jc w:val="both"/>
              <w:rPr>
                <w:rFonts w:ascii="Times New Roman" w:hAnsi="Times New Roman" w:cs="Times New Roman"/>
              </w:rPr>
            </w:pPr>
            <w:r w:rsidRPr="00745A93">
              <w:rPr>
                <w:rFonts w:ascii="Times New Roman" w:hAnsi="Times New Roman" w:cs="Times New Roman"/>
              </w:rPr>
              <w:lastRenderedPageBreak/>
              <w:t>Column 1</w:t>
            </w:r>
          </w:p>
        </w:tc>
        <w:tc>
          <w:tcPr>
            <w:tcW w:w="807" w:type="pct"/>
            <w:tcBorders>
              <w:top w:val="single" w:sz="6" w:space="0" w:color="auto"/>
              <w:bottom w:val="single" w:sz="6" w:space="0" w:color="auto"/>
            </w:tcBorders>
          </w:tcPr>
          <w:p w14:paraId="271CA4D1" w14:textId="77777777" w:rsidR="00B9407A" w:rsidRPr="00745A93" w:rsidRDefault="00B9407A" w:rsidP="00B37AF3">
            <w:pPr>
              <w:spacing w:before="60" w:after="60" w:line="240" w:lineRule="auto"/>
              <w:ind w:right="144"/>
              <w:jc w:val="right"/>
              <w:rPr>
                <w:rFonts w:ascii="Times New Roman" w:hAnsi="Times New Roman" w:cs="Times New Roman"/>
              </w:rPr>
            </w:pPr>
            <w:r w:rsidRPr="00745A93">
              <w:rPr>
                <w:rFonts w:ascii="Times New Roman" w:hAnsi="Times New Roman" w:cs="Times New Roman"/>
              </w:rPr>
              <w:t>Column 2</w:t>
            </w:r>
          </w:p>
        </w:tc>
      </w:tr>
      <w:tr w:rsidR="00B9407A" w:rsidRPr="00745A93" w14:paraId="66A3109F" w14:textId="77777777" w:rsidTr="00E31798">
        <w:trPr>
          <w:trHeight w:val="20"/>
        </w:trPr>
        <w:tc>
          <w:tcPr>
            <w:tcW w:w="4193" w:type="pct"/>
            <w:tcBorders>
              <w:top w:val="single" w:sz="6" w:space="0" w:color="auto"/>
            </w:tcBorders>
          </w:tcPr>
          <w:p w14:paraId="3B1242F3" w14:textId="77777777" w:rsidR="00B9407A" w:rsidRPr="00745A93" w:rsidRDefault="00B9407A" w:rsidP="00E95C07">
            <w:pPr>
              <w:spacing w:after="0" w:line="240" w:lineRule="auto"/>
              <w:jc w:val="both"/>
              <w:rPr>
                <w:rFonts w:ascii="Times New Roman" w:hAnsi="Times New Roman" w:cs="Times New Roman"/>
              </w:rPr>
            </w:pPr>
          </w:p>
        </w:tc>
        <w:tc>
          <w:tcPr>
            <w:tcW w:w="807" w:type="pct"/>
            <w:tcBorders>
              <w:top w:val="single" w:sz="6" w:space="0" w:color="auto"/>
            </w:tcBorders>
          </w:tcPr>
          <w:p w14:paraId="469F4190"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w:t>
            </w:r>
          </w:p>
        </w:tc>
      </w:tr>
      <w:tr w:rsidR="00B9407A" w:rsidRPr="00745A93" w14:paraId="2DFACA2A" w14:textId="77777777" w:rsidTr="00E31798">
        <w:trPr>
          <w:trHeight w:val="20"/>
        </w:trPr>
        <w:tc>
          <w:tcPr>
            <w:tcW w:w="4193" w:type="pct"/>
          </w:tcPr>
          <w:p w14:paraId="18C17F67"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Ampol Refineries Limited</w:t>
            </w:r>
            <w:r w:rsidR="00620D25">
              <w:rPr>
                <w:rFonts w:ascii="Times New Roman" w:hAnsi="Times New Roman" w:cs="Times New Roman"/>
              </w:rPr>
              <w:tab/>
            </w:r>
          </w:p>
        </w:tc>
        <w:tc>
          <w:tcPr>
            <w:tcW w:w="807" w:type="pct"/>
          </w:tcPr>
          <w:p w14:paraId="52414B83"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14,242,866</w:t>
            </w:r>
          </w:p>
        </w:tc>
      </w:tr>
      <w:tr w:rsidR="00B9407A" w:rsidRPr="00745A93" w14:paraId="22FC9A55" w14:textId="77777777" w:rsidTr="00E31798">
        <w:trPr>
          <w:trHeight w:val="20"/>
        </w:trPr>
        <w:tc>
          <w:tcPr>
            <w:tcW w:w="4193" w:type="pct"/>
          </w:tcPr>
          <w:p w14:paraId="092A847A"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Australian Oil Refining Pty Limited</w:t>
            </w:r>
            <w:r w:rsidR="00620D25">
              <w:rPr>
                <w:rFonts w:ascii="Times New Roman" w:hAnsi="Times New Roman" w:cs="Times New Roman"/>
              </w:rPr>
              <w:tab/>
            </w:r>
          </w:p>
        </w:tc>
        <w:tc>
          <w:tcPr>
            <w:tcW w:w="807" w:type="pct"/>
          </w:tcPr>
          <w:p w14:paraId="3F290048"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21,857,369</w:t>
            </w:r>
          </w:p>
        </w:tc>
      </w:tr>
      <w:tr w:rsidR="00B9407A" w:rsidRPr="00745A93" w14:paraId="5AF43D6C" w14:textId="77777777" w:rsidTr="00E31798">
        <w:trPr>
          <w:trHeight w:val="20"/>
        </w:trPr>
        <w:tc>
          <w:tcPr>
            <w:tcW w:w="4193" w:type="pct"/>
          </w:tcPr>
          <w:p w14:paraId="4FB96FFE"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BP Australia Limited</w:t>
            </w:r>
            <w:r w:rsidR="00620D25">
              <w:rPr>
                <w:rFonts w:ascii="Times New Roman" w:hAnsi="Times New Roman" w:cs="Times New Roman"/>
              </w:rPr>
              <w:tab/>
            </w:r>
          </w:p>
        </w:tc>
        <w:tc>
          <w:tcPr>
            <w:tcW w:w="807" w:type="pct"/>
          </w:tcPr>
          <w:p w14:paraId="180A3732"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26,525,933</w:t>
            </w:r>
          </w:p>
        </w:tc>
      </w:tr>
      <w:tr w:rsidR="00B9407A" w:rsidRPr="00745A93" w14:paraId="3DC46839" w14:textId="77777777" w:rsidTr="00E31798">
        <w:trPr>
          <w:trHeight w:val="20"/>
        </w:trPr>
        <w:tc>
          <w:tcPr>
            <w:tcW w:w="4193" w:type="pct"/>
          </w:tcPr>
          <w:p w14:paraId="66E54447"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Esso Australia Ltd</w:t>
            </w:r>
            <w:r w:rsidR="00620D25">
              <w:rPr>
                <w:rFonts w:ascii="Times New Roman" w:hAnsi="Times New Roman" w:cs="Times New Roman"/>
              </w:rPr>
              <w:tab/>
            </w:r>
          </w:p>
        </w:tc>
        <w:tc>
          <w:tcPr>
            <w:tcW w:w="807" w:type="pct"/>
          </w:tcPr>
          <w:p w14:paraId="04795527"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10,223,407</w:t>
            </w:r>
          </w:p>
        </w:tc>
      </w:tr>
      <w:tr w:rsidR="00B9407A" w:rsidRPr="00745A93" w14:paraId="054CC6DD" w14:textId="77777777" w:rsidTr="00E31798">
        <w:trPr>
          <w:trHeight w:val="20"/>
        </w:trPr>
        <w:tc>
          <w:tcPr>
            <w:tcW w:w="4193" w:type="pct"/>
          </w:tcPr>
          <w:p w14:paraId="32DF2F3F"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Mobil Oil Australia Limited</w:t>
            </w:r>
            <w:r w:rsidR="00620D25">
              <w:rPr>
                <w:rFonts w:ascii="Times New Roman" w:hAnsi="Times New Roman" w:cs="Times New Roman"/>
              </w:rPr>
              <w:tab/>
            </w:r>
          </w:p>
        </w:tc>
        <w:tc>
          <w:tcPr>
            <w:tcW w:w="807" w:type="pct"/>
          </w:tcPr>
          <w:p w14:paraId="372443E0"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18,374,670</w:t>
            </w:r>
          </w:p>
        </w:tc>
      </w:tr>
      <w:tr w:rsidR="00B9407A" w:rsidRPr="00745A93" w14:paraId="5C386B52" w14:textId="77777777" w:rsidTr="00E31798">
        <w:trPr>
          <w:trHeight w:val="20"/>
        </w:trPr>
        <w:tc>
          <w:tcPr>
            <w:tcW w:w="4193" w:type="pct"/>
            <w:tcBorders>
              <w:bottom w:val="single" w:sz="6" w:space="0" w:color="auto"/>
            </w:tcBorders>
          </w:tcPr>
          <w:p w14:paraId="6D75C1A2" w14:textId="77777777" w:rsidR="00B9407A" w:rsidRPr="00745A93" w:rsidRDefault="00B9407A" w:rsidP="00620D25">
            <w:pPr>
              <w:tabs>
                <w:tab w:val="left" w:leader="dot" w:pos="6120"/>
              </w:tabs>
              <w:spacing w:after="0" w:line="240" w:lineRule="auto"/>
              <w:jc w:val="both"/>
              <w:rPr>
                <w:rFonts w:ascii="Times New Roman" w:hAnsi="Times New Roman" w:cs="Times New Roman"/>
              </w:rPr>
            </w:pPr>
            <w:r w:rsidRPr="00745A93">
              <w:rPr>
                <w:rFonts w:ascii="Times New Roman" w:hAnsi="Times New Roman" w:cs="Times New Roman"/>
              </w:rPr>
              <w:t>The Shell Company of Australia Limited</w:t>
            </w:r>
            <w:r w:rsidR="00620D25">
              <w:rPr>
                <w:rFonts w:ascii="Times New Roman" w:hAnsi="Times New Roman" w:cs="Times New Roman"/>
              </w:rPr>
              <w:tab/>
            </w:r>
          </w:p>
        </w:tc>
        <w:tc>
          <w:tcPr>
            <w:tcW w:w="807" w:type="pct"/>
            <w:tcBorders>
              <w:bottom w:val="single" w:sz="6" w:space="0" w:color="auto"/>
            </w:tcBorders>
          </w:tcPr>
          <w:p w14:paraId="59924A47" w14:textId="77777777" w:rsidR="00B9407A" w:rsidRPr="00745A93" w:rsidRDefault="00B9407A" w:rsidP="00192F11">
            <w:pPr>
              <w:spacing w:after="0" w:line="240" w:lineRule="auto"/>
              <w:ind w:right="144"/>
              <w:jc w:val="right"/>
              <w:rPr>
                <w:rFonts w:ascii="Times New Roman" w:hAnsi="Times New Roman" w:cs="Times New Roman"/>
              </w:rPr>
            </w:pPr>
            <w:r w:rsidRPr="00745A93">
              <w:rPr>
                <w:rFonts w:ascii="Times New Roman" w:hAnsi="Times New Roman" w:cs="Times New Roman"/>
              </w:rPr>
              <w:t>33,603,676</w:t>
            </w:r>
          </w:p>
        </w:tc>
      </w:tr>
    </w:tbl>
    <w:p w14:paraId="7B7A0758" w14:textId="77777777" w:rsidR="00B9407A" w:rsidRPr="00B37AF3" w:rsidRDefault="00AA1F71" w:rsidP="00B37AF3">
      <w:pPr>
        <w:spacing w:before="120" w:after="60" w:line="240" w:lineRule="auto"/>
        <w:jc w:val="both"/>
        <w:rPr>
          <w:rFonts w:ascii="Times New Roman" w:hAnsi="Times New Roman" w:cs="Times New Roman"/>
          <w:b/>
          <w:sz w:val="20"/>
        </w:rPr>
      </w:pPr>
      <w:r w:rsidRPr="00B37AF3">
        <w:rPr>
          <w:rFonts w:ascii="Times New Roman" w:hAnsi="Times New Roman" w:cs="Times New Roman"/>
          <w:b/>
          <w:sz w:val="20"/>
        </w:rPr>
        <w:t>Appropriation</w:t>
      </w:r>
    </w:p>
    <w:p w14:paraId="1378C40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Payments under section 3 shall be made out of the Consolidated Revenue Fund, which is appropriated accordingly.</w:t>
      </w:r>
    </w:p>
    <w:p w14:paraId="1B048979"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Application of Income Tax Assessment Act</w:t>
      </w:r>
    </w:p>
    <w:p w14:paraId="181AAD6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 a payment is made to a company under section 3—</w:t>
      </w:r>
    </w:p>
    <w:p w14:paraId="527AA547" w14:textId="55EB4746"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the payment shall be deemed not to be assessable income or exempt income for the purposes of the </w:t>
      </w:r>
      <w:r w:rsidR="00AA1F71" w:rsidRPr="00745A93">
        <w:rPr>
          <w:rFonts w:ascii="Times New Roman" w:hAnsi="Times New Roman" w:cs="Times New Roman"/>
          <w:i/>
        </w:rPr>
        <w:t>Income Tax Assessment Act 1936</w:t>
      </w:r>
      <w:r w:rsidR="00AA1F71" w:rsidRPr="007029A9">
        <w:rPr>
          <w:rFonts w:ascii="Times New Roman" w:hAnsi="Times New Roman" w:cs="Times New Roman"/>
        </w:rPr>
        <w:t>;</w:t>
      </w:r>
      <w:bookmarkStart w:id="0" w:name="_GoBack"/>
      <w:bookmarkEnd w:id="0"/>
      <w:r w:rsidR="00AA1F71" w:rsidRPr="00745A93">
        <w:rPr>
          <w:rFonts w:ascii="Times New Roman" w:hAnsi="Times New Roman" w:cs="Times New Roman"/>
          <w:i/>
        </w:rPr>
        <w:t xml:space="preserve"> </w:t>
      </w:r>
      <w:r w:rsidRPr="00745A93">
        <w:rPr>
          <w:rFonts w:ascii="Times New Roman" w:hAnsi="Times New Roman" w:cs="Times New Roman"/>
        </w:rPr>
        <w:t>and</w:t>
      </w:r>
    </w:p>
    <w:p w14:paraId="4623675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amount that would, apart from this section, be allowable under that Act as a deduction from the assessable income of the company of the year of income of the company in which the payment is made in respect of losses or outgoings incurred in the purchase by the company of crude oil shall be reduced by an amount equal to the amount of the payment.</w:t>
      </w:r>
    </w:p>
    <w:p w14:paraId="57413B1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 xml:space="preserve">In sub-section (1), </w:t>
      </w:r>
      <w:r w:rsidR="00E445E8" w:rsidRPr="00745A93">
        <w:rPr>
          <w:rFonts w:ascii="Times New Roman" w:hAnsi="Times New Roman" w:cs="Times New Roman"/>
        </w:rPr>
        <w:t>“</w:t>
      </w:r>
      <w:r w:rsidR="00B9407A" w:rsidRPr="00745A93">
        <w:rPr>
          <w:rFonts w:ascii="Times New Roman" w:hAnsi="Times New Roman" w:cs="Times New Roman"/>
        </w:rPr>
        <w:t>year of income</w:t>
      </w:r>
      <w:r w:rsidR="00E445E8" w:rsidRPr="00745A93">
        <w:rPr>
          <w:rFonts w:ascii="Times New Roman" w:hAnsi="Times New Roman" w:cs="Times New Roman"/>
        </w:rPr>
        <w:t>”</w:t>
      </w:r>
      <w:r w:rsidR="00B9407A" w:rsidRPr="00745A93">
        <w:rPr>
          <w:rFonts w:ascii="Times New Roman" w:hAnsi="Times New Roman" w:cs="Times New Roman"/>
        </w:rPr>
        <w:t xml:space="preserve"> has the same meaning as in section 6 of the </w:t>
      </w:r>
      <w:r w:rsidRPr="00745A93">
        <w:rPr>
          <w:rFonts w:ascii="Times New Roman" w:hAnsi="Times New Roman" w:cs="Times New Roman"/>
          <w:i/>
        </w:rPr>
        <w:t>Income Tax Assessment Act 1936.</w:t>
      </w:r>
    </w:p>
    <w:p w14:paraId="7C83E4AC" w14:textId="77777777" w:rsidR="00E35E14" w:rsidRDefault="00E35E14" w:rsidP="00E35E14">
      <w:pPr>
        <w:pBdr>
          <w:bottom w:val="single" w:sz="4" w:space="1" w:color="auto"/>
        </w:pBdr>
        <w:spacing w:after="0" w:line="240" w:lineRule="auto"/>
        <w:jc w:val="center"/>
        <w:rPr>
          <w:rFonts w:ascii="Times New Roman" w:hAnsi="Times New Roman" w:cs="Times New Roman"/>
          <w:b/>
        </w:rPr>
      </w:pPr>
    </w:p>
    <w:p w14:paraId="6AE89118" w14:textId="77777777" w:rsidR="00B9407A" w:rsidRPr="00316E00" w:rsidRDefault="00AA1F71" w:rsidP="00E35E14">
      <w:pPr>
        <w:spacing w:before="120" w:after="0" w:line="240" w:lineRule="auto"/>
        <w:jc w:val="both"/>
        <w:rPr>
          <w:rFonts w:ascii="Times New Roman" w:hAnsi="Times New Roman" w:cs="Times New Roman"/>
          <w:sz w:val="20"/>
        </w:rPr>
      </w:pPr>
      <w:r w:rsidRPr="00316E00">
        <w:rPr>
          <w:rFonts w:ascii="Times New Roman" w:hAnsi="Times New Roman" w:cs="Times New Roman"/>
          <w:sz w:val="20"/>
        </w:rPr>
        <w:t>[</w:t>
      </w:r>
      <w:r w:rsidRPr="00316E00">
        <w:rPr>
          <w:rFonts w:ascii="Times New Roman" w:hAnsi="Times New Roman" w:cs="Times New Roman"/>
          <w:i/>
          <w:sz w:val="20"/>
        </w:rPr>
        <w:t>Minister</w:t>
      </w:r>
      <w:r w:rsidR="00E445E8" w:rsidRPr="00316E00">
        <w:rPr>
          <w:rFonts w:ascii="Times New Roman" w:hAnsi="Times New Roman" w:cs="Times New Roman"/>
          <w:i/>
          <w:sz w:val="20"/>
        </w:rPr>
        <w:t>’</w:t>
      </w:r>
      <w:r w:rsidRPr="00316E00">
        <w:rPr>
          <w:rFonts w:ascii="Times New Roman" w:hAnsi="Times New Roman" w:cs="Times New Roman"/>
          <w:i/>
          <w:sz w:val="20"/>
        </w:rPr>
        <w:t>s second reading speech made in—</w:t>
      </w:r>
    </w:p>
    <w:p w14:paraId="7713343C" w14:textId="77777777" w:rsidR="00E35E14" w:rsidRPr="00316E00" w:rsidRDefault="00AA1F71" w:rsidP="00E35E14">
      <w:pPr>
        <w:spacing w:after="0" w:line="240" w:lineRule="auto"/>
        <w:ind w:left="1152"/>
        <w:jc w:val="both"/>
        <w:rPr>
          <w:rFonts w:ascii="Times New Roman" w:hAnsi="Times New Roman" w:cs="Times New Roman"/>
          <w:i/>
          <w:sz w:val="20"/>
        </w:rPr>
      </w:pPr>
      <w:r w:rsidRPr="00316E00">
        <w:rPr>
          <w:rFonts w:ascii="Times New Roman" w:hAnsi="Times New Roman" w:cs="Times New Roman"/>
          <w:i/>
          <w:sz w:val="20"/>
        </w:rPr>
        <w:t>House of Representatives on 17 April 1986</w:t>
      </w:r>
    </w:p>
    <w:p w14:paraId="36C7DF01" w14:textId="77777777" w:rsidR="00B9407A" w:rsidRPr="00316E00" w:rsidRDefault="00AA1F71" w:rsidP="00E35E14">
      <w:pPr>
        <w:spacing w:after="0" w:line="240" w:lineRule="auto"/>
        <w:ind w:left="1152"/>
        <w:jc w:val="both"/>
        <w:rPr>
          <w:rFonts w:ascii="Times New Roman" w:hAnsi="Times New Roman" w:cs="Times New Roman"/>
          <w:sz w:val="20"/>
        </w:rPr>
      </w:pPr>
      <w:r w:rsidRPr="00316E00">
        <w:rPr>
          <w:rFonts w:ascii="Times New Roman" w:hAnsi="Times New Roman" w:cs="Times New Roman"/>
          <w:i/>
          <w:sz w:val="20"/>
        </w:rPr>
        <w:t>Senate on 2 May 1986</w:t>
      </w:r>
      <w:r w:rsidRPr="00316E00">
        <w:rPr>
          <w:rFonts w:ascii="Times New Roman" w:hAnsi="Times New Roman" w:cs="Times New Roman"/>
          <w:sz w:val="20"/>
        </w:rPr>
        <w:t>]</w:t>
      </w:r>
    </w:p>
    <w:sectPr w:rsidR="00B9407A" w:rsidRPr="00316E00" w:rsidSect="00612C5E">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58F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58FEF" w16cid:durableId="200BAA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5282" w14:textId="77777777" w:rsidR="003F7203" w:rsidRDefault="003F7203" w:rsidP="00785BD0">
      <w:pPr>
        <w:spacing w:after="0" w:line="240" w:lineRule="auto"/>
      </w:pPr>
      <w:r>
        <w:separator/>
      </w:r>
    </w:p>
  </w:endnote>
  <w:endnote w:type="continuationSeparator" w:id="0">
    <w:p w14:paraId="5338F1A9" w14:textId="77777777" w:rsidR="003F7203" w:rsidRDefault="003F7203"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E8761" w14:textId="77777777" w:rsidR="003F7203" w:rsidRDefault="003F7203" w:rsidP="00785BD0">
      <w:pPr>
        <w:spacing w:after="0" w:line="240" w:lineRule="auto"/>
      </w:pPr>
      <w:r>
        <w:separator/>
      </w:r>
    </w:p>
  </w:footnote>
  <w:footnote w:type="continuationSeparator" w:id="0">
    <w:p w14:paraId="3106921E" w14:textId="77777777" w:rsidR="003F7203" w:rsidRDefault="003F7203"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F6492" w14:textId="77777777" w:rsidR="00750E96" w:rsidRPr="00E31798" w:rsidRDefault="00E31798" w:rsidP="00E31798">
    <w:pPr>
      <w:pStyle w:val="Header"/>
      <w:tabs>
        <w:tab w:val="clear" w:pos="4680"/>
        <w:tab w:val="center" w:pos="4500"/>
      </w:tabs>
      <w:jc w:val="center"/>
      <w:rPr>
        <w:rFonts w:ascii="Times New Roman" w:hAnsi="Times New Roman"/>
        <w:sz w:val="20"/>
      </w:rPr>
    </w:pPr>
    <w:r w:rsidRPr="00E31798">
      <w:rPr>
        <w:rFonts w:ascii="Times New Roman" w:hAnsi="Times New Roman" w:cs="Times New Roman"/>
        <w:i/>
        <w:sz w:val="20"/>
      </w:rPr>
      <w:t>Oil Companies (Stock Loss Reimbursement)</w:t>
    </w:r>
    <w:r>
      <w:rPr>
        <w:rFonts w:ascii="Times New Roman" w:hAnsi="Times New Roman" w:cs="Times New Roman"/>
        <w:i/>
        <w:sz w:val="20"/>
      </w:rPr>
      <w:tab/>
    </w:r>
    <w:r w:rsidRPr="00E31798">
      <w:rPr>
        <w:rFonts w:ascii="Times New Roman" w:hAnsi="Times New Roman" w:cs="Times New Roman"/>
        <w:i/>
        <w:sz w:val="20"/>
      </w:rPr>
      <w:t>No. 18,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7DA7"/>
    <w:rsid w:val="000103E5"/>
    <w:rsid w:val="000176D3"/>
    <w:rsid w:val="00021C72"/>
    <w:rsid w:val="0002730B"/>
    <w:rsid w:val="00034FD6"/>
    <w:rsid w:val="000377B8"/>
    <w:rsid w:val="00050BE2"/>
    <w:rsid w:val="00060971"/>
    <w:rsid w:val="00072BCB"/>
    <w:rsid w:val="000874B0"/>
    <w:rsid w:val="000A7A55"/>
    <w:rsid w:val="000B29C3"/>
    <w:rsid w:val="000D26B2"/>
    <w:rsid w:val="000E4D0C"/>
    <w:rsid w:val="000E7810"/>
    <w:rsid w:val="00102315"/>
    <w:rsid w:val="00102C41"/>
    <w:rsid w:val="001271F5"/>
    <w:rsid w:val="001308F3"/>
    <w:rsid w:val="00135DE6"/>
    <w:rsid w:val="00141C17"/>
    <w:rsid w:val="00155B47"/>
    <w:rsid w:val="00156581"/>
    <w:rsid w:val="00156F05"/>
    <w:rsid w:val="00163EC6"/>
    <w:rsid w:val="0016417B"/>
    <w:rsid w:val="001675D7"/>
    <w:rsid w:val="00176D13"/>
    <w:rsid w:val="00191F91"/>
    <w:rsid w:val="00192F11"/>
    <w:rsid w:val="0019650C"/>
    <w:rsid w:val="001A5FCB"/>
    <w:rsid w:val="001C18F9"/>
    <w:rsid w:val="001C2A8E"/>
    <w:rsid w:val="001C4971"/>
    <w:rsid w:val="001E4490"/>
    <w:rsid w:val="001E7E65"/>
    <w:rsid w:val="001F4270"/>
    <w:rsid w:val="001F75F8"/>
    <w:rsid w:val="00222F0E"/>
    <w:rsid w:val="0022536C"/>
    <w:rsid w:val="00227D9C"/>
    <w:rsid w:val="00244267"/>
    <w:rsid w:val="00244FF8"/>
    <w:rsid w:val="002507AF"/>
    <w:rsid w:val="0026123A"/>
    <w:rsid w:val="002643BD"/>
    <w:rsid w:val="00276766"/>
    <w:rsid w:val="00291BD5"/>
    <w:rsid w:val="002920AE"/>
    <w:rsid w:val="00292C24"/>
    <w:rsid w:val="0029579B"/>
    <w:rsid w:val="002A0B7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93E6B"/>
    <w:rsid w:val="003A09D3"/>
    <w:rsid w:val="003A285E"/>
    <w:rsid w:val="003B6A1E"/>
    <w:rsid w:val="003F2509"/>
    <w:rsid w:val="003F7203"/>
    <w:rsid w:val="00402147"/>
    <w:rsid w:val="00414D1B"/>
    <w:rsid w:val="00417C87"/>
    <w:rsid w:val="00424305"/>
    <w:rsid w:val="00431242"/>
    <w:rsid w:val="00440945"/>
    <w:rsid w:val="00451DEA"/>
    <w:rsid w:val="00452B89"/>
    <w:rsid w:val="004556F0"/>
    <w:rsid w:val="00473A31"/>
    <w:rsid w:val="00484E28"/>
    <w:rsid w:val="004935AE"/>
    <w:rsid w:val="004A44D0"/>
    <w:rsid w:val="004D55A8"/>
    <w:rsid w:val="004F15A6"/>
    <w:rsid w:val="00507EC0"/>
    <w:rsid w:val="0051502E"/>
    <w:rsid w:val="00516117"/>
    <w:rsid w:val="00531683"/>
    <w:rsid w:val="00534213"/>
    <w:rsid w:val="0054407A"/>
    <w:rsid w:val="00544285"/>
    <w:rsid w:val="00547DC5"/>
    <w:rsid w:val="00564926"/>
    <w:rsid w:val="00571EB6"/>
    <w:rsid w:val="00580C31"/>
    <w:rsid w:val="005826AE"/>
    <w:rsid w:val="00596A1B"/>
    <w:rsid w:val="005A0A89"/>
    <w:rsid w:val="005A37FE"/>
    <w:rsid w:val="005B1855"/>
    <w:rsid w:val="005C6479"/>
    <w:rsid w:val="005C7DDD"/>
    <w:rsid w:val="005D6CD2"/>
    <w:rsid w:val="005E51DD"/>
    <w:rsid w:val="00605912"/>
    <w:rsid w:val="00612C5E"/>
    <w:rsid w:val="00620D25"/>
    <w:rsid w:val="00623FE5"/>
    <w:rsid w:val="006330B4"/>
    <w:rsid w:val="006740C1"/>
    <w:rsid w:val="006763A3"/>
    <w:rsid w:val="00697256"/>
    <w:rsid w:val="006A0F91"/>
    <w:rsid w:val="006A5E90"/>
    <w:rsid w:val="006B17F3"/>
    <w:rsid w:val="006C59C0"/>
    <w:rsid w:val="006D6661"/>
    <w:rsid w:val="006E363E"/>
    <w:rsid w:val="006E3A31"/>
    <w:rsid w:val="006F3089"/>
    <w:rsid w:val="007029A9"/>
    <w:rsid w:val="00705130"/>
    <w:rsid w:val="00707B02"/>
    <w:rsid w:val="007309A7"/>
    <w:rsid w:val="007323E5"/>
    <w:rsid w:val="0073727D"/>
    <w:rsid w:val="00744FE4"/>
    <w:rsid w:val="00745A93"/>
    <w:rsid w:val="00750E96"/>
    <w:rsid w:val="00755C7A"/>
    <w:rsid w:val="00780219"/>
    <w:rsid w:val="00785A18"/>
    <w:rsid w:val="00785BD0"/>
    <w:rsid w:val="0079238D"/>
    <w:rsid w:val="007B4FF4"/>
    <w:rsid w:val="007B649E"/>
    <w:rsid w:val="007B7755"/>
    <w:rsid w:val="007B7D06"/>
    <w:rsid w:val="007C5EAA"/>
    <w:rsid w:val="007D2CFA"/>
    <w:rsid w:val="007E585C"/>
    <w:rsid w:val="007F6AB7"/>
    <w:rsid w:val="008012E4"/>
    <w:rsid w:val="00803673"/>
    <w:rsid w:val="00812F60"/>
    <w:rsid w:val="00831431"/>
    <w:rsid w:val="008372E9"/>
    <w:rsid w:val="00841895"/>
    <w:rsid w:val="008456A5"/>
    <w:rsid w:val="00850AB5"/>
    <w:rsid w:val="008663F6"/>
    <w:rsid w:val="008664B0"/>
    <w:rsid w:val="0087205E"/>
    <w:rsid w:val="008A4644"/>
    <w:rsid w:val="008C46AE"/>
    <w:rsid w:val="008D0EE0"/>
    <w:rsid w:val="008D1062"/>
    <w:rsid w:val="008D6E35"/>
    <w:rsid w:val="008E12C8"/>
    <w:rsid w:val="008F1732"/>
    <w:rsid w:val="008F6B0C"/>
    <w:rsid w:val="008F6CE1"/>
    <w:rsid w:val="0091547F"/>
    <w:rsid w:val="009156AA"/>
    <w:rsid w:val="00917146"/>
    <w:rsid w:val="00923B82"/>
    <w:rsid w:val="00925CB7"/>
    <w:rsid w:val="00926E59"/>
    <w:rsid w:val="009302DB"/>
    <w:rsid w:val="00932968"/>
    <w:rsid w:val="0096483F"/>
    <w:rsid w:val="00982E76"/>
    <w:rsid w:val="0098371E"/>
    <w:rsid w:val="00990D2C"/>
    <w:rsid w:val="009A42CC"/>
    <w:rsid w:val="009A54CC"/>
    <w:rsid w:val="009B169F"/>
    <w:rsid w:val="009D22E1"/>
    <w:rsid w:val="009D494E"/>
    <w:rsid w:val="009E5078"/>
    <w:rsid w:val="009E5EE2"/>
    <w:rsid w:val="009F2C4B"/>
    <w:rsid w:val="009F4F9F"/>
    <w:rsid w:val="00A04300"/>
    <w:rsid w:val="00A142E9"/>
    <w:rsid w:val="00A15265"/>
    <w:rsid w:val="00A217ED"/>
    <w:rsid w:val="00A27F16"/>
    <w:rsid w:val="00A3078D"/>
    <w:rsid w:val="00A44408"/>
    <w:rsid w:val="00A53D74"/>
    <w:rsid w:val="00A5460E"/>
    <w:rsid w:val="00A73AD0"/>
    <w:rsid w:val="00A86692"/>
    <w:rsid w:val="00A86C10"/>
    <w:rsid w:val="00A90BDE"/>
    <w:rsid w:val="00A9787D"/>
    <w:rsid w:val="00AA0678"/>
    <w:rsid w:val="00AA1F71"/>
    <w:rsid w:val="00AA62AE"/>
    <w:rsid w:val="00AA7E83"/>
    <w:rsid w:val="00AB344F"/>
    <w:rsid w:val="00AB42A4"/>
    <w:rsid w:val="00AF2305"/>
    <w:rsid w:val="00AF2857"/>
    <w:rsid w:val="00AF3A7B"/>
    <w:rsid w:val="00B37AF3"/>
    <w:rsid w:val="00B62B41"/>
    <w:rsid w:val="00B62D6D"/>
    <w:rsid w:val="00B7029A"/>
    <w:rsid w:val="00B76B65"/>
    <w:rsid w:val="00B81D0F"/>
    <w:rsid w:val="00B9407A"/>
    <w:rsid w:val="00B94A82"/>
    <w:rsid w:val="00BA1043"/>
    <w:rsid w:val="00BA1F8D"/>
    <w:rsid w:val="00BB48C3"/>
    <w:rsid w:val="00BC5EF3"/>
    <w:rsid w:val="00BC6559"/>
    <w:rsid w:val="00BD02DC"/>
    <w:rsid w:val="00BD12DE"/>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B6D27"/>
    <w:rsid w:val="00CC3545"/>
    <w:rsid w:val="00CC4D4C"/>
    <w:rsid w:val="00CD7466"/>
    <w:rsid w:val="00D07428"/>
    <w:rsid w:val="00D45E8D"/>
    <w:rsid w:val="00D5137E"/>
    <w:rsid w:val="00D541F5"/>
    <w:rsid w:val="00D57576"/>
    <w:rsid w:val="00D67D40"/>
    <w:rsid w:val="00D87063"/>
    <w:rsid w:val="00D93BFA"/>
    <w:rsid w:val="00D94BA9"/>
    <w:rsid w:val="00D96F41"/>
    <w:rsid w:val="00DA2C77"/>
    <w:rsid w:val="00DA392A"/>
    <w:rsid w:val="00DB4F09"/>
    <w:rsid w:val="00DC06BE"/>
    <w:rsid w:val="00DC548E"/>
    <w:rsid w:val="00DE4645"/>
    <w:rsid w:val="00E050B8"/>
    <w:rsid w:val="00E07D1D"/>
    <w:rsid w:val="00E127B4"/>
    <w:rsid w:val="00E1474B"/>
    <w:rsid w:val="00E17A4A"/>
    <w:rsid w:val="00E24D0B"/>
    <w:rsid w:val="00E31798"/>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4F81"/>
    <w:rsid w:val="00ED6DE4"/>
    <w:rsid w:val="00EF1BEF"/>
    <w:rsid w:val="00F14DB2"/>
    <w:rsid w:val="00F27A91"/>
    <w:rsid w:val="00F31A51"/>
    <w:rsid w:val="00F3789D"/>
    <w:rsid w:val="00F40861"/>
    <w:rsid w:val="00F52D95"/>
    <w:rsid w:val="00F64234"/>
    <w:rsid w:val="00F676E4"/>
    <w:rsid w:val="00F71757"/>
    <w:rsid w:val="00F91630"/>
    <w:rsid w:val="00FE0A76"/>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63A3"/>
    <w:rPr>
      <w:sz w:val="16"/>
      <w:szCs w:val="16"/>
    </w:rPr>
  </w:style>
  <w:style w:type="paragraph" w:styleId="CommentText">
    <w:name w:val="annotation text"/>
    <w:basedOn w:val="Normal"/>
    <w:link w:val="CommentTextChar"/>
    <w:uiPriority w:val="99"/>
    <w:semiHidden/>
    <w:unhideWhenUsed/>
    <w:rsid w:val="006763A3"/>
    <w:pPr>
      <w:spacing w:line="240" w:lineRule="auto"/>
    </w:pPr>
    <w:rPr>
      <w:sz w:val="20"/>
      <w:szCs w:val="20"/>
    </w:rPr>
  </w:style>
  <w:style w:type="character" w:customStyle="1" w:styleId="CommentTextChar">
    <w:name w:val="Comment Text Char"/>
    <w:basedOn w:val="DefaultParagraphFont"/>
    <w:link w:val="CommentText"/>
    <w:uiPriority w:val="99"/>
    <w:semiHidden/>
    <w:rsid w:val="006763A3"/>
    <w:rPr>
      <w:sz w:val="20"/>
      <w:szCs w:val="20"/>
    </w:rPr>
  </w:style>
  <w:style w:type="paragraph" w:styleId="CommentSubject">
    <w:name w:val="annotation subject"/>
    <w:basedOn w:val="CommentText"/>
    <w:next w:val="CommentText"/>
    <w:link w:val="CommentSubjectChar"/>
    <w:uiPriority w:val="99"/>
    <w:semiHidden/>
    <w:unhideWhenUsed/>
    <w:rsid w:val="006763A3"/>
    <w:rPr>
      <w:b/>
      <w:bCs/>
    </w:rPr>
  </w:style>
  <w:style w:type="character" w:customStyle="1" w:styleId="CommentSubjectChar">
    <w:name w:val="Comment Subject Char"/>
    <w:basedOn w:val="CommentTextChar"/>
    <w:link w:val="CommentSubject"/>
    <w:uiPriority w:val="99"/>
    <w:semiHidden/>
    <w:rsid w:val="006763A3"/>
    <w:rPr>
      <w:b/>
      <w:bCs/>
      <w:sz w:val="20"/>
      <w:szCs w:val="20"/>
    </w:rPr>
  </w:style>
  <w:style w:type="paragraph" w:styleId="Revision">
    <w:name w:val="Revision"/>
    <w:hidden/>
    <w:uiPriority w:val="99"/>
    <w:semiHidden/>
    <w:rsid w:val="007029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1635</Characters>
  <Application>Microsoft Office Word</Application>
  <DocSecurity>0</DocSecurity>
  <Lines>272</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2019-02-10T22:03:00Z</dcterms:created>
  <dcterms:modified xsi:type="dcterms:W3CDTF">2019-09-25T05:31:00Z</dcterms:modified>
</cp:coreProperties>
</file>