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B9" w:rsidRPr="00AC5E09" w:rsidRDefault="002C2686" w:rsidP="00296E70">
      <w:pPr>
        <w:ind w:firstLine="0"/>
        <w:jc w:val="center"/>
      </w:pPr>
      <w:r>
        <w:pict>
          <v:shape id="_x0000_i1025" style="width:108.3pt;height:78.9pt" coordsize="21600,21600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B973B9" w:rsidRPr="00AC5E09" w:rsidRDefault="00FB5EC1" w:rsidP="00296E70">
      <w:pPr>
        <w:pStyle w:val="Title"/>
      </w:pPr>
      <w:r w:rsidRPr="00AC5E09">
        <w:t>Justices (Long Leave Payments)</w:t>
      </w:r>
      <w:r w:rsidR="002B6DDD">
        <w:t xml:space="preserve"> </w:t>
      </w:r>
      <w:r w:rsidRPr="00AC5E09">
        <w:t>Amendment Act 1985</w:t>
      </w:r>
    </w:p>
    <w:p w:rsidR="00B973B9" w:rsidRDefault="00AC5E09" w:rsidP="00296E70">
      <w:pPr>
        <w:pStyle w:val="Subtitle"/>
      </w:pPr>
      <w:r w:rsidRPr="00AC5E09">
        <w:t>No. 1 of 1985</w:t>
      </w:r>
    </w:p>
    <w:p w:rsidR="00296E70" w:rsidRDefault="00296E70" w:rsidP="00296E70">
      <w:pPr>
        <w:ind w:firstLine="0"/>
      </w:pPr>
      <w:bookmarkStart w:id="0" w:name="_GoBack"/>
      <w:bookmarkEnd w:id="0"/>
    </w:p>
    <w:p w:rsidR="00296E70" w:rsidRDefault="00296E70" w:rsidP="00296E70">
      <w:pPr>
        <w:pBdr>
          <w:bottom w:val="thickThinSmallGap" w:sz="24" w:space="1" w:color="auto"/>
        </w:pBdr>
        <w:ind w:firstLine="0"/>
      </w:pPr>
    </w:p>
    <w:p w:rsidR="00296E70" w:rsidRDefault="00296E70" w:rsidP="00296E70">
      <w:pPr>
        <w:ind w:firstLine="0"/>
      </w:pPr>
    </w:p>
    <w:p w:rsidR="00296E70" w:rsidRPr="00296E70" w:rsidRDefault="00296E70" w:rsidP="00296E70">
      <w:pPr>
        <w:ind w:firstLine="0"/>
      </w:pPr>
    </w:p>
    <w:p w:rsidR="00B973B9" w:rsidRPr="00C86789" w:rsidRDefault="00FB5EC1" w:rsidP="00296E70">
      <w:pPr>
        <w:pStyle w:val="intro"/>
        <w:rPr>
          <w:i/>
        </w:rPr>
      </w:pPr>
      <w:r w:rsidRPr="00AC5E09">
        <w:t xml:space="preserve">An Act to amend the </w:t>
      </w:r>
      <w:r w:rsidRPr="00C86789">
        <w:rPr>
          <w:i/>
        </w:rPr>
        <w:t>High Court Justices (Long Leave Payments) Act 1979 and the Judges (Long Leave Payments)</w:t>
      </w:r>
      <w:r w:rsidR="00296E70" w:rsidRPr="00C86789">
        <w:rPr>
          <w:i/>
        </w:rPr>
        <w:t xml:space="preserve"> </w:t>
      </w:r>
      <w:r w:rsidRPr="00C86789">
        <w:rPr>
          <w:i/>
        </w:rPr>
        <w:t>Act 1979</w:t>
      </w:r>
    </w:p>
    <w:p w:rsidR="00B973B9" w:rsidRPr="00AC5E09" w:rsidRDefault="00FB5EC1" w:rsidP="00296E70">
      <w:pPr>
        <w:pStyle w:val="introright"/>
      </w:pPr>
      <w:r w:rsidRPr="004C5EDE">
        <w:rPr>
          <w:i w:val="0"/>
        </w:rPr>
        <w:t>[</w:t>
      </w:r>
      <w:r w:rsidRPr="00AC5E09">
        <w:t>Assented to 14 March 1985</w:t>
      </w:r>
      <w:r w:rsidRPr="004C5EDE">
        <w:rPr>
          <w:i w:val="0"/>
        </w:rPr>
        <w:t>]</w:t>
      </w:r>
    </w:p>
    <w:p w:rsidR="00B973B9" w:rsidRPr="00AC5E09" w:rsidRDefault="00AC5E09" w:rsidP="00296E70">
      <w:pPr>
        <w:pStyle w:val="intro1"/>
      </w:pPr>
      <w:r w:rsidRPr="00AC5E09">
        <w:t>BE IT ENACTED by the Queen, and the Senate and the House of Representatives of the Commonwealth of Australia, as follows:</w:t>
      </w:r>
    </w:p>
    <w:p w:rsidR="00B973B9" w:rsidRPr="00AC5E09" w:rsidRDefault="00AC5E09" w:rsidP="00296E70">
      <w:pPr>
        <w:pStyle w:val="Heading1"/>
      </w:pPr>
      <w:r w:rsidRPr="00AC5E09">
        <w:t>PART I—PRELIMINARY</w:t>
      </w:r>
    </w:p>
    <w:p w:rsidR="00B973B9" w:rsidRPr="00AC5E09" w:rsidRDefault="00AC5E09" w:rsidP="00296E70">
      <w:pPr>
        <w:pStyle w:val="heading"/>
      </w:pPr>
      <w:r w:rsidRPr="00AC5E09">
        <w:t>Short title</w:t>
      </w:r>
    </w:p>
    <w:p w:rsidR="00B973B9" w:rsidRPr="00AC5E09" w:rsidRDefault="00AC5E09" w:rsidP="00FE674A">
      <w:r w:rsidRPr="00296E70">
        <w:rPr>
          <w:b/>
        </w:rPr>
        <w:t>1.</w:t>
      </w:r>
      <w:r w:rsidRPr="00AC5E09">
        <w:t xml:space="preserve"> This Act may be cited as the </w:t>
      </w:r>
      <w:r w:rsidR="00FB5EC1" w:rsidRPr="00AC5E09">
        <w:rPr>
          <w:i/>
        </w:rPr>
        <w:t>Justices (Long Leave Payments) Amendment Act 1985.</w:t>
      </w:r>
    </w:p>
    <w:p w:rsidR="00B973B9" w:rsidRPr="00AC5E09" w:rsidRDefault="00AC5E09" w:rsidP="00296E70">
      <w:pPr>
        <w:pStyle w:val="heading"/>
      </w:pPr>
      <w:r w:rsidRPr="00AC5E09">
        <w:t>Commencement</w:t>
      </w:r>
    </w:p>
    <w:p w:rsidR="00B973B9" w:rsidRPr="00AC5E09" w:rsidRDefault="00FB5EC1" w:rsidP="00FE674A">
      <w:r w:rsidRPr="00AC5E09">
        <w:rPr>
          <w:b/>
        </w:rPr>
        <w:t>2.</w:t>
      </w:r>
      <w:r w:rsidR="00AC5E09" w:rsidRPr="00AC5E09">
        <w:t xml:space="preserve"> This Act shall come into operation on the day on which it receives the Royal Assent.</w:t>
      </w:r>
    </w:p>
    <w:p w:rsidR="00B973B9" w:rsidRPr="00AC5E09" w:rsidRDefault="00AC5E09" w:rsidP="00296E70">
      <w:pPr>
        <w:pStyle w:val="Heading1"/>
      </w:pPr>
      <w:r w:rsidRPr="00AC5E09">
        <w:t>PART II—AMENDMENTS OF THE HIGH COURT JUSTICES (LONG LEAVE PAYMENTS) ACT 1979</w:t>
      </w:r>
    </w:p>
    <w:p w:rsidR="00B973B9" w:rsidRPr="00AC5E09" w:rsidRDefault="00AC5E09" w:rsidP="00296E70">
      <w:pPr>
        <w:pStyle w:val="heading"/>
      </w:pPr>
      <w:r w:rsidRPr="00AC5E09">
        <w:t>Principal Act</w:t>
      </w:r>
    </w:p>
    <w:p w:rsidR="009E523F" w:rsidRPr="00AC5E09" w:rsidRDefault="00FB5EC1" w:rsidP="00FE674A">
      <w:r w:rsidRPr="00AC5E09">
        <w:rPr>
          <w:b/>
        </w:rPr>
        <w:t>3.</w:t>
      </w:r>
      <w:r w:rsidR="00AC5E09" w:rsidRPr="00AC5E09">
        <w:t xml:space="preserve"> The </w:t>
      </w:r>
      <w:r w:rsidRPr="00AC5E09">
        <w:rPr>
          <w:i/>
        </w:rPr>
        <w:t>High Court Justices (Long Leave Payments) Act 1979</w:t>
      </w:r>
      <w:r w:rsidRPr="00AC5E09">
        <w:rPr>
          <w:vertAlign w:val="superscript"/>
        </w:rPr>
        <w:t>1</w:t>
      </w:r>
      <w:r w:rsidRPr="00AC5E09">
        <w:rPr>
          <w:i/>
        </w:rPr>
        <w:t xml:space="preserve"> </w:t>
      </w:r>
      <w:r w:rsidR="00AC5E09" w:rsidRPr="00AC5E09">
        <w:t>is in this Part referred to as the Principal Act.</w:t>
      </w:r>
      <w:r w:rsidR="009E523F" w:rsidRPr="00AC5E09">
        <w:br w:type="page"/>
      </w:r>
    </w:p>
    <w:p w:rsidR="00B973B9" w:rsidRPr="00AC5E09" w:rsidRDefault="00AC5E09" w:rsidP="00296E70">
      <w:pPr>
        <w:pStyle w:val="heading"/>
      </w:pPr>
      <w:r w:rsidRPr="00AC5E09">
        <w:lastRenderedPageBreak/>
        <w:t>Payment on retirement or death of Justice</w:t>
      </w:r>
    </w:p>
    <w:p w:rsidR="00B973B9" w:rsidRPr="00AC5E09" w:rsidRDefault="00FB5EC1" w:rsidP="00FE674A">
      <w:r w:rsidRPr="00AC5E09">
        <w:rPr>
          <w:b/>
        </w:rPr>
        <w:t>4.</w:t>
      </w:r>
      <w:r w:rsidR="00AC5E09" w:rsidRPr="00AC5E09">
        <w:t xml:space="preserve"> Section </w:t>
      </w:r>
      <w:r w:rsidRPr="00AC5E09">
        <w:rPr>
          <w:smallCaps/>
        </w:rPr>
        <w:t xml:space="preserve">4 </w:t>
      </w:r>
      <w:r w:rsidR="00AC5E09" w:rsidRPr="00AC5E09">
        <w:t xml:space="preserve">of the Principal Act is amended by inserting after sub-section </w:t>
      </w:r>
      <w:r w:rsidRPr="00AC5E09">
        <w:rPr>
          <w:smallCaps/>
        </w:rPr>
        <w:t xml:space="preserve">(2) </w:t>
      </w:r>
      <w:r w:rsidR="00AC5E09" w:rsidRPr="00AC5E09">
        <w:t>the following sub-sections:</w:t>
      </w:r>
    </w:p>
    <w:p w:rsidR="00B973B9" w:rsidRPr="00AC5E09" w:rsidRDefault="009E523F" w:rsidP="00FE674A">
      <w:r w:rsidRPr="00AC5E09">
        <w:rPr>
          <w:smallCaps/>
        </w:rPr>
        <w:t>“</w:t>
      </w:r>
      <w:r w:rsidR="00FB5EC1" w:rsidRPr="00AC5E09">
        <w:rPr>
          <w:smallCaps/>
        </w:rPr>
        <w:t xml:space="preserve">(2a) </w:t>
      </w:r>
      <w:r w:rsidR="00AC5E09" w:rsidRPr="00AC5E09">
        <w:t>Where—</w:t>
      </w:r>
    </w:p>
    <w:p w:rsidR="00B973B9" w:rsidRPr="00AC5E09" w:rsidRDefault="00AC5E09" w:rsidP="00296E70">
      <w:pPr>
        <w:pStyle w:val="list1"/>
      </w:pPr>
      <w:r w:rsidRPr="00AC5E09">
        <w:t>(a) a Justice (not being a Justice to whom sub-</w:t>
      </w:r>
      <w:r w:rsidRPr="00296E70">
        <w:t xml:space="preserve">section </w:t>
      </w:r>
      <w:r w:rsidR="00FB5EC1" w:rsidRPr="00296E70">
        <w:t>(1)</w:t>
      </w:r>
      <w:r w:rsidR="00FB5EC1" w:rsidRPr="00AC5E09">
        <w:rPr>
          <w:b/>
        </w:rPr>
        <w:t xml:space="preserve"> </w:t>
      </w:r>
      <w:r w:rsidRPr="00AC5E09">
        <w:t>applies) is to cease to hold office as a Justice upon attaining a particular age, and the Justice ceases to be a Justice upon attaining that age; and</w:t>
      </w:r>
    </w:p>
    <w:p w:rsidR="00B973B9" w:rsidRPr="00AC5E09" w:rsidRDefault="00AC5E09" w:rsidP="00296E70">
      <w:pPr>
        <w:pStyle w:val="list1"/>
      </w:pPr>
      <w:r w:rsidRPr="00AC5E09">
        <w:t>(b) at the time of the Justice</w:t>
      </w:r>
      <w:r w:rsidR="009E523F" w:rsidRPr="00AC5E09">
        <w:t>’</w:t>
      </w:r>
      <w:r w:rsidRPr="00AC5E09">
        <w:t>s so ceasing, the period of his or her service as a Justice was not less than 6 years,</w:t>
      </w:r>
    </w:p>
    <w:p w:rsidR="00B973B9" w:rsidRPr="00AC5E09" w:rsidRDefault="00AC5E09" w:rsidP="00296E70">
      <w:pPr>
        <w:ind w:firstLine="0"/>
      </w:pPr>
      <w:r w:rsidRPr="00AC5E09">
        <w:t xml:space="preserve">an amount calculated in accordance with sub-section </w:t>
      </w:r>
      <w:r w:rsidR="00FB5EC1" w:rsidRPr="00AC5E09">
        <w:rPr>
          <w:smallCaps/>
        </w:rPr>
        <w:t xml:space="preserve">(2c) </w:t>
      </w:r>
      <w:r w:rsidRPr="00AC5E09">
        <w:t>is payable in accordance with this Act.</w:t>
      </w:r>
    </w:p>
    <w:p w:rsidR="00B973B9" w:rsidRPr="00AC5E09" w:rsidRDefault="009E523F" w:rsidP="00FE674A">
      <w:r w:rsidRPr="00AC5E09">
        <w:rPr>
          <w:smallCaps/>
        </w:rPr>
        <w:t>“</w:t>
      </w:r>
      <w:r w:rsidR="00FB5EC1" w:rsidRPr="00AC5E09">
        <w:rPr>
          <w:smallCaps/>
        </w:rPr>
        <w:t xml:space="preserve">(2b) </w:t>
      </w:r>
      <w:r w:rsidR="00AC5E09" w:rsidRPr="00AC5E09">
        <w:t>Where—</w:t>
      </w:r>
    </w:p>
    <w:p w:rsidR="00B973B9" w:rsidRPr="00AC5E09" w:rsidRDefault="00AC5E09" w:rsidP="00296E70">
      <w:pPr>
        <w:pStyle w:val="list1"/>
      </w:pPr>
      <w:r w:rsidRPr="00AC5E09">
        <w:t>(a) a Justice (not being a Justice to whom sub-section (1) applies) retires; and</w:t>
      </w:r>
    </w:p>
    <w:p w:rsidR="00B973B9" w:rsidRPr="00AC5E09" w:rsidRDefault="00AC5E09" w:rsidP="00296E70">
      <w:pPr>
        <w:pStyle w:val="list1"/>
      </w:pPr>
      <w:r w:rsidRPr="00AC5E09">
        <w:t xml:space="preserve">(b) the Attorney-General certifies under section 6 of the </w:t>
      </w:r>
      <w:r w:rsidR="00FB5EC1" w:rsidRPr="00AC5E09">
        <w:rPr>
          <w:i/>
        </w:rPr>
        <w:t>Judges</w:t>
      </w:r>
      <w:r w:rsidR="009E523F" w:rsidRPr="00AC5E09">
        <w:rPr>
          <w:i/>
        </w:rPr>
        <w:t>’</w:t>
      </w:r>
      <w:r w:rsidR="00FB5EC1" w:rsidRPr="00AC5E09">
        <w:rPr>
          <w:i/>
        </w:rPr>
        <w:t xml:space="preserve"> Pensions Act 1968 </w:t>
      </w:r>
      <w:r w:rsidRPr="00AC5E09">
        <w:t>that the retirement is due to permanent disability or infirmity,</w:t>
      </w:r>
    </w:p>
    <w:p w:rsidR="00B973B9" w:rsidRPr="00AC5E09" w:rsidRDefault="00AC5E09" w:rsidP="00296E70">
      <w:pPr>
        <w:ind w:firstLine="0"/>
      </w:pPr>
      <w:r w:rsidRPr="00AC5E09">
        <w:t xml:space="preserve">an amount calculated in accordance with sub-section </w:t>
      </w:r>
      <w:r w:rsidR="00FB5EC1" w:rsidRPr="00AC5E09">
        <w:rPr>
          <w:smallCaps/>
        </w:rPr>
        <w:t xml:space="preserve">(2c) </w:t>
      </w:r>
      <w:r w:rsidRPr="00AC5E09">
        <w:t>is payable in accordance with this Act.</w:t>
      </w:r>
    </w:p>
    <w:p w:rsidR="00B973B9" w:rsidRPr="00AC5E09" w:rsidRDefault="009E523F" w:rsidP="00FE674A">
      <w:r w:rsidRPr="00AC5E09">
        <w:rPr>
          <w:smallCaps/>
        </w:rPr>
        <w:t>“</w:t>
      </w:r>
      <w:r w:rsidR="00FB5EC1" w:rsidRPr="00AC5E09">
        <w:rPr>
          <w:smallCaps/>
        </w:rPr>
        <w:t xml:space="preserve">(2c) </w:t>
      </w:r>
      <w:r w:rsidR="00AC5E09" w:rsidRPr="00AC5E09">
        <w:t xml:space="preserve">The amount payable under sub-section </w:t>
      </w:r>
      <w:r w:rsidR="00FB5EC1" w:rsidRPr="00AC5E09">
        <w:rPr>
          <w:smallCaps/>
        </w:rPr>
        <w:t xml:space="preserve">(2a) </w:t>
      </w:r>
      <w:r w:rsidR="00AC5E09" w:rsidRPr="00AC5E09">
        <w:t xml:space="preserve">or </w:t>
      </w:r>
      <w:r w:rsidR="00FB5EC1" w:rsidRPr="00AC5E09">
        <w:rPr>
          <w:smallCaps/>
        </w:rPr>
        <w:t xml:space="preserve">(2b) </w:t>
      </w:r>
      <w:r w:rsidR="00AC5E09" w:rsidRPr="00AC5E09">
        <w:t xml:space="preserve">in respect of a Justice is an amount equal to the judicial salary of the Justice for a period of weeks calculated at the rate of </w:t>
      </w:r>
      <w:r w:rsidR="00FB5EC1" w:rsidRPr="00AC5E09">
        <w:rPr>
          <w:smallCaps/>
        </w:rPr>
        <w:t xml:space="preserve">5.2 </w:t>
      </w:r>
      <w:r w:rsidR="00AC5E09" w:rsidRPr="00AC5E09">
        <w:t>weeks for each completed year of the Justice</w:t>
      </w:r>
      <w:r w:rsidRPr="00AC5E09">
        <w:t>’</w:t>
      </w:r>
      <w:r w:rsidR="00AC5E09" w:rsidRPr="00AC5E09">
        <w:t>s qualifying service.</w:t>
      </w:r>
      <w:r w:rsidRPr="00AC5E09">
        <w:t>”</w:t>
      </w:r>
      <w:r w:rsidR="00AC5E09" w:rsidRPr="00AC5E09">
        <w:t>.</w:t>
      </w:r>
    </w:p>
    <w:p w:rsidR="00B973B9" w:rsidRPr="00AC5E09" w:rsidRDefault="00AC5E09" w:rsidP="00296E70">
      <w:pPr>
        <w:pStyle w:val="heading"/>
      </w:pPr>
      <w:r w:rsidRPr="00AC5E09">
        <w:t>Formal amendments</w:t>
      </w:r>
    </w:p>
    <w:p w:rsidR="00B973B9" w:rsidRPr="00AC5E09" w:rsidRDefault="00FB5EC1" w:rsidP="00FE674A">
      <w:r w:rsidRPr="00AC5E09">
        <w:rPr>
          <w:b/>
        </w:rPr>
        <w:t>5.</w:t>
      </w:r>
      <w:r w:rsidR="00AC5E09" w:rsidRPr="00AC5E09">
        <w:t xml:space="preserve"> The Principal Act is amended as set out in Schedule 1.</w:t>
      </w:r>
    </w:p>
    <w:p w:rsidR="00B973B9" w:rsidRPr="00AC5E09" w:rsidRDefault="00AC5E09" w:rsidP="00296E70">
      <w:pPr>
        <w:pStyle w:val="Heading1"/>
      </w:pPr>
      <w:r w:rsidRPr="00AC5E09">
        <w:t>PART III—AMENDMENTS OF THE JUDGES (LONG LEAVE PAYMENTS) ACT 1979</w:t>
      </w:r>
    </w:p>
    <w:p w:rsidR="00B973B9" w:rsidRPr="00AC5E09" w:rsidRDefault="00AC5E09" w:rsidP="00296E70">
      <w:pPr>
        <w:pStyle w:val="heading"/>
      </w:pPr>
      <w:r w:rsidRPr="00AC5E09">
        <w:t>Principal Act</w:t>
      </w:r>
    </w:p>
    <w:p w:rsidR="00B973B9" w:rsidRPr="00AC5E09" w:rsidRDefault="00FB5EC1" w:rsidP="00FE674A">
      <w:r w:rsidRPr="00AC5E09">
        <w:rPr>
          <w:b/>
        </w:rPr>
        <w:t>6.</w:t>
      </w:r>
      <w:r w:rsidR="00AC5E09" w:rsidRPr="00AC5E09">
        <w:t xml:space="preserve"> The </w:t>
      </w:r>
      <w:r w:rsidRPr="00AC5E09">
        <w:rPr>
          <w:i/>
        </w:rPr>
        <w:t>Judges (Long Leave Payments) Act 1979</w:t>
      </w:r>
      <w:r w:rsidRPr="004C5EDE">
        <w:rPr>
          <w:vertAlign w:val="superscript"/>
        </w:rPr>
        <w:t>2</w:t>
      </w:r>
      <w:r w:rsidRPr="00AC5E09">
        <w:rPr>
          <w:i/>
        </w:rPr>
        <w:t xml:space="preserve"> </w:t>
      </w:r>
      <w:r w:rsidR="00AC5E09" w:rsidRPr="00AC5E09">
        <w:t>is in this Part referred to as the Principal Act.</w:t>
      </w:r>
    </w:p>
    <w:p w:rsidR="00B973B9" w:rsidRPr="00AC5E09" w:rsidRDefault="00AC5E09" w:rsidP="00296E70">
      <w:pPr>
        <w:pStyle w:val="heading"/>
      </w:pPr>
      <w:r w:rsidRPr="00AC5E09">
        <w:t>Interpretation</w:t>
      </w:r>
    </w:p>
    <w:p w:rsidR="00B973B9" w:rsidRPr="00AC5E09" w:rsidRDefault="00AC5E09" w:rsidP="00FE674A">
      <w:r w:rsidRPr="00773611">
        <w:rPr>
          <w:b/>
        </w:rPr>
        <w:t>7.</w:t>
      </w:r>
      <w:r w:rsidRPr="00AC5E09">
        <w:t xml:space="preserve"> Section 3 of the Principal Act is amended by omitting </w:t>
      </w:r>
      <w:r w:rsidR="009E523F" w:rsidRPr="00AC5E09">
        <w:t>“</w:t>
      </w:r>
      <w:r w:rsidRPr="00AC5E09">
        <w:t>an internal Territory</w:t>
      </w:r>
      <w:r w:rsidR="009E523F" w:rsidRPr="00AC5E09">
        <w:t>”</w:t>
      </w:r>
      <w:r w:rsidRPr="00AC5E09">
        <w:t xml:space="preserve"> from paragraph (a) of the definition of </w:t>
      </w:r>
      <w:r w:rsidR="009E523F" w:rsidRPr="00AC5E09">
        <w:t>“</w:t>
      </w:r>
      <w:r w:rsidRPr="00AC5E09">
        <w:t>Judge</w:t>
      </w:r>
      <w:r w:rsidR="009E523F" w:rsidRPr="00AC5E09">
        <w:t>”</w:t>
      </w:r>
      <w:r w:rsidRPr="00AC5E09">
        <w:t xml:space="preserve"> and substituting </w:t>
      </w:r>
      <w:r w:rsidR="009E523F" w:rsidRPr="00AC5E09">
        <w:t>“</w:t>
      </w:r>
      <w:r w:rsidRPr="00AC5E09">
        <w:t>the Australian Capital Territory</w:t>
      </w:r>
      <w:r w:rsidR="009E523F" w:rsidRPr="00AC5E09">
        <w:t>”</w:t>
      </w:r>
      <w:r w:rsidRPr="00AC5E09">
        <w:t>.</w:t>
      </w:r>
    </w:p>
    <w:p w:rsidR="00B973B9" w:rsidRPr="00AC5E09" w:rsidRDefault="00AC5E09" w:rsidP="00296E70">
      <w:pPr>
        <w:pStyle w:val="heading"/>
      </w:pPr>
      <w:r w:rsidRPr="00AC5E09">
        <w:t>Payment on retirement or death of Judge</w:t>
      </w:r>
    </w:p>
    <w:p w:rsidR="00B973B9" w:rsidRPr="00AC5E09" w:rsidRDefault="00FB5EC1" w:rsidP="00FE674A">
      <w:r w:rsidRPr="00AC5E09">
        <w:rPr>
          <w:b/>
        </w:rPr>
        <w:t>8.</w:t>
      </w:r>
      <w:r w:rsidR="00AC5E09" w:rsidRPr="00AC5E09">
        <w:t xml:space="preserve"> Section </w:t>
      </w:r>
      <w:r w:rsidRPr="00AC5E09">
        <w:rPr>
          <w:smallCaps/>
        </w:rPr>
        <w:t xml:space="preserve">4 </w:t>
      </w:r>
      <w:r w:rsidR="00AC5E09" w:rsidRPr="00AC5E09">
        <w:t xml:space="preserve">of the Principal Act is amended by inserting after sub-section </w:t>
      </w:r>
      <w:r w:rsidRPr="00AC5E09">
        <w:rPr>
          <w:smallCaps/>
        </w:rPr>
        <w:t xml:space="preserve">(2) </w:t>
      </w:r>
      <w:r w:rsidR="00AC5E09" w:rsidRPr="00AC5E09">
        <w:t>the following sub-sections:</w:t>
      </w:r>
    </w:p>
    <w:p w:rsidR="00B973B9" w:rsidRPr="00AC5E09" w:rsidRDefault="009E523F" w:rsidP="00FE674A">
      <w:r w:rsidRPr="00AC5E09">
        <w:rPr>
          <w:smallCaps/>
        </w:rPr>
        <w:t>“</w:t>
      </w:r>
      <w:r w:rsidR="00FB5EC1" w:rsidRPr="00AC5E09">
        <w:rPr>
          <w:smallCaps/>
        </w:rPr>
        <w:t xml:space="preserve">(2a) </w:t>
      </w:r>
      <w:r w:rsidR="00AC5E09" w:rsidRPr="00AC5E09">
        <w:t>Where—</w:t>
      </w:r>
    </w:p>
    <w:p w:rsidR="009E523F" w:rsidRPr="00AC5E09" w:rsidRDefault="00AC5E09" w:rsidP="004C5EDE">
      <w:pPr>
        <w:pStyle w:val="list1"/>
      </w:pPr>
      <w:r w:rsidRPr="00AC5E09">
        <w:t>(a) a Judge (not being a Judge to whom sub-section (1) applies) is to cease to hold office as a Judge upon attaining a particular age, and the Judge ceases to be a Judge upon attaining that age; and</w:t>
      </w:r>
      <w:r w:rsidR="009E523F" w:rsidRPr="00AC5E09">
        <w:br w:type="page"/>
      </w:r>
    </w:p>
    <w:p w:rsidR="004C5EDE" w:rsidRDefault="004C5EDE" w:rsidP="004C5EDE">
      <w:pPr>
        <w:pStyle w:val="list1"/>
      </w:pPr>
      <w:r w:rsidRPr="004C5EDE">
        <w:lastRenderedPageBreak/>
        <w:t>(b) at the time of the Judge’s so ceasing, the period of his or her service as a Judge was not less than 6 years,</w:t>
      </w:r>
    </w:p>
    <w:p w:rsidR="004C5EDE" w:rsidRPr="004C5EDE" w:rsidRDefault="004C5EDE" w:rsidP="004C5EDE">
      <w:pPr>
        <w:pStyle w:val="nonindent"/>
      </w:pPr>
      <w:r w:rsidRPr="004C5EDE">
        <w:t>an amount calculated in accordance with sub-section (2</w:t>
      </w:r>
      <w:r w:rsidRPr="004C5EDE">
        <w:rPr>
          <w:smallCaps/>
        </w:rPr>
        <w:t>c</w:t>
      </w:r>
      <w:r w:rsidRPr="004C5EDE">
        <w:t>) is payable in accordance with this Act.</w:t>
      </w:r>
    </w:p>
    <w:p w:rsidR="004C5EDE" w:rsidRPr="004C5EDE" w:rsidRDefault="004C5EDE" w:rsidP="004C5EDE">
      <w:r w:rsidRPr="004C5EDE">
        <w:t>“(2</w:t>
      </w:r>
      <w:r w:rsidRPr="004C5EDE">
        <w:rPr>
          <w:smallCaps/>
        </w:rPr>
        <w:t>b</w:t>
      </w:r>
      <w:r w:rsidRPr="004C5EDE">
        <w:t>) Where—</w:t>
      </w:r>
    </w:p>
    <w:p w:rsidR="004C5EDE" w:rsidRPr="004C5EDE" w:rsidRDefault="004C5EDE" w:rsidP="004C5EDE">
      <w:pPr>
        <w:pStyle w:val="list1"/>
      </w:pPr>
      <w:r w:rsidRPr="004C5EDE">
        <w:t>(a) a Judge (not being a Judge to whom sub-section (1) applies) retires; and</w:t>
      </w:r>
    </w:p>
    <w:p w:rsidR="004C5EDE" w:rsidRPr="004C5EDE" w:rsidRDefault="004C5EDE" w:rsidP="004C5EDE">
      <w:pPr>
        <w:pStyle w:val="list1"/>
      </w:pPr>
      <w:r w:rsidRPr="004C5EDE">
        <w:t xml:space="preserve">(b) the Attorney-General certifies under section 6 of the </w:t>
      </w:r>
      <w:r w:rsidRPr="004C5EDE">
        <w:rPr>
          <w:i/>
        </w:rPr>
        <w:t xml:space="preserve">Judges’ Pensions Act 1968 </w:t>
      </w:r>
      <w:r w:rsidRPr="004C5EDE">
        <w:t>that the retirement is due to permanent disability or infirmity,</w:t>
      </w:r>
    </w:p>
    <w:p w:rsidR="004C5EDE" w:rsidRPr="004C5EDE" w:rsidRDefault="004C5EDE" w:rsidP="004C5EDE">
      <w:pPr>
        <w:ind w:firstLine="0"/>
      </w:pPr>
      <w:r w:rsidRPr="004C5EDE">
        <w:t>an amount calculated in accordance with sub-section (2</w:t>
      </w:r>
      <w:r w:rsidRPr="004C5EDE">
        <w:rPr>
          <w:smallCaps/>
        </w:rPr>
        <w:t>c</w:t>
      </w:r>
      <w:r w:rsidRPr="004C5EDE">
        <w:t>) is payable in accordance with this Act.</w:t>
      </w:r>
    </w:p>
    <w:p w:rsidR="004C5EDE" w:rsidRPr="004C5EDE" w:rsidRDefault="004C5EDE" w:rsidP="004C5EDE">
      <w:r w:rsidRPr="004C5EDE">
        <w:t>“(2</w:t>
      </w:r>
      <w:r w:rsidRPr="004C5EDE">
        <w:rPr>
          <w:smallCaps/>
        </w:rPr>
        <w:t>c</w:t>
      </w:r>
      <w:r w:rsidRPr="004C5EDE">
        <w:t>) The amount payable under sub-section (2</w:t>
      </w:r>
      <w:r w:rsidRPr="004C5EDE">
        <w:rPr>
          <w:smallCaps/>
        </w:rPr>
        <w:t>a</w:t>
      </w:r>
      <w:r w:rsidRPr="004C5EDE">
        <w:t>) or (2</w:t>
      </w:r>
      <w:r w:rsidRPr="004C5EDE">
        <w:rPr>
          <w:smallCaps/>
        </w:rPr>
        <w:t>b</w:t>
      </w:r>
      <w:r w:rsidRPr="004C5EDE">
        <w:t>) in respect of a Judge is an amount equal to the judicial salary of the Judge for a period of weeks calculated at the rate of 5.2 weeks for each completed year of the Judge’s qualifying service.”.</w:t>
      </w:r>
    </w:p>
    <w:p w:rsidR="004C5EDE" w:rsidRPr="004C5EDE" w:rsidRDefault="004C5EDE" w:rsidP="004C5EDE">
      <w:pPr>
        <w:pStyle w:val="heading"/>
      </w:pPr>
      <w:r w:rsidRPr="004C5EDE">
        <w:t>Formal amendments</w:t>
      </w:r>
    </w:p>
    <w:p w:rsidR="004C5EDE" w:rsidRPr="004C5EDE" w:rsidRDefault="004C5EDE" w:rsidP="004C5EDE">
      <w:r w:rsidRPr="004C5EDE">
        <w:rPr>
          <w:b/>
        </w:rPr>
        <w:t>9.</w:t>
      </w:r>
      <w:r w:rsidRPr="004C5EDE">
        <w:t xml:space="preserve"> The Principal Act is amended as set out in Schedule 2.</w:t>
      </w:r>
    </w:p>
    <w:p w:rsidR="004C5EDE" w:rsidRDefault="004C5EDE" w:rsidP="004C5EDE">
      <w:pPr>
        <w:pBdr>
          <w:bottom w:val="single" w:sz="12" w:space="1" w:color="auto"/>
        </w:pBdr>
        <w:ind w:left="2880" w:right="2880" w:firstLine="0"/>
      </w:pPr>
    </w:p>
    <w:p w:rsidR="00B973B9" w:rsidRPr="004C5EDE" w:rsidRDefault="00AC5E09" w:rsidP="000305B0">
      <w:pPr>
        <w:tabs>
          <w:tab w:val="left" w:pos="3420"/>
        </w:tabs>
        <w:ind w:firstLine="0"/>
        <w:jc w:val="right"/>
      </w:pPr>
      <w:r w:rsidRPr="004C5EDE">
        <w:t xml:space="preserve">SCHEDULE </w:t>
      </w:r>
      <w:r w:rsidR="00FB5EC1" w:rsidRPr="004C5EDE">
        <w:t>1</w:t>
      </w:r>
      <w:r w:rsidR="000305B0">
        <w:tab/>
      </w:r>
      <w:r w:rsidR="00FB5EC1" w:rsidRPr="004C5EDE">
        <w:t>Section 5</w:t>
      </w:r>
    </w:p>
    <w:p w:rsidR="00B973B9" w:rsidRPr="00AC5E09" w:rsidRDefault="00AC5E09" w:rsidP="004C5EDE">
      <w:pPr>
        <w:ind w:firstLine="0"/>
        <w:jc w:val="center"/>
      </w:pPr>
      <w:r w:rsidRPr="00AC5E09">
        <w:t>FORMAL AMENDMENTS OF THE HIGH COURT JUSTICES (LONG LEAVE</w:t>
      </w:r>
      <w:r w:rsidR="004C5EDE">
        <w:t xml:space="preserve"> </w:t>
      </w:r>
      <w:r w:rsidRPr="00AC5E09">
        <w:t>PAYMENTS) ACT 1979</w:t>
      </w:r>
    </w:p>
    <w:p w:rsidR="00B973B9" w:rsidRPr="00284C7F" w:rsidRDefault="00FB5EC1" w:rsidP="00284C7F">
      <w:pPr>
        <w:pStyle w:val="heading"/>
        <w:widowControl/>
        <w:spacing w:after="0"/>
        <w:jc w:val="both"/>
        <w:rPr>
          <w:sz w:val="22"/>
        </w:rPr>
      </w:pPr>
      <w:r w:rsidRPr="00284C7F">
        <w:rPr>
          <w:sz w:val="22"/>
        </w:rPr>
        <w:t xml:space="preserve">Section 3 (definition of </w:t>
      </w:r>
      <w:r w:rsidR="009E523F" w:rsidRPr="00284C7F">
        <w:rPr>
          <w:sz w:val="22"/>
        </w:rPr>
        <w:t>“</w:t>
      </w:r>
      <w:r w:rsidRPr="00284C7F">
        <w:rPr>
          <w:sz w:val="22"/>
        </w:rPr>
        <w:t>judicial salary</w:t>
      </w:r>
      <w:r w:rsidR="009E523F" w:rsidRPr="00284C7F">
        <w:rPr>
          <w:sz w:val="22"/>
        </w:rPr>
        <w:t>”</w:t>
      </w:r>
      <w:r w:rsidRPr="00284C7F">
        <w:rPr>
          <w:sz w:val="22"/>
        </w:rPr>
        <w:t>)—</w:t>
      </w:r>
    </w:p>
    <w:p w:rsidR="00B973B9" w:rsidRPr="00AC5E09" w:rsidRDefault="00AC5E09" w:rsidP="00FE674A">
      <w:r w:rsidRPr="00AC5E09">
        <w:t xml:space="preserve">Omit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substitute </w:t>
      </w:r>
      <w:r w:rsidR="009E523F" w:rsidRPr="00AC5E09">
        <w:t>“</w:t>
      </w:r>
      <w:r w:rsidRPr="00AC5E09">
        <w:t>the Justice</w:t>
      </w:r>
      <w:r w:rsidR="009E523F" w:rsidRPr="00AC5E09">
        <w:t>’</w:t>
      </w:r>
      <w:r w:rsidRPr="00AC5E09">
        <w:t>s</w:t>
      </w:r>
      <w:r w:rsidR="009E523F" w:rsidRPr="00AC5E09">
        <w:t>”</w:t>
      </w:r>
      <w:r w:rsidRPr="00AC5E09">
        <w:t>.</w:t>
      </w:r>
    </w:p>
    <w:p w:rsidR="004C5EDE" w:rsidRPr="00284C7F" w:rsidRDefault="00FB5EC1" w:rsidP="00284C7F">
      <w:pPr>
        <w:pStyle w:val="heading"/>
        <w:widowControl/>
        <w:spacing w:after="0"/>
        <w:jc w:val="both"/>
        <w:rPr>
          <w:sz w:val="22"/>
        </w:rPr>
      </w:pPr>
      <w:r w:rsidRPr="00284C7F">
        <w:rPr>
          <w:sz w:val="22"/>
        </w:rPr>
        <w:t>Paragraph 4 (1) (by</w:t>
      </w:r>
      <w:r w:rsidR="004C5EDE" w:rsidRPr="00284C7F">
        <w:rPr>
          <w:sz w:val="22"/>
        </w:rPr>
        <w:t>—</w:t>
      </w:r>
    </w:p>
    <w:p w:rsidR="00B973B9" w:rsidRPr="00AC5E09" w:rsidRDefault="00AC5E09" w:rsidP="00FE674A">
      <w:r w:rsidRPr="00AC5E09">
        <w:t xml:space="preserve">After </w:t>
      </w:r>
      <w:r w:rsidR="009E523F" w:rsidRPr="00AC5E09">
        <w:t>“</w:t>
      </w:r>
      <w:r w:rsidRPr="00AC5E09">
        <w:t>he</w:t>
      </w:r>
      <w:r w:rsidR="009E523F" w:rsidRPr="00AC5E09">
        <w:t>”</w:t>
      </w:r>
      <w:r w:rsidRPr="00AC5E09">
        <w:t xml:space="preserve">, insert </w:t>
      </w:r>
      <w:r w:rsidR="009E523F" w:rsidRPr="00AC5E09">
        <w:t>“</w:t>
      </w:r>
      <w:r w:rsidRPr="00AC5E09">
        <w:t>or she</w:t>
      </w:r>
      <w:r w:rsidR="009E523F" w:rsidRPr="00AC5E09">
        <w:t>”</w:t>
      </w:r>
      <w:r w:rsidRPr="00AC5E09">
        <w:t>.</w:t>
      </w:r>
    </w:p>
    <w:p w:rsidR="00B973B9" w:rsidRPr="00284C7F" w:rsidRDefault="00FB5EC1" w:rsidP="00284C7F">
      <w:pPr>
        <w:pStyle w:val="heading"/>
        <w:widowControl/>
        <w:spacing w:after="0"/>
        <w:jc w:val="both"/>
        <w:rPr>
          <w:sz w:val="22"/>
        </w:rPr>
      </w:pPr>
      <w:r w:rsidRPr="00284C7F">
        <w:rPr>
          <w:sz w:val="22"/>
        </w:rPr>
        <w:t>Paragraph 4 (2) (by—</w:t>
      </w:r>
    </w:p>
    <w:p w:rsidR="00B973B9" w:rsidRPr="00AC5E09" w:rsidRDefault="00AC5E09" w:rsidP="00FE674A">
      <w:r w:rsidRPr="00AC5E09">
        <w:t xml:space="preserve">Omit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substitute </w:t>
      </w:r>
      <w:r w:rsidR="009E523F" w:rsidRPr="00AC5E09">
        <w:t>“</w:t>
      </w:r>
      <w:r w:rsidRPr="00AC5E09">
        <w:t>the Justice</w:t>
      </w:r>
      <w:r w:rsidR="009E523F" w:rsidRPr="00AC5E09">
        <w:t>’</w:t>
      </w:r>
      <w:r w:rsidRPr="00AC5E09">
        <w:t>s</w:t>
      </w:r>
      <w:r w:rsidR="009E523F" w:rsidRPr="00AC5E09">
        <w:t>”</w:t>
      </w:r>
      <w:r w:rsidRPr="00AC5E09">
        <w:t>.</w:t>
      </w:r>
    </w:p>
    <w:p w:rsidR="00B973B9" w:rsidRPr="00284C7F" w:rsidRDefault="00FB5EC1" w:rsidP="00284C7F">
      <w:pPr>
        <w:pStyle w:val="heading"/>
        <w:widowControl/>
        <w:spacing w:after="0"/>
        <w:jc w:val="both"/>
        <w:rPr>
          <w:sz w:val="22"/>
        </w:rPr>
      </w:pPr>
      <w:r w:rsidRPr="00284C7F">
        <w:rPr>
          <w:sz w:val="22"/>
        </w:rPr>
        <w:t xml:space="preserve">Sub-section 4 (3) (definition of </w:t>
      </w:r>
      <w:r w:rsidR="009E523F" w:rsidRPr="00284C7F">
        <w:rPr>
          <w:sz w:val="22"/>
        </w:rPr>
        <w:t>“</w:t>
      </w:r>
      <w:r w:rsidRPr="00284C7F">
        <w:rPr>
          <w:sz w:val="22"/>
        </w:rPr>
        <w:t>qualifying service</w:t>
      </w:r>
      <w:r w:rsidR="009E523F" w:rsidRPr="00284C7F">
        <w:rPr>
          <w:sz w:val="22"/>
        </w:rPr>
        <w:t>”</w:t>
      </w:r>
      <w:r w:rsidRPr="00284C7F">
        <w:rPr>
          <w:sz w:val="22"/>
        </w:rPr>
        <w:t>)—</w:t>
      </w:r>
    </w:p>
    <w:p w:rsidR="00B973B9" w:rsidRDefault="00AC5E09" w:rsidP="00FE674A">
      <w:r w:rsidRPr="00AC5E09">
        <w:t xml:space="preserve">After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insert </w:t>
      </w:r>
      <w:r w:rsidR="009E523F" w:rsidRPr="00AC5E09">
        <w:t>“</w:t>
      </w:r>
      <w:r w:rsidRPr="00AC5E09">
        <w:t>or her</w:t>
      </w:r>
      <w:r w:rsidR="009E523F" w:rsidRPr="00AC5E09">
        <w:t>”</w:t>
      </w:r>
      <w:r w:rsidRPr="00AC5E09">
        <w:t>.</w:t>
      </w:r>
    </w:p>
    <w:p w:rsidR="004C5EDE" w:rsidRPr="00AC5E09" w:rsidRDefault="004C5EDE" w:rsidP="004C5EDE">
      <w:pPr>
        <w:pBdr>
          <w:bottom w:val="single" w:sz="12" w:space="1" w:color="auto"/>
        </w:pBdr>
        <w:ind w:left="2880" w:right="2880" w:firstLine="0"/>
      </w:pPr>
    </w:p>
    <w:p w:rsidR="00B973B9" w:rsidRPr="004C5EDE" w:rsidRDefault="00AC5E09" w:rsidP="00A604FD">
      <w:pPr>
        <w:tabs>
          <w:tab w:val="left" w:pos="3420"/>
        </w:tabs>
        <w:ind w:firstLine="0"/>
        <w:jc w:val="right"/>
      </w:pPr>
      <w:r w:rsidRPr="00AC5E09">
        <w:t xml:space="preserve">SCHEDULE </w:t>
      </w:r>
      <w:r w:rsidR="00FB5EC1" w:rsidRPr="004C5EDE">
        <w:t>2</w:t>
      </w:r>
      <w:r w:rsidR="00A604FD">
        <w:tab/>
      </w:r>
      <w:r w:rsidR="00FB5EC1" w:rsidRPr="004C5EDE">
        <w:t>Section 9</w:t>
      </w:r>
    </w:p>
    <w:p w:rsidR="00B973B9" w:rsidRPr="00AC5E09" w:rsidRDefault="00AC5E09" w:rsidP="004C5EDE">
      <w:pPr>
        <w:ind w:firstLine="0"/>
        <w:jc w:val="center"/>
      </w:pPr>
      <w:r w:rsidRPr="00AC5E09">
        <w:t>FORMAL AMENDMENTS OF THE JUDGES (LONG LEAVE PAYMENTS)</w:t>
      </w:r>
      <w:r w:rsidR="004C5EDE">
        <w:t xml:space="preserve"> </w:t>
      </w:r>
      <w:r w:rsidRPr="00AC5E09">
        <w:t>ACT 1979</w:t>
      </w:r>
    </w:p>
    <w:p w:rsidR="00B973B9" w:rsidRPr="00390A4D" w:rsidRDefault="00AC5E09" w:rsidP="00390A4D">
      <w:pPr>
        <w:pStyle w:val="heading"/>
        <w:widowControl/>
        <w:spacing w:after="0"/>
        <w:jc w:val="both"/>
        <w:rPr>
          <w:sz w:val="22"/>
        </w:rPr>
      </w:pPr>
      <w:r w:rsidRPr="00390A4D">
        <w:rPr>
          <w:sz w:val="22"/>
        </w:rPr>
        <w:t xml:space="preserve">Section 3 (definition of </w:t>
      </w:r>
      <w:r w:rsidR="009E523F" w:rsidRPr="00390A4D">
        <w:rPr>
          <w:sz w:val="22"/>
        </w:rPr>
        <w:t>“</w:t>
      </w:r>
      <w:r w:rsidRPr="00390A4D">
        <w:rPr>
          <w:sz w:val="22"/>
        </w:rPr>
        <w:t>judicial salary</w:t>
      </w:r>
      <w:r w:rsidR="009E523F" w:rsidRPr="00390A4D">
        <w:rPr>
          <w:sz w:val="22"/>
        </w:rPr>
        <w:t>”</w:t>
      </w:r>
      <w:r w:rsidRPr="00390A4D">
        <w:rPr>
          <w:sz w:val="22"/>
        </w:rPr>
        <w:t>)—</w:t>
      </w:r>
    </w:p>
    <w:p w:rsidR="00B973B9" w:rsidRPr="00AC5E09" w:rsidRDefault="00AC5E09" w:rsidP="00FE674A">
      <w:r w:rsidRPr="00AC5E09">
        <w:t xml:space="preserve">Omit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substitute </w:t>
      </w:r>
      <w:r w:rsidR="009E523F" w:rsidRPr="00AC5E09">
        <w:t>“</w:t>
      </w:r>
      <w:r w:rsidRPr="00AC5E09">
        <w:t>the Judge</w:t>
      </w:r>
      <w:r w:rsidR="009E523F" w:rsidRPr="00AC5E09">
        <w:t>’</w:t>
      </w:r>
      <w:r w:rsidRPr="00AC5E09">
        <w:t>s</w:t>
      </w:r>
      <w:r w:rsidR="009E523F" w:rsidRPr="00AC5E09">
        <w:t>”</w:t>
      </w:r>
      <w:r w:rsidRPr="00AC5E09">
        <w:t>.</w:t>
      </w:r>
    </w:p>
    <w:p w:rsidR="009E523F" w:rsidRPr="00AC5E09" w:rsidRDefault="009E523F" w:rsidP="00FE674A">
      <w:r w:rsidRPr="00AC5E09">
        <w:br w:type="page"/>
      </w:r>
    </w:p>
    <w:p w:rsidR="00B973B9" w:rsidRPr="00AC5E09" w:rsidRDefault="00AC5E09" w:rsidP="004C5EDE">
      <w:pPr>
        <w:jc w:val="center"/>
      </w:pPr>
      <w:r w:rsidRPr="004C5EDE">
        <w:rPr>
          <w:b/>
        </w:rPr>
        <w:lastRenderedPageBreak/>
        <w:t xml:space="preserve">SCHEDULE </w:t>
      </w:r>
      <w:r w:rsidR="00FB5EC1" w:rsidRPr="004C5EDE">
        <w:rPr>
          <w:b/>
        </w:rPr>
        <w:t>2</w:t>
      </w:r>
      <w:r w:rsidR="00FB5EC1" w:rsidRPr="00AC5E09">
        <w:rPr>
          <w:b/>
        </w:rPr>
        <w:t>—</w:t>
      </w:r>
      <w:r w:rsidRPr="00AC5E09">
        <w:t>continued</w:t>
      </w:r>
    </w:p>
    <w:p w:rsidR="00B973B9" w:rsidRPr="00294C92" w:rsidRDefault="00AC5E09" w:rsidP="00294C92">
      <w:pPr>
        <w:pStyle w:val="heading"/>
        <w:widowControl/>
        <w:spacing w:after="0"/>
        <w:jc w:val="both"/>
        <w:rPr>
          <w:sz w:val="22"/>
        </w:rPr>
      </w:pPr>
      <w:r w:rsidRPr="00294C92">
        <w:rPr>
          <w:sz w:val="22"/>
        </w:rPr>
        <w:t>Paragraph 4 (1) (b)—</w:t>
      </w:r>
    </w:p>
    <w:p w:rsidR="00B973B9" w:rsidRPr="00AC5E09" w:rsidRDefault="00AC5E09" w:rsidP="00FE674A">
      <w:r w:rsidRPr="00AC5E09">
        <w:t xml:space="preserve">After </w:t>
      </w:r>
      <w:r w:rsidR="009E523F" w:rsidRPr="00AC5E09">
        <w:t>“</w:t>
      </w:r>
      <w:r w:rsidRPr="00AC5E09">
        <w:t>he</w:t>
      </w:r>
      <w:r w:rsidR="009E523F" w:rsidRPr="00AC5E09">
        <w:t>”</w:t>
      </w:r>
      <w:r w:rsidRPr="00AC5E09">
        <w:t xml:space="preserve">, insert </w:t>
      </w:r>
      <w:r w:rsidR="009E523F" w:rsidRPr="00AC5E09">
        <w:t>“</w:t>
      </w:r>
      <w:r w:rsidRPr="00AC5E09">
        <w:t>or she</w:t>
      </w:r>
      <w:r w:rsidR="009E523F" w:rsidRPr="00AC5E09">
        <w:t>”</w:t>
      </w:r>
      <w:r w:rsidRPr="00AC5E09">
        <w:t>.</w:t>
      </w:r>
    </w:p>
    <w:p w:rsidR="00B973B9" w:rsidRPr="00294C92" w:rsidRDefault="00AC5E09" w:rsidP="00294C92">
      <w:pPr>
        <w:pStyle w:val="heading"/>
        <w:widowControl/>
        <w:spacing w:after="0"/>
        <w:jc w:val="both"/>
        <w:rPr>
          <w:sz w:val="22"/>
        </w:rPr>
      </w:pPr>
      <w:r w:rsidRPr="00294C92">
        <w:rPr>
          <w:sz w:val="22"/>
        </w:rPr>
        <w:t>Paragraph 4 (2) (b)—</w:t>
      </w:r>
    </w:p>
    <w:p w:rsidR="00B973B9" w:rsidRPr="00AC5E09" w:rsidRDefault="00AC5E09" w:rsidP="00FE674A">
      <w:r w:rsidRPr="00AC5E09">
        <w:t xml:space="preserve">Omit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substitute </w:t>
      </w:r>
      <w:r w:rsidR="009E523F" w:rsidRPr="00AC5E09">
        <w:t>“</w:t>
      </w:r>
      <w:r w:rsidRPr="00AC5E09">
        <w:t>the Judge</w:t>
      </w:r>
      <w:r w:rsidR="009E523F" w:rsidRPr="00AC5E09">
        <w:t>’</w:t>
      </w:r>
      <w:r w:rsidRPr="00AC5E09">
        <w:t>s</w:t>
      </w:r>
      <w:r w:rsidR="009E523F" w:rsidRPr="00AC5E09">
        <w:t>”</w:t>
      </w:r>
      <w:r w:rsidRPr="00AC5E09">
        <w:t>.</w:t>
      </w:r>
    </w:p>
    <w:p w:rsidR="004C5EDE" w:rsidRPr="00D64DAC" w:rsidRDefault="00AC5E09" w:rsidP="00D64DAC">
      <w:pPr>
        <w:pStyle w:val="heading"/>
        <w:widowControl/>
        <w:spacing w:after="0"/>
        <w:jc w:val="both"/>
        <w:rPr>
          <w:sz w:val="22"/>
        </w:rPr>
      </w:pPr>
      <w:r w:rsidRPr="00D64DAC">
        <w:rPr>
          <w:sz w:val="22"/>
        </w:rPr>
        <w:t xml:space="preserve">Sub-section 4 (3) (definition of </w:t>
      </w:r>
      <w:r w:rsidR="009E523F" w:rsidRPr="00D64DAC">
        <w:rPr>
          <w:sz w:val="22"/>
        </w:rPr>
        <w:t>“</w:t>
      </w:r>
      <w:r w:rsidRPr="00D64DAC">
        <w:rPr>
          <w:sz w:val="22"/>
        </w:rPr>
        <w:t>qualifying service</w:t>
      </w:r>
      <w:r w:rsidR="009E523F" w:rsidRPr="00D64DAC">
        <w:rPr>
          <w:sz w:val="22"/>
        </w:rPr>
        <w:t>”</w:t>
      </w:r>
      <w:r w:rsidRPr="00D64DAC">
        <w:rPr>
          <w:sz w:val="22"/>
        </w:rPr>
        <w:t>)—</w:t>
      </w:r>
    </w:p>
    <w:p w:rsidR="00B973B9" w:rsidRDefault="00AC5E09" w:rsidP="00FE674A">
      <w:r w:rsidRPr="00AC5E09">
        <w:t xml:space="preserve">After </w:t>
      </w:r>
      <w:r w:rsidR="009E523F" w:rsidRPr="00AC5E09">
        <w:t>“</w:t>
      </w:r>
      <w:r w:rsidRPr="00AC5E09">
        <w:t>his</w:t>
      </w:r>
      <w:r w:rsidR="009E523F" w:rsidRPr="00AC5E09">
        <w:t>”</w:t>
      </w:r>
      <w:r w:rsidRPr="00AC5E09">
        <w:t xml:space="preserve">, insert </w:t>
      </w:r>
      <w:r w:rsidR="009E523F" w:rsidRPr="00AC5E09">
        <w:t>“</w:t>
      </w:r>
      <w:r w:rsidRPr="00AC5E09">
        <w:t>or her</w:t>
      </w:r>
      <w:r w:rsidR="009E523F" w:rsidRPr="00AC5E09">
        <w:t>”</w:t>
      </w:r>
      <w:r w:rsidRPr="00AC5E09">
        <w:t>.</w:t>
      </w:r>
    </w:p>
    <w:p w:rsidR="004C5EDE" w:rsidRPr="00AC5E09" w:rsidRDefault="004C5EDE" w:rsidP="004C5EDE">
      <w:pPr>
        <w:pBdr>
          <w:bottom w:val="single" w:sz="12" w:space="1" w:color="auto"/>
        </w:pBdr>
        <w:ind w:firstLine="0"/>
      </w:pPr>
    </w:p>
    <w:p w:rsidR="00B973B9" w:rsidRPr="00AC5E09" w:rsidRDefault="00AC5E09" w:rsidP="004C5EDE">
      <w:pPr>
        <w:pStyle w:val="notehd"/>
      </w:pPr>
      <w:r w:rsidRPr="00AC5E09">
        <w:t>NOTES</w:t>
      </w:r>
    </w:p>
    <w:p w:rsidR="00B973B9" w:rsidRPr="00AC5E09" w:rsidRDefault="00AC5E09" w:rsidP="004C5EDE">
      <w:pPr>
        <w:pStyle w:val="note"/>
      </w:pPr>
      <w:r w:rsidRPr="00AC5E09">
        <w:t>1. No. 89, 1979.</w:t>
      </w:r>
    </w:p>
    <w:p w:rsidR="00B973B9" w:rsidRDefault="00AC5E09" w:rsidP="004C5EDE">
      <w:pPr>
        <w:pStyle w:val="note"/>
      </w:pPr>
      <w:r w:rsidRPr="00AC5E09">
        <w:t>2. No. 90, 1979.</w:t>
      </w:r>
    </w:p>
    <w:p w:rsidR="004C5EDE" w:rsidRPr="00AC5E09" w:rsidRDefault="004C5EDE" w:rsidP="004C5EDE">
      <w:pPr>
        <w:pStyle w:val="note"/>
      </w:pPr>
    </w:p>
    <w:p w:rsidR="00B973B9" w:rsidRPr="00E82E12" w:rsidRDefault="00FB5EC1" w:rsidP="004C5EDE">
      <w:pPr>
        <w:ind w:firstLine="0"/>
        <w:rPr>
          <w:szCs w:val="20"/>
        </w:rPr>
      </w:pPr>
      <w:r w:rsidRPr="00E82E12">
        <w:rPr>
          <w:szCs w:val="20"/>
        </w:rPr>
        <w:t>[</w:t>
      </w:r>
      <w:r w:rsidRPr="00E82E12">
        <w:rPr>
          <w:i/>
          <w:szCs w:val="20"/>
        </w:rPr>
        <w:t>Minister</w:t>
      </w:r>
      <w:r w:rsidR="009E523F" w:rsidRPr="00E82E12">
        <w:rPr>
          <w:i/>
          <w:szCs w:val="20"/>
        </w:rPr>
        <w:t>’</w:t>
      </w:r>
      <w:r w:rsidRPr="00E82E12">
        <w:rPr>
          <w:i/>
          <w:szCs w:val="20"/>
        </w:rPr>
        <w:t>s second reading speech made in—</w:t>
      </w:r>
    </w:p>
    <w:p w:rsidR="00B973B9" w:rsidRPr="00E82E12" w:rsidRDefault="00FB5EC1" w:rsidP="004C5EDE">
      <w:pPr>
        <w:spacing w:before="0"/>
        <w:ind w:left="864" w:firstLine="0"/>
        <w:jc w:val="left"/>
        <w:rPr>
          <w:szCs w:val="20"/>
        </w:rPr>
      </w:pPr>
      <w:r w:rsidRPr="00E82E12">
        <w:rPr>
          <w:i/>
          <w:szCs w:val="20"/>
        </w:rPr>
        <w:t>House of Representatives on 22 February 1985</w:t>
      </w:r>
      <w:r w:rsidR="004C5EDE" w:rsidRPr="00E82E12">
        <w:rPr>
          <w:i/>
          <w:szCs w:val="20"/>
        </w:rPr>
        <w:br/>
      </w:r>
      <w:r w:rsidRPr="00E82E12">
        <w:rPr>
          <w:i/>
          <w:szCs w:val="20"/>
        </w:rPr>
        <w:t>Senate on 27 February 1985</w:t>
      </w:r>
      <w:r w:rsidRPr="00E82E12">
        <w:rPr>
          <w:szCs w:val="20"/>
        </w:rPr>
        <w:t>]</w:t>
      </w:r>
    </w:p>
    <w:sectPr w:rsidR="00B973B9" w:rsidRPr="00E82E12" w:rsidSect="00D566EF">
      <w:headerReference w:type="default" r:id="rId8"/>
      <w:pgSz w:w="10080" w:h="1440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B1" w:rsidRDefault="000F0EB1" w:rsidP="00296E70">
      <w:pPr>
        <w:spacing w:before="0"/>
      </w:pPr>
      <w:r>
        <w:separator/>
      </w:r>
    </w:p>
  </w:endnote>
  <w:endnote w:type="continuationSeparator" w:id="0">
    <w:p w:rsidR="000F0EB1" w:rsidRDefault="000F0EB1" w:rsidP="00296E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B1" w:rsidRDefault="000F0EB1" w:rsidP="00296E70">
      <w:pPr>
        <w:spacing w:before="0"/>
      </w:pPr>
      <w:r>
        <w:separator/>
      </w:r>
    </w:p>
  </w:footnote>
  <w:footnote w:type="continuationSeparator" w:id="0">
    <w:p w:rsidR="000F0EB1" w:rsidRDefault="000F0EB1" w:rsidP="00296E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0" w:rsidRPr="00296E70" w:rsidRDefault="00296E70" w:rsidP="002756E1">
    <w:pPr>
      <w:tabs>
        <w:tab w:val="left" w:pos="3870"/>
      </w:tabs>
      <w:spacing w:before="0"/>
      <w:ind w:firstLine="0"/>
      <w:jc w:val="center"/>
      <w:rPr>
        <w:sz w:val="20"/>
      </w:rPr>
    </w:pPr>
    <w:r w:rsidRPr="00296E70">
      <w:rPr>
        <w:i/>
        <w:sz w:val="20"/>
      </w:rPr>
      <w:t>Justices (Long Leave Payments) Amendment</w:t>
    </w:r>
    <w:r w:rsidRPr="00296E70">
      <w:rPr>
        <w:i/>
        <w:sz w:val="20"/>
      </w:rPr>
      <w:tab/>
      <w:t>No. 1, 1985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EE3"/>
    <w:rsid w:val="000305B0"/>
    <w:rsid w:val="00045075"/>
    <w:rsid w:val="000F0EB1"/>
    <w:rsid w:val="001216E5"/>
    <w:rsid w:val="002736DD"/>
    <w:rsid w:val="002756E1"/>
    <w:rsid w:val="00284C7F"/>
    <w:rsid w:val="00294C92"/>
    <w:rsid w:val="00296E70"/>
    <w:rsid w:val="002B6DDD"/>
    <w:rsid w:val="002C2686"/>
    <w:rsid w:val="002E125D"/>
    <w:rsid w:val="003238D1"/>
    <w:rsid w:val="00350A04"/>
    <w:rsid w:val="00390A4D"/>
    <w:rsid w:val="003F4498"/>
    <w:rsid w:val="004C5EDE"/>
    <w:rsid w:val="005121BD"/>
    <w:rsid w:val="00682D51"/>
    <w:rsid w:val="00694366"/>
    <w:rsid w:val="006F7872"/>
    <w:rsid w:val="00773611"/>
    <w:rsid w:val="008242B0"/>
    <w:rsid w:val="008B3EE3"/>
    <w:rsid w:val="009D1A18"/>
    <w:rsid w:val="009E523F"/>
    <w:rsid w:val="00A604FD"/>
    <w:rsid w:val="00A940B1"/>
    <w:rsid w:val="00AC5E09"/>
    <w:rsid w:val="00B106CF"/>
    <w:rsid w:val="00C2399D"/>
    <w:rsid w:val="00C63693"/>
    <w:rsid w:val="00C86789"/>
    <w:rsid w:val="00CD4118"/>
    <w:rsid w:val="00CF541F"/>
    <w:rsid w:val="00D566EF"/>
    <w:rsid w:val="00D64DAC"/>
    <w:rsid w:val="00DC4DD0"/>
    <w:rsid w:val="00DD71B8"/>
    <w:rsid w:val="00E03254"/>
    <w:rsid w:val="00E82E12"/>
    <w:rsid w:val="00EE4021"/>
    <w:rsid w:val="00FB5EC1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89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789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789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789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789"/>
    <w:pPr>
      <w:keepNext/>
      <w:spacing w:before="120" w:after="60"/>
      <w:ind w:firstLine="0"/>
      <w:jc w:val="center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121BD"/>
    <w:rPr>
      <w:rFonts w:eastAsia="Times New Roman"/>
      <w:sz w:val="20"/>
      <w:szCs w:val="20"/>
    </w:rPr>
  </w:style>
  <w:style w:type="paragraph" w:customStyle="1" w:styleId="Style1">
    <w:name w:val="Style1"/>
    <w:basedOn w:val="Normal"/>
    <w:rsid w:val="005121BD"/>
    <w:rPr>
      <w:rFonts w:eastAsia="Times New Roman"/>
      <w:sz w:val="20"/>
      <w:szCs w:val="20"/>
    </w:rPr>
  </w:style>
  <w:style w:type="paragraph" w:customStyle="1" w:styleId="Style3">
    <w:name w:val="Style3"/>
    <w:basedOn w:val="Normal"/>
    <w:rsid w:val="005121BD"/>
    <w:rPr>
      <w:rFonts w:eastAsia="Times New Roman"/>
      <w:sz w:val="20"/>
      <w:szCs w:val="20"/>
    </w:rPr>
  </w:style>
  <w:style w:type="paragraph" w:customStyle="1" w:styleId="Style11">
    <w:name w:val="Style11"/>
    <w:basedOn w:val="Normal"/>
    <w:rsid w:val="005121BD"/>
    <w:rPr>
      <w:rFonts w:eastAsia="Times New Roman"/>
      <w:sz w:val="20"/>
      <w:szCs w:val="20"/>
    </w:rPr>
  </w:style>
  <w:style w:type="paragraph" w:customStyle="1" w:styleId="Style49">
    <w:name w:val="Style49"/>
    <w:basedOn w:val="Normal"/>
    <w:rsid w:val="005121BD"/>
    <w:rPr>
      <w:rFonts w:eastAsia="Times New Roman"/>
      <w:sz w:val="20"/>
      <w:szCs w:val="20"/>
    </w:rPr>
  </w:style>
  <w:style w:type="paragraph" w:customStyle="1" w:styleId="Style50">
    <w:name w:val="Style50"/>
    <w:basedOn w:val="Normal"/>
    <w:rsid w:val="005121BD"/>
    <w:rPr>
      <w:rFonts w:eastAsia="Times New Roman"/>
      <w:sz w:val="20"/>
      <w:szCs w:val="20"/>
    </w:rPr>
  </w:style>
  <w:style w:type="paragraph" w:customStyle="1" w:styleId="Style1082">
    <w:name w:val="Style1082"/>
    <w:basedOn w:val="Normal"/>
    <w:rsid w:val="005121BD"/>
    <w:rPr>
      <w:rFonts w:eastAsia="Times New Roman"/>
      <w:sz w:val="20"/>
      <w:szCs w:val="20"/>
    </w:rPr>
  </w:style>
  <w:style w:type="paragraph" w:customStyle="1" w:styleId="Style63">
    <w:name w:val="Style63"/>
    <w:basedOn w:val="Normal"/>
    <w:rsid w:val="005121BD"/>
    <w:rPr>
      <w:rFonts w:eastAsia="Times New Roman"/>
      <w:sz w:val="20"/>
      <w:szCs w:val="20"/>
    </w:rPr>
  </w:style>
  <w:style w:type="paragraph" w:customStyle="1" w:styleId="Style76">
    <w:name w:val="Style76"/>
    <w:basedOn w:val="Normal"/>
    <w:rsid w:val="005121BD"/>
    <w:rPr>
      <w:rFonts w:eastAsia="Times New Roman"/>
      <w:sz w:val="20"/>
      <w:szCs w:val="20"/>
    </w:rPr>
  </w:style>
  <w:style w:type="paragraph" w:customStyle="1" w:styleId="Style115">
    <w:name w:val="Style115"/>
    <w:basedOn w:val="Normal"/>
    <w:rsid w:val="005121BD"/>
    <w:rPr>
      <w:rFonts w:eastAsia="Times New Roman"/>
      <w:sz w:val="20"/>
      <w:szCs w:val="20"/>
    </w:rPr>
  </w:style>
  <w:style w:type="paragraph" w:customStyle="1" w:styleId="Style559">
    <w:name w:val="Style559"/>
    <w:basedOn w:val="Normal"/>
    <w:rsid w:val="005121BD"/>
    <w:rPr>
      <w:rFonts w:eastAsia="Times New Roman"/>
      <w:sz w:val="20"/>
      <w:szCs w:val="20"/>
    </w:rPr>
  </w:style>
  <w:style w:type="paragraph" w:customStyle="1" w:styleId="Style1124">
    <w:name w:val="Style1124"/>
    <w:basedOn w:val="Normal"/>
    <w:rsid w:val="005121BD"/>
    <w:rPr>
      <w:rFonts w:eastAsia="Times New Roman"/>
      <w:sz w:val="20"/>
      <w:szCs w:val="20"/>
    </w:rPr>
  </w:style>
  <w:style w:type="paragraph" w:customStyle="1" w:styleId="Style1147">
    <w:name w:val="Style1147"/>
    <w:basedOn w:val="Normal"/>
    <w:rsid w:val="005121BD"/>
    <w:rPr>
      <w:rFonts w:eastAsia="Times New Roman"/>
      <w:sz w:val="20"/>
      <w:szCs w:val="20"/>
    </w:rPr>
  </w:style>
  <w:style w:type="paragraph" w:customStyle="1" w:styleId="Style1159">
    <w:name w:val="Style1159"/>
    <w:basedOn w:val="Normal"/>
    <w:rsid w:val="005121BD"/>
    <w:rPr>
      <w:rFonts w:eastAsia="Times New Roman"/>
      <w:sz w:val="20"/>
      <w:szCs w:val="20"/>
    </w:rPr>
  </w:style>
  <w:style w:type="paragraph" w:customStyle="1" w:styleId="Style1149">
    <w:name w:val="Style1149"/>
    <w:basedOn w:val="Normal"/>
    <w:rsid w:val="005121BD"/>
    <w:rPr>
      <w:rFonts w:eastAsia="Times New Roman"/>
      <w:sz w:val="20"/>
      <w:szCs w:val="20"/>
    </w:rPr>
  </w:style>
  <w:style w:type="paragraph" w:customStyle="1" w:styleId="Style1176">
    <w:name w:val="Style1176"/>
    <w:basedOn w:val="Normal"/>
    <w:rsid w:val="005121BD"/>
    <w:rPr>
      <w:rFonts w:eastAsia="Times New Roman"/>
      <w:sz w:val="20"/>
      <w:szCs w:val="20"/>
    </w:rPr>
  </w:style>
  <w:style w:type="paragraph" w:customStyle="1" w:styleId="Style1177">
    <w:name w:val="Style1177"/>
    <w:basedOn w:val="Normal"/>
    <w:rsid w:val="005121BD"/>
    <w:rPr>
      <w:rFonts w:eastAsia="Times New Roman"/>
      <w:sz w:val="20"/>
      <w:szCs w:val="20"/>
    </w:rPr>
  </w:style>
  <w:style w:type="paragraph" w:customStyle="1" w:styleId="Style1190">
    <w:name w:val="Style1190"/>
    <w:basedOn w:val="Normal"/>
    <w:rsid w:val="005121BD"/>
    <w:rPr>
      <w:rFonts w:eastAsia="Times New Roman"/>
      <w:sz w:val="20"/>
      <w:szCs w:val="20"/>
    </w:rPr>
  </w:style>
  <w:style w:type="paragraph" w:customStyle="1" w:styleId="Style1200">
    <w:name w:val="Style1200"/>
    <w:basedOn w:val="Normal"/>
    <w:rsid w:val="005121BD"/>
    <w:rPr>
      <w:rFonts w:eastAsia="Times New Roman"/>
      <w:sz w:val="20"/>
      <w:szCs w:val="20"/>
    </w:rPr>
  </w:style>
  <w:style w:type="paragraph" w:customStyle="1" w:styleId="Style1198">
    <w:name w:val="Style1198"/>
    <w:basedOn w:val="Normal"/>
    <w:rsid w:val="005121BD"/>
    <w:rPr>
      <w:rFonts w:eastAsia="Times New Roman"/>
      <w:sz w:val="20"/>
      <w:szCs w:val="20"/>
    </w:rPr>
  </w:style>
  <w:style w:type="paragraph" w:customStyle="1" w:styleId="Style1196">
    <w:name w:val="Style1196"/>
    <w:basedOn w:val="Normal"/>
    <w:rsid w:val="005121BD"/>
    <w:rPr>
      <w:rFonts w:eastAsia="Times New Roman"/>
      <w:sz w:val="20"/>
      <w:szCs w:val="20"/>
    </w:rPr>
  </w:style>
  <w:style w:type="character" w:customStyle="1" w:styleId="CharStyle14">
    <w:name w:val="CharStyle14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9">
    <w:name w:val="CharStyle19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5121B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1">
    <w:name w:val="CharStyle21"/>
    <w:basedOn w:val="DefaultParagraphFont"/>
    <w:rsid w:val="005121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2">
    <w:name w:val="CharStyle162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5">
    <w:name w:val="CharStyle255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4">
    <w:name w:val="CharStyle284"/>
    <w:basedOn w:val="DefaultParagraphFont"/>
    <w:rsid w:val="005121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5121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31">
    <w:name w:val="CharStyle531"/>
    <w:basedOn w:val="DefaultParagraphFont"/>
    <w:rsid w:val="005121B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59">
    <w:name w:val="CharStyle559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869">
    <w:name w:val="CharStyle869"/>
    <w:basedOn w:val="DefaultParagraphFont"/>
    <w:rsid w:val="005121B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64">
    <w:name w:val="CharStyle1064"/>
    <w:basedOn w:val="DefaultParagraphFont"/>
    <w:rsid w:val="005121B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198">
    <w:name w:val="CharStyle1198"/>
    <w:basedOn w:val="DefaultParagraphFont"/>
    <w:rsid w:val="005121BD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6789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789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789"/>
    <w:rPr>
      <w:rFonts w:ascii="Times New Roman" w:eastAsiaTheme="majorEastAsia" w:hAnsi="Times New Roman" w:cs="Times New Roman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86789"/>
    <w:rPr>
      <w:rFonts w:ascii="Times New Roman" w:hAnsi="Times New Roman" w:cs="Times New Roman"/>
      <w:b/>
      <w:bCs/>
      <w:i/>
      <w:szCs w:val="28"/>
    </w:rPr>
  </w:style>
  <w:style w:type="paragraph" w:customStyle="1" w:styleId="notehd">
    <w:name w:val="notehd"/>
    <w:basedOn w:val="Normal"/>
    <w:qFormat/>
    <w:rsid w:val="00C86789"/>
    <w:pPr>
      <w:ind w:firstLine="0"/>
      <w:jc w:val="center"/>
    </w:pPr>
    <w:rPr>
      <w:b/>
      <w:szCs w:val="22"/>
    </w:rPr>
  </w:style>
  <w:style w:type="character" w:customStyle="1" w:styleId="CharStyle86">
    <w:name w:val="CharStyle86"/>
    <w:basedOn w:val="DefaultParagraphFont"/>
    <w:rsid w:val="00C8678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customStyle="1" w:styleId="note">
    <w:name w:val="note"/>
    <w:basedOn w:val="hanging"/>
    <w:qFormat/>
    <w:rsid w:val="00C86789"/>
    <w:pPr>
      <w:ind w:left="216" w:hanging="216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6789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6789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789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789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C86789"/>
    <w:pPr>
      <w:ind w:firstLine="0"/>
    </w:pPr>
  </w:style>
  <w:style w:type="paragraph" w:customStyle="1" w:styleId="intro">
    <w:name w:val="intro"/>
    <w:basedOn w:val="Normal"/>
    <w:qFormat/>
    <w:rsid w:val="00C86789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C86789"/>
    <w:pPr>
      <w:spacing w:after="60"/>
      <w:ind w:firstLine="0"/>
      <w:jc w:val="right"/>
    </w:pPr>
    <w:rPr>
      <w:i/>
      <w:sz w:val="24"/>
    </w:rPr>
  </w:style>
  <w:style w:type="paragraph" w:customStyle="1" w:styleId="intro1">
    <w:name w:val="intro1"/>
    <w:basedOn w:val="Normal"/>
    <w:qFormat/>
    <w:rsid w:val="00C86789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C86789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C86789"/>
    <w:pPr>
      <w:ind w:left="864" w:hanging="432"/>
    </w:pPr>
  </w:style>
  <w:style w:type="paragraph" w:customStyle="1" w:styleId="list2">
    <w:name w:val="list2"/>
    <w:basedOn w:val="hanging"/>
    <w:qFormat/>
    <w:rsid w:val="00C86789"/>
    <w:pPr>
      <w:ind w:left="1339" w:hanging="331"/>
    </w:pPr>
  </w:style>
  <w:style w:type="paragraph" w:customStyle="1" w:styleId="list1">
    <w:name w:val="list1"/>
    <w:basedOn w:val="Normal"/>
    <w:qFormat/>
    <w:rsid w:val="00C86789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C86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789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789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C86789"/>
    <w:pPr>
      <w:ind w:left="576"/>
    </w:pPr>
  </w:style>
  <w:style w:type="paragraph" w:customStyle="1" w:styleId="List3">
    <w:name w:val="List3"/>
    <w:basedOn w:val="list2"/>
    <w:qFormat/>
    <w:rsid w:val="00C86789"/>
    <w:pPr>
      <w:ind w:left="1915"/>
    </w:pPr>
  </w:style>
  <w:style w:type="paragraph" w:customStyle="1" w:styleId="hanging1">
    <w:name w:val="hanging1"/>
    <w:basedOn w:val="hanging"/>
    <w:qFormat/>
    <w:rsid w:val="00C86789"/>
    <w:pPr>
      <w:ind w:left="12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hlad\2018\march\opc\op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opc2.dotx</Template>
  <TotalTime>37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44</cp:revision>
  <dcterms:created xsi:type="dcterms:W3CDTF">2018-03-08T13:00:00Z</dcterms:created>
  <dcterms:modified xsi:type="dcterms:W3CDTF">2019-09-19T22:25:00Z</dcterms:modified>
</cp:coreProperties>
</file>