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9329C" w14:textId="77777777" w:rsidR="009A0C95" w:rsidRDefault="009A0C95" w:rsidP="00264D33">
      <w:pPr>
        <w:spacing w:after="0" w:line="240" w:lineRule="auto"/>
        <w:jc w:val="center"/>
        <w:rPr>
          <w:rFonts w:ascii="Times New Roman" w:hAnsi="Times New Roman" w:cs="Times New Roman"/>
          <w:b/>
        </w:rPr>
      </w:pPr>
      <w:bookmarkStart w:id="0" w:name="_GoBack"/>
      <w:r w:rsidRPr="009A0C95">
        <w:rPr>
          <w:rFonts w:ascii="Times New Roman" w:hAnsi="Times New Roman" w:cs="Times New Roman"/>
          <w:b/>
          <w:noProof/>
          <w:lang w:val="en-AU" w:eastAsia="en-AU"/>
        </w:rPr>
        <w:drawing>
          <wp:inline distT="0" distB="0" distL="0" distR="0" wp14:anchorId="67A083D5" wp14:editId="13EE655D">
            <wp:extent cx="993648" cy="737616"/>
            <wp:effectExtent l="19050" t="0" r="0" b="0"/>
            <wp:docPr id="10"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165793A5" w14:textId="77777777" w:rsidR="007371CE" w:rsidRPr="00264D33" w:rsidRDefault="005E4F70" w:rsidP="00264D33">
      <w:pPr>
        <w:spacing w:before="240" w:after="240" w:line="240" w:lineRule="auto"/>
        <w:jc w:val="center"/>
        <w:rPr>
          <w:rFonts w:ascii="Times New Roman" w:hAnsi="Times New Roman" w:cs="Times New Roman"/>
          <w:sz w:val="36"/>
        </w:rPr>
      </w:pPr>
      <w:r w:rsidRPr="00264D33">
        <w:rPr>
          <w:rFonts w:ascii="Times New Roman" w:hAnsi="Times New Roman" w:cs="Times New Roman"/>
          <w:b/>
          <w:sz w:val="36"/>
        </w:rPr>
        <w:t>States (Tax Sharing and Health Grants) Amendment Act 1983</w:t>
      </w:r>
    </w:p>
    <w:p w14:paraId="38C7E44D" w14:textId="77777777" w:rsidR="007371CE" w:rsidRPr="00264D33" w:rsidRDefault="007371CE" w:rsidP="00264D33">
      <w:pPr>
        <w:spacing w:before="240" w:after="240" w:line="240" w:lineRule="auto"/>
        <w:jc w:val="center"/>
        <w:rPr>
          <w:rFonts w:ascii="Times New Roman" w:hAnsi="Times New Roman" w:cs="Times New Roman"/>
          <w:b/>
          <w:sz w:val="28"/>
        </w:rPr>
      </w:pPr>
      <w:r w:rsidRPr="00264D33">
        <w:rPr>
          <w:rFonts w:ascii="Times New Roman" w:hAnsi="Times New Roman" w:cs="Times New Roman"/>
          <w:b/>
          <w:sz w:val="28"/>
        </w:rPr>
        <w:t>No. 31 of 1983</w:t>
      </w:r>
    </w:p>
    <w:p w14:paraId="678E4320" w14:textId="77777777" w:rsidR="009A0C95" w:rsidRDefault="009A0C95" w:rsidP="009A0C95">
      <w:pPr>
        <w:pBdr>
          <w:bottom w:val="thickThinSmallGap" w:sz="12" w:space="1" w:color="auto"/>
        </w:pBdr>
        <w:spacing w:before="240" w:after="240" w:line="240" w:lineRule="auto"/>
        <w:jc w:val="center"/>
        <w:rPr>
          <w:rFonts w:ascii="Times New Roman" w:hAnsi="Times New Roman" w:cs="Times New Roman"/>
          <w:b/>
        </w:rPr>
      </w:pPr>
    </w:p>
    <w:p w14:paraId="57B204B4" w14:textId="77777777" w:rsidR="007371CE" w:rsidRPr="00264D33" w:rsidRDefault="005E4F70" w:rsidP="00264D33">
      <w:pPr>
        <w:spacing w:after="0" w:line="240" w:lineRule="auto"/>
        <w:jc w:val="center"/>
        <w:rPr>
          <w:rFonts w:ascii="Times New Roman" w:hAnsi="Times New Roman" w:cs="Times New Roman"/>
          <w:sz w:val="26"/>
        </w:rPr>
      </w:pPr>
      <w:r w:rsidRPr="00264D33">
        <w:rPr>
          <w:rFonts w:ascii="Times New Roman" w:hAnsi="Times New Roman" w:cs="Times New Roman"/>
          <w:b/>
          <w:sz w:val="26"/>
        </w:rPr>
        <w:t xml:space="preserve">An Act to amend the </w:t>
      </w:r>
      <w:r w:rsidRPr="00264D33">
        <w:rPr>
          <w:rFonts w:ascii="Times New Roman" w:hAnsi="Times New Roman" w:cs="Times New Roman"/>
          <w:b/>
          <w:i/>
          <w:sz w:val="26"/>
        </w:rPr>
        <w:t xml:space="preserve">States </w:t>
      </w:r>
      <w:r w:rsidRPr="007F5B48">
        <w:rPr>
          <w:rFonts w:ascii="Times New Roman" w:hAnsi="Times New Roman" w:cs="Times New Roman"/>
          <w:b/>
          <w:sz w:val="26"/>
        </w:rPr>
        <w:t>(</w:t>
      </w:r>
      <w:r w:rsidRPr="00264D33">
        <w:rPr>
          <w:rFonts w:ascii="Times New Roman" w:hAnsi="Times New Roman" w:cs="Times New Roman"/>
          <w:b/>
          <w:i/>
          <w:sz w:val="26"/>
        </w:rPr>
        <w:t>Tax Sharing and Health Grants</w:t>
      </w:r>
      <w:r w:rsidRPr="007F5B48">
        <w:rPr>
          <w:rFonts w:ascii="Times New Roman" w:hAnsi="Times New Roman" w:cs="Times New Roman"/>
          <w:b/>
          <w:sz w:val="26"/>
        </w:rPr>
        <w:t>)</w:t>
      </w:r>
      <w:r w:rsidRPr="00264D33">
        <w:rPr>
          <w:rFonts w:ascii="Times New Roman" w:hAnsi="Times New Roman" w:cs="Times New Roman"/>
          <w:b/>
          <w:i/>
          <w:sz w:val="26"/>
        </w:rPr>
        <w:t xml:space="preserve"> Act 1981</w:t>
      </w:r>
    </w:p>
    <w:p w14:paraId="636B64AD" w14:textId="77777777" w:rsidR="007371CE" w:rsidRPr="00264D33" w:rsidRDefault="007371CE" w:rsidP="00264D33">
      <w:pPr>
        <w:spacing w:before="120" w:after="120" w:line="240" w:lineRule="auto"/>
        <w:jc w:val="right"/>
        <w:rPr>
          <w:rFonts w:ascii="Times New Roman" w:hAnsi="Times New Roman" w:cs="Times New Roman"/>
          <w:sz w:val="24"/>
        </w:rPr>
      </w:pPr>
      <w:r w:rsidRPr="00264D33">
        <w:rPr>
          <w:rFonts w:ascii="Times New Roman" w:hAnsi="Times New Roman" w:cs="Times New Roman"/>
          <w:sz w:val="24"/>
        </w:rPr>
        <w:t>[</w:t>
      </w:r>
      <w:r w:rsidR="005E4F70" w:rsidRPr="00264D33">
        <w:rPr>
          <w:rFonts w:ascii="Times New Roman" w:hAnsi="Times New Roman" w:cs="Times New Roman"/>
          <w:i/>
          <w:sz w:val="24"/>
        </w:rPr>
        <w:t>Assented to 19 June 1983</w:t>
      </w:r>
      <w:r w:rsidRPr="00264D33">
        <w:rPr>
          <w:rFonts w:ascii="Times New Roman" w:hAnsi="Times New Roman" w:cs="Times New Roman"/>
          <w:sz w:val="24"/>
        </w:rPr>
        <w:t>]</w:t>
      </w:r>
    </w:p>
    <w:p w14:paraId="2A022148" w14:textId="77777777" w:rsidR="007371CE" w:rsidRPr="00264D33" w:rsidRDefault="007371CE" w:rsidP="00264D33">
      <w:pPr>
        <w:widowControl w:val="0"/>
        <w:spacing w:before="120" w:after="120" w:line="240" w:lineRule="auto"/>
        <w:ind w:firstLine="432"/>
        <w:jc w:val="both"/>
        <w:rPr>
          <w:rFonts w:ascii="Times New Roman" w:hAnsi="Times New Roman" w:cs="Times New Roman"/>
          <w:sz w:val="24"/>
        </w:rPr>
      </w:pPr>
      <w:r w:rsidRPr="00264D33">
        <w:rPr>
          <w:rFonts w:ascii="Times New Roman" w:hAnsi="Times New Roman" w:cs="Times New Roman"/>
          <w:sz w:val="24"/>
        </w:rPr>
        <w:t>BE IT ENACTED by the Queen, and the Senate and the House of Representatives of the Commonwealth of Australia, as follows:</w:t>
      </w:r>
    </w:p>
    <w:p w14:paraId="2EC3983B" w14:textId="77777777" w:rsidR="007371CE" w:rsidRPr="00264D33" w:rsidRDefault="005E4F70" w:rsidP="00264D33">
      <w:pPr>
        <w:widowControl w:val="0"/>
        <w:spacing w:before="120" w:after="60" w:line="240" w:lineRule="auto"/>
        <w:jc w:val="both"/>
        <w:rPr>
          <w:rFonts w:ascii="Times New Roman" w:hAnsi="Times New Roman" w:cs="Times New Roman"/>
          <w:b/>
          <w:sz w:val="20"/>
        </w:rPr>
      </w:pPr>
      <w:r w:rsidRPr="00264D33">
        <w:rPr>
          <w:rFonts w:ascii="Times New Roman" w:hAnsi="Times New Roman" w:cs="Times New Roman"/>
          <w:b/>
          <w:sz w:val="20"/>
        </w:rPr>
        <w:t>Short title, &amp;c.</w:t>
      </w:r>
    </w:p>
    <w:p w14:paraId="20B3D771" w14:textId="77777777" w:rsidR="007371CE" w:rsidRPr="005E4F70" w:rsidRDefault="005E4F70" w:rsidP="00264D33">
      <w:pPr>
        <w:widowControl w:val="0"/>
        <w:spacing w:after="0" w:line="240" w:lineRule="auto"/>
        <w:ind w:firstLine="432"/>
        <w:jc w:val="both"/>
        <w:rPr>
          <w:rFonts w:ascii="Times New Roman" w:hAnsi="Times New Roman" w:cs="Times New Roman"/>
        </w:rPr>
      </w:pPr>
      <w:r w:rsidRPr="005E4F70">
        <w:rPr>
          <w:rFonts w:ascii="Times New Roman" w:hAnsi="Times New Roman" w:cs="Times New Roman"/>
          <w:b/>
        </w:rPr>
        <w:t>1. (1)</w:t>
      </w:r>
      <w:r w:rsidR="007371CE" w:rsidRPr="005E4F70">
        <w:rPr>
          <w:rFonts w:ascii="Times New Roman" w:hAnsi="Times New Roman" w:cs="Times New Roman"/>
        </w:rPr>
        <w:t xml:space="preserve"> This Act may be cited as the </w:t>
      </w:r>
      <w:r w:rsidRPr="005E4F70">
        <w:rPr>
          <w:rFonts w:ascii="Times New Roman" w:hAnsi="Times New Roman" w:cs="Times New Roman"/>
          <w:i/>
        </w:rPr>
        <w:t xml:space="preserve">States </w:t>
      </w:r>
      <w:r w:rsidR="007371CE" w:rsidRPr="005E4F70">
        <w:rPr>
          <w:rFonts w:ascii="Times New Roman" w:hAnsi="Times New Roman" w:cs="Times New Roman"/>
        </w:rPr>
        <w:t>(</w:t>
      </w:r>
      <w:r w:rsidRPr="005E4F70">
        <w:rPr>
          <w:rFonts w:ascii="Times New Roman" w:hAnsi="Times New Roman" w:cs="Times New Roman"/>
          <w:i/>
        </w:rPr>
        <w:t>Tax Sharing and Health Grants</w:t>
      </w:r>
      <w:r w:rsidR="007371CE" w:rsidRPr="005E4F70">
        <w:rPr>
          <w:rFonts w:ascii="Times New Roman" w:hAnsi="Times New Roman" w:cs="Times New Roman"/>
        </w:rPr>
        <w:t>)</w:t>
      </w:r>
      <w:r w:rsidRPr="005E4F70">
        <w:rPr>
          <w:rFonts w:ascii="Times New Roman" w:hAnsi="Times New Roman" w:cs="Times New Roman"/>
          <w:i/>
        </w:rPr>
        <w:t xml:space="preserve"> Amendment Act 1983.</w:t>
      </w:r>
    </w:p>
    <w:p w14:paraId="2E5CD2E2" w14:textId="77777777" w:rsidR="007371CE" w:rsidRPr="005E4F70" w:rsidRDefault="005E4F70" w:rsidP="00264D33">
      <w:pPr>
        <w:widowControl w:val="0"/>
        <w:spacing w:after="0" w:line="240" w:lineRule="auto"/>
        <w:ind w:firstLine="432"/>
        <w:jc w:val="both"/>
        <w:rPr>
          <w:rFonts w:ascii="Times New Roman" w:hAnsi="Times New Roman" w:cs="Times New Roman"/>
        </w:rPr>
      </w:pPr>
      <w:r w:rsidRPr="005E4F70">
        <w:rPr>
          <w:rFonts w:ascii="Times New Roman" w:hAnsi="Times New Roman" w:cs="Times New Roman"/>
          <w:b/>
        </w:rPr>
        <w:t>(2)</w:t>
      </w:r>
      <w:r w:rsidR="007371CE" w:rsidRPr="005E4F70">
        <w:rPr>
          <w:rFonts w:ascii="Times New Roman" w:hAnsi="Times New Roman" w:cs="Times New Roman"/>
        </w:rPr>
        <w:t xml:space="preserve"> The </w:t>
      </w:r>
      <w:r w:rsidRPr="005E4F70">
        <w:rPr>
          <w:rFonts w:ascii="Times New Roman" w:hAnsi="Times New Roman" w:cs="Times New Roman"/>
          <w:i/>
        </w:rPr>
        <w:t xml:space="preserve">States </w:t>
      </w:r>
      <w:r w:rsidRPr="007F5B48">
        <w:rPr>
          <w:rFonts w:ascii="Times New Roman" w:hAnsi="Times New Roman" w:cs="Times New Roman"/>
        </w:rPr>
        <w:t>(</w:t>
      </w:r>
      <w:r w:rsidRPr="005E4F70">
        <w:rPr>
          <w:rFonts w:ascii="Times New Roman" w:hAnsi="Times New Roman" w:cs="Times New Roman"/>
          <w:i/>
        </w:rPr>
        <w:t>Tax Sharing and Health Grants</w:t>
      </w:r>
      <w:r w:rsidRPr="007F5B48">
        <w:rPr>
          <w:rFonts w:ascii="Times New Roman" w:hAnsi="Times New Roman" w:cs="Times New Roman"/>
        </w:rPr>
        <w:t>)</w:t>
      </w:r>
      <w:r w:rsidRPr="005E4F70">
        <w:rPr>
          <w:rFonts w:ascii="Times New Roman" w:hAnsi="Times New Roman" w:cs="Times New Roman"/>
          <w:i/>
        </w:rPr>
        <w:t xml:space="preserve"> Act 1981</w:t>
      </w:r>
      <w:r w:rsidRPr="00C34A52">
        <w:rPr>
          <w:rFonts w:ascii="Times New Roman" w:hAnsi="Times New Roman" w:cs="Times New Roman"/>
          <w:vertAlign w:val="superscript"/>
        </w:rPr>
        <w:t>1</w:t>
      </w:r>
      <w:r w:rsidRPr="005E4F70">
        <w:rPr>
          <w:rFonts w:ascii="Times New Roman" w:hAnsi="Times New Roman" w:cs="Times New Roman"/>
          <w:i/>
        </w:rPr>
        <w:t xml:space="preserve"> </w:t>
      </w:r>
      <w:r w:rsidR="007371CE" w:rsidRPr="005E4F70">
        <w:rPr>
          <w:rFonts w:ascii="Times New Roman" w:hAnsi="Times New Roman" w:cs="Times New Roman"/>
        </w:rPr>
        <w:t>is in this Act referred to as the Principal Act.</w:t>
      </w:r>
    </w:p>
    <w:p w14:paraId="3A12F0DC" w14:textId="77777777" w:rsidR="007371CE" w:rsidRPr="00264D33" w:rsidRDefault="005E4F70" w:rsidP="00264D33">
      <w:pPr>
        <w:widowControl w:val="0"/>
        <w:spacing w:before="120" w:after="60" w:line="240" w:lineRule="auto"/>
        <w:jc w:val="both"/>
        <w:rPr>
          <w:rFonts w:ascii="Times New Roman" w:hAnsi="Times New Roman" w:cs="Times New Roman"/>
          <w:b/>
          <w:sz w:val="20"/>
        </w:rPr>
      </w:pPr>
      <w:r w:rsidRPr="00264D33">
        <w:rPr>
          <w:rFonts w:ascii="Times New Roman" w:hAnsi="Times New Roman" w:cs="Times New Roman"/>
          <w:b/>
          <w:sz w:val="20"/>
        </w:rPr>
        <w:t>Commencement</w:t>
      </w:r>
    </w:p>
    <w:p w14:paraId="03AEE9B7" w14:textId="77777777" w:rsidR="007371CE" w:rsidRPr="005E4F70" w:rsidRDefault="005E4F70" w:rsidP="00264D33">
      <w:pPr>
        <w:widowControl w:val="0"/>
        <w:spacing w:after="0" w:line="240" w:lineRule="auto"/>
        <w:ind w:firstLine="432"/>
        <w:jc w:val="both"/>
        <w:rPr>
          <w:rFonts w:ascii="Times New Roman" w:hAnsi="Times New Roman" w:cs="Times New Roman"/>
        </w:rPr>
      </w:pPr>
      <w:r w:rsidRPr="005E4F70">
        <w:rPr>
          <w:rFonts w:ascii="Times New Roman" w:hAnsi="Times New Roman" w:cs="Times New Roman"/>
          <w:b/>
        </w:rPr>
        <w:t>2. (1)</w:t>
      </w:r>
      <w:r w:rsidR="007371CE" w:rsidRPr="005E4F70">
        <w:rPr>
          <w:rFonts w:ascii="Times New Roman" w:hAnsi="Times New Roman" w:cs="Times New Roman"/>
        </w:rPr>
        <w:t xml:space="preserve"> Subject to sub-section (2), this Act shall come into operation on the day on which it receives the Royal Assent.</w:t>
      </w:r>
    </w:p>
    <w:p w14:paraId="6848B106" w14:textId="77777777" w:rsidR="007371CE" w:rsidRPr="005E4F70" w:rsidRDefault="005E4F70" w:rsidP="00264D33">
      <w:pPr>
        <w:widowControl w:val="0"/>
        <w:spacing w:after="0" w:line="240" w:lineRule="auto"/>
        <w:ind w:firstLine="432"/>
        <w:jc w:val="both"/>
        <w:rPr>
          <w:rFonts w:ascii="Times New Roman" w:hAnsi="Times New Roman" w:cs="Times New Roman"/>
        </w:rPr>
      </w:pPr>
      <w:r w:rsidRPr="005E4F70">
        <w:rPr>
          <w:rFonts w:ascii="Times New Roman" w:hAnsi="Times New Roman" w:cs="Times New Roman"/>
          <w:b/>
        </w:rPr>
        <w:t xml:space="preserve">(2) </w:t>
      </w:r>
      <w:r w:rsidR="007371CE" w:rsidRPr="005E4F70">
        <w:rPr>
          <w:rFonts w:ascii="Times New Roman" w:hAnsi="Times New Roman" w:cs="Times New Roman"/>
        </w:rPr>
        <w:t>Sections 3 and 4 shall be deemed to have come into operation on 18 June 1981.</w:t>
      </w:r>
    </w:p>
    <w:p w14:paraId="47BC1F14" w14:textId="77777777" w:rsidR="00C00A93" w:rsidRDefault="00C00A93" w:rsidP="00FD71A2">
      <w:pPr>
        <w:widowControl w:val="0"/>
        <w:spacing w:before="120" w:after="60" w:line="240" w:lineRule="auto"/>
        <w:jc w:val="both"/>
        <w:rPr>
          <w:rFonts w:ascii="Times New Roman" w:hAnsi="Times New Roman" w:cs="Times New Roman"/>
        </w:rPr>
      </w:pPr>
      <w:r>
        <w:rPr>
          <w:rFonts w:ascii="Times New Roman" w:hAnsi="Times New Roman" w:cs="Times New Roman"/>
        </w:rPr>
        <w:br w:type="page"/>
      </w:r>
    </w:p>
    <w:p w14:paraId="17010B53" w14:textId="77777777" w:rsidR="007371CE" w:rsidRPr="00FD71A2" w:rsidRDefault="005E4F70" w:rsidP="00FD71A2">
      <w:pPr>
        <w:widowControl w:val="0"/>
        <w:spacing w:before="120" w:after="60" w:line="240" w:lineRule="auto"/>
        <w:jc w:val="both"/>
        <w:rPr>
          <w:rFonts w:ascii="Times New Roman" w:hAnsi="Times New Roman" w:cs="Times New Roman"/>
          <w:b/>
          <w:sz w:val="20"/>
        </w:rPr>
      </w:pPr>
      <w:r w:rsidRPr="00FD71A2">
        <w:rPr>
          <w:rFonts w:ascii="Times New Roman" w:hAnsi="Times New Roman" w:cs="Times New Roman"/>
          <w:b/>
          <w:sz w:val="20"/>
        </w:rPr>
        <w:lastRenderedPageBreak/>
        <w:t>Interpretation</w:t>
      </w:r>
    </w:p>
    <w:p w14:paraId="1E1C2674" w14:textId="77777777" w:rsidR="007371CE" w:rsidRPr="005E4F70" w:rsidRDefault="005E4F70" w:rsidP="00FD71A2">
      <w:pPr>
        <w:widowControl w:val="0"/>
        <w:spacing w:after="0" w:line="240" w:lineRule="auto"/>
        <w:ind w:firstLine="432"/>
        <w:jc w:val="both"/>
        <w:rPr>
          <w:rFonts w:ascii="Times New Roman" w:hAnsi="Times New Roman" w:cs="Times New Roman"/>
        </w:rPr>
      </w:pPr>
      <w:r w:rsidRPr="005E4F70">
        <w:rPr>
          <w:rFonts w:ascii="Times New Roman" w:hAnsi="Times New Roman" w:cs="Times New Roman"/>
          <w:b/>
        </w:rPr>
        <w:t>3.</w:t>
      </w:r>
      <w:r w:rsidR="007371CE" w:rsidRPr="005E4F70">
        <w:rPr>
          <w:rFonts w:ascii="Times New Roman" w:hAnsi="Times New Roman" w:cs="Times New Roman"/>
        </w:rPr>
        <w:t xml:space="preserve"> Section 4 of the Principal Act is amended by adding at the end thereof the following sub-section:</w:t>
      </w:r>
    </w:p>
    <w:p w14:paraId="38FBE591" w14:textId="77777777" w:rsidR="007371CE" w:rsidRPr="005E4F70" w:rsidRDefault="005E4F70" w:rsidP="00FD71A2">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7371CE" w:rsidRPr="005E4F70">
        <w:rPr>
          <w:rFonts w:ascii="Times New Roman" w:hAnsi="Times New Roman" w:cs="Times New Roman"/>
        </w:rPr>
        <w:t>(3) An amount of, or in respect of, a tax included in a class of taxes specified in Schedule 1 shall not be taken, for any purpose of this Act, to have been received by the Commonwealth until that amount is received by the relevant authority in relation to the class of taxes in which that tax is included.</w:t>
      </w:r>
      <w:r>
        <w:rPr>
          <w:rFonts w:ascii="Times New Roman" w:hAnsi="Times New Roman" w:cs="Times New Roman"/>
        </w:rPr>
        <w:t>”</w:t>
      </w:r>
      <w:r w:rsidR="007371CE" w:rsidRPr="005E4F70">
        <w:rPr>
          <w:rFonts w:ascii="Times New Roman" w:hAnsi="Times New Roman" w:cs="Times New Roman"/>
        </w:rPr>
        <w:t>.</w:t>
      </w:r>
    </w:p>
    <w:p w14:paraId="32A2B2B5" w14:textId="77777777" w:rsidR="007371CE" w:rsidRPr="00FD71A2" w:rsidRDefault="005E4F70" w:rsidP="00FD71A2">
      <w:pPr>
        <w:widowControl w:val="0"/>
        <w:spacing w:before="120" w:after="60" w:line="240" w:lineRule="auto"/>
        <w:jc w:val="both"/>
        <w:rPr>
          <w:rFonts w:ascii="Times New Roman" w:hAnsi="Times New Roman" w:cs="Times New Roman"/>
          <w:b/>
          <w:sz w:val="20"/>
        </w:rPr>
      </w:pPr>
      <w:r w:rsidRPr="00FD71A2">
        <w:rPr>
          <w:rFonts w:ascii="Times New Roman" w:hAnsi="Times New Roman" w:cs="Times New Roman"/>
          <w:b/>
          <w:sz w:val="20"/>
        </w:rPr>
        <w:t>Taxes collected by Commonwealth</w:t>
      </w:r>
    </w:p>
    <w:p w14:paraId="26AEAB16" w14:textId="77777777" w:rsidR="007371CE" w:rsidRPr="005E4F70" w:rsidRDefault="005E4F70" w:rsidP="00FD71A2">
      <w:pPr>
        <w:widowControl w:val="0"/>
        <w:spacing w:after="0" w:line="240" w:lineRule="auto"/>
        <w:ind w:firstLine="432"/>
        <w:jc w:val="both"/>
        <w:rPr>
          <w:rFonts w:ascii="Times New Roman" w:hAnsi="Times New Roman" w:cs="Times New Roman"/>
        </w:rPr>
      </w:pPr>
      <w:r w:rsidRPr="005E4F70">
        <w:rPr>
          <w:rFonts w:ascii="Times New Roman" w:hAnsi="Times New Roman" w:cs="Times New Roman"/>
          <w:b/>
        </w:rPr>
        <w:t>4.</w:t>
      </w:r>
      <w:r w:rsidR="007371CE" w:rsidRPr="005E4F70">
        <w:rPr>
          <w:rFonts w:ascii="Times New Roman" w:hAnsi="Times New Roman" w:cs="Times New Roman"/>
        </w:rPr>
        <w:t xml:space="preserve"> Section 6 of the Principal Act is amended—</w:t>
      </w:r>
    </w:p>
    <w:p w14:paraId="15E642F6" w14:textId="77777777" w:rsidR="007371CE" w:rsidRPr="005E4F70" w:rsidRDefault="007371CE" w:rsidP="00FD71A2">
      <w:pPr>
        <w:widowControl w:val="0"/>
        <w:spacing w:after="0" w:line="240" w:lineRule="auto"/>
        <w:ind w:left="864" w:hanging="432"/>
        <w:jc w:val="both"/>
        <w:rPr>
          <w:rFonts w:ascii="Times New Roman" w:hAnsi="Times New Roman" w:cs="Times New Roman"/>
        </w:rPr>
      </w:pPr>
      <w:r w:rsidRPr="005E4F70">
        <w:rPr>
          <w:rFonts w:ascii="Times New Roman" w:hAnsi="Times New Roman" w:cs="Times New Roman"/>
        </w:rPr>
        <w:t xml:space="preserve">(a) by omitting from sub-section (4) </w:t>
      </w:r>
      <w:r w:rsidR="005E4F70">
        <w:rPr>
          <w:rFonts w:ascii="Times New Roman" w:hAnsi="Times New Roman" w:cs="Times New Roman"/>
        </w:rPr>
        <w:t>“</w:t>
      </w:r>
      <w:r w:rsidRPr="005E4F70">
        <w:rPr>
          <w:rFonts w:ascii="Times New Roman" w:hAnsi="Times New Roman" w:cs="Times New Roman"/>
        </w:rPr>
        <w:t>of the whole or any part of amounts received by the Commonwealth, whether in that year or a previous year, in respect of taxes included in that class</w:t>
      </w:r>
      <w:r w:rsidR="005E4F70">
        <w:rPr>
          <w:rFonts w:ascii="Times New Roman" w:hAnsi="Times New Roman" w:cs="Times New Roman"/>
        </w:rPr>
        <w:t>”</w:t>
      </w:r>
      <w:r w:rsidRPr="005E4F70">
        <w:rPr>
          <w:rFonts w:ascii="Times New Roman" w:hAnsi="Times New Roman" w:cs="Times New Roman"/>
        </w:rPr>
        <w:t xml:space="preserve"> and substituting </w:t>
      </w:r>
      <w:r w:rsidR="005E4F70">
        <w:rPr>
          <w:rFonts w:ascii="Times New Roman" w:hAnsi="Times New Roman" w:cs="Times New Roman"/>
        </w:rPr>
        <w:t>“</w:t>
      </w:r>
      <w:r w:rsidRPr="005E4F70">
        <w:rPr>
          <w:rFonts w:ascii="Times New Roman" w:hAnsi="Times New Roman" w:cs="Times New Roman"/>
        </w:rPr>
        <w:t xml:space="preserve">, in respect of taxes included in that class, whether each such refund is constituted solely by an amount (in this sub-section called a </w:t>
      </w:r>
      <w:r w:rsidR="005E4F70">
        <w:rPr>
          <w:rFonts w:ascii="Times New Roman" w:hAnsi="Times New Roman" w:cs="Times New Roman"/>
        </w:rPr>
        <w:t>‘</w:t>
      </w:r>
      <w:r w:rsidRPr="005E4F70">
        <w:rPr>
          <w:rFonts w:ascii="Times New Roman" w:hAnsi="Times New Roman" w:cs="Times New Roman"/>
        </w:rPr>
        <w:t>relevant amount</w:t>
      </w:r>
      <w:r w:rsidR="005E4F70">
        <w:rPr>
          <w:rFonts w:ascii="Times New Roman" w:hAnsi="Times New Roman" w:cs="Times New Roman"/>
        </w:rPr>
        <w:t>’</w:t>
      </w:r>
      <w:r w:rsidRPr="005E4F70">
        <w:rPr>
          <w:rFonts w:ascii="Times New Roman" w:hAnsi="Times New Roman" w:cs="Times New Roman"/>
        </w:rPr>
        <w:t>) representing the whole or any part of an amount or amounts received by the Commonwealth, whether in that year or a previous year, in respect of taxes included in that class or partly by the relevant amount and partly by interest upon the relevant amount</w:t>
      </w:r>
      <w:r w:rsidR="005E4F70">
        <w:rPr>
          <w:rFonts w:ascii="Times New Roman" w:hAnsi="Times New Roman" w:cs="Times New Roman"/>
        </w:rPr>
        <w:t>”</w:t>
      </w:r>
      <w:r w:rsidRPr="005E4F70">
        <w:rPr>
          <w:rFonts w:ascii="Times New Roman" w:hAnsi="Times New Roman" w:cs="Times New Roman"/>
        </w:rPr>
        <w:t>;</w:t>
      </w:r>
    </w:p>
    <w:p w14:paraId="3DA39449" w14:textId="77777777" w:rsidR="007371CE" w:rsidRPr="005E4F70" w:rsidRDefault="007371CE" w:rsidP="00FD71A2">
      <w:pPr>
        <w:widowControl w:val="0"/>
        <w:spacing w:after="0" w:line="240" w:lineRule="auto"/>
        <w:ind w:left="864" w:hanging="432"/>
        <w:jc w:val="both"/>
        <w:rPr>
          <w:rFonts w:ascii="Times New Roman" w:hAnsi="Times New Roman" w:cs="Times New Roman"/>
        </w:rPr>
      </w:pPr>
      <w:r w:rsidRPr="005E4F70">
        <w:rPr>
          <w:rFonts w:ascii="Times New Roman" w:hAnsi="Times New Roman" w:cs="Times New Roman"/>
        </w:rPr>
        <w:t>(b) by inserting after sub-section (4) the following sub-section:</w:t>
      </w:r>
    </w:p>
    <w:p w14:paraId="477C81D8" w14:textId="77777777" w:rsidR="007371CE" w:rsidRPr="005E4F70" w:rsidRDefault="005E4F70" w:rsidP="00FD71A2">
      <w:pPr>
        <w:spacing w:after="0" w:line="240" w:lineRule="auto"/>
        <w:ind w:left="720" w:firstLine="432"/>
        <w:jc w:val="both"/>
        <w:rPr>
          <w:rFonts w:ascii="Times New Roman" w:hAnsi="Times New Roman" w:cs="Times New Roman"/>
        </w:rPr>
      </w:pPr>
      <w:r>
        <w:rPr>
          <w:rFonts w:ascii="Times New Roman" w:hAnsi="Times New Roman" w:cs="Times New Roman"/>
        </w:rPr>
        <w:t>“</w:t>
      </w:r>
      <w:r w:rsidR="007371CE" w:rsidRPr="005E4F70">
        <w:rPr>
          <w:rFonts w:ascii="Times New Roman" w:hAnsi="Times New Roman" w:cs="Times New Roman"/>
        </w:rPr>
        <w:t>(4</w:t>
      </w:r>
      <w:r w:rsidRPr="005E4F70">
        <w:rPr>
          <w:rFonts w:ascii="Times New Roman" w:hAnsi="Times New Roman" w:cs="Times New Roman"/>
          <w:smallCaps/>
        </w:rPr>
        <w:t>a</w:t>
      </w:r>
      <w:r w:rsidR="007371CE" w:rsidRPr="005E4F70">
        <w:rPr>
          <w:rFonts w:ascii="Times New Roman" w:hAnsi="Times New Roman" w:cs="Times New Roman"/>
        </w:rPr>
        <w:t>) In determining, for the purposes of sub-section (3), the net amount received by the Commonwealth in a year in respect of taxes included in a class of taxes specified in Schedule 1, there shall be included in that amount any amount received by the Commonwealth during that year by way of a penalty (however described) arising from the non-payment by the due date—</w:t>
      </w:r>
    </w:p>
    <w:p w14:paraId="0E8E26B2" w14:textId="77777777" w:rsidR="007371CE" w:rsidRPr="005E4F70" w:rsidRDefault="007371CE" w:rsidP="00FD71A2">
      <w:pPr>
        <w:widowControl w:val="0"/>
        <w:spacing w:after="0" w:line="240" w:lineRule="auto"/>
        <w:ind w:left="1584" w:hanging="432"/>
        <w:jc w:val="both"/>
        <w:rPr>
          <w:rFonts w:ascii="Times New Roman" w:hAnsi="Times New Roman" w:cs="Times New Roman"/>
        </w:rPr>
      </w:pPr>
      <w:r w:rsidRPr="005E4F70">
        <w:rPr>
          <w:rFonts w:ascii="Times New Roman" w:hAnsi="Times New Roman" w:cs="Times New Roman"/>
        </w:rPr>
        <w:t>(a) of an amount of a tax included in that class of taxes; or</w:t>
      </w:r>
    </w:p>
    <w:p w14:paraId="7E6F2B5D" w14:textId="77777777" w:rsidR="007371CE" w:rsidRPr="005E4F70" w:rsidRDefault="007371CE" w:rsidP="00FD71A2">
      <w:pPr>
        <w:widowControl w:val="0"/>
        <w:spacing w:after="0" w:line="240" w:lineRule="auto"/>
        <w:ind w:left="1584" w:hanging="432"/>
        <w:jc w:val="both"/>
        <w:rPr>
          <w:rFonts w:ascii="Times New Roman" w:hAnsi="Times New Roman" w:cs="Times New Roman"/>
        </w:rPr>
      </w:pPr>
      <w:r w:rsidRPr="005E4F70">
        <w:rPr>
          <w:rFonts w:ascii="Times New Roman" w:hAnsi="Times New Roman" w:cs="Times New Roman"/>
        </w:rPr>
        <w:t>(b) of an amount required to be paid to the Commonwealth in that year on account of a possible liability to pay a tax included in that class of taxes.</w:t>
      </w:r>
      <w:r w:rsidR="005E4F70">
        <w:rPr>
          <w:rFonts w:ascii="Times New Roman" w:hAnsi="Times New Roman" w:cs="Times New Roman"/>
        </w:rPr>
        <w:t>”</w:t>
      </w:r>
      <w:r w:rsidRPr="005E4F70">
        <w:rPr>
          <w:rFonts w:ascii="Times New Roman" w:hAnsi="Times New Roman" w:cs="Times New Roman"/>
        </w:rPr>
        <w:t>; and</w:t>
      </w:r>
    </w:p>
    <w:p w14:paraId="09DF918A" w14:textId="77777777" w:rsidR="007371CE" w:rsidRPr="005E4F70" w:rsidRDefault="007371CE" w:rsidP="00FD71A2">
      <w:pPr>
        <w:widowControl w:val="0"/>
        <w:spacing w:after="0" w:line="240" w:lineRule="auto"/>
        <w:ind w:left="864" w:hanging="432"/>
        <w:jc w:val="both"/>
        <w:rPr>
          <w:rFonts w:ascii="Times New Roman" w:hAnsi="Times New Roman" w:cs="Times New Roman"/>
        </w:rPr>
      </w:pPr>
      <w:r w:rsidRPr="005E4F70">
        <w:rPr>
          <w:rFonts w:ascii="Times New Roman" w:hAnsi="Times New Roman" w:cs="Times New Roman"/>
        </w:rPr>
        <w:t>(c) by adding at the end thereof the following sub-section:</w:t>
      </w:r>
    </w:p>
    <w:p w14:paraId="60DF0D42" w14:textId="77777777" w:rsidR="007371CE" w:rsidRPr="005E4F70" w:rsidRDefault="005E4F70" w:rsidP="00FD71A2">
      <w:pPr>
        <w:spacing w:after="0" w:line="240" w:lineRule="auto"/>
        <w:ind w:left="720" w:firstLine="432"/>
        <w:jc w:val="both"/>
        <w:rPr>
          <w:rFonts w:ascii="Times New Roman" w:hAnsi="Times New Roman" w:cs="Times New Roman"/>
        </w:rPr>
      </w:pPr>
      <w:r>
        <w:rPr>
          <w:rFonts w:ascii="Times New Roman" w:hAnsi="Times New Roman" w:cs="Times New Roman"/>
        </w:rPr>
        <w:t>“</w:t>
      </w:r>
      <w:r w:rsidR="007371CE" w:rsidRPr="005E4F70">
        <w:rPr>
          <w:rFonts w:ascii="Times New Roman" w:hAnsi="Times New Roman" w:cs="Times New Roman"/>
        </w:rPr>
        <w:t>(</w:t>
      </w:r>
      <w:r w:rsidR="00FD71A2">
        <w:rPr>
          <w:rFonts w:ascii="Times New Roman" w:hAnsi="Times New Roman" w:cs="Times New Roman"/>
        </w:rPr>
        <w:t>11</w:t>
      </w:r>
      <w:r w:rsidR="007371CE" w:rsidRPr="005E4F70">
        <w:rPr>
          <w:rFonts w:ascii="Times New Roman" w:hAnsi="Times New Roman" w:cs="Times New Roman"/>
        </w:rPr>
        <w:t>) For the purposes of this section, an amount shall be taken to have been received by the Commonwealth in a particular year in respect of a tax included in a class of taxes specified in Schedule 1 if it has been received by the Commonwealth in that year on account of a possible liability to pay that tax, whether or not any liability to pay that tax subsequently arises.</w:t>
      </w:r>
      <w:r>
        <w:rPr>
          <w:rFonts w:ascii="Times New Roman" w:hAnsi="Times New Roman" w:cs="Times New Roman"/>
        </w:rPr>
        <w:t>”</w:t>
      </w:r>
      <w:r w:rsidR="007371CE" w:rsidRPr="005E4F70">
        <w:rPr>
          <w:rFonts w:ascii="Times New Roman" w:hAnsi="Times New Roman" w:cs="Times New Roman"/>
        </w:rPr>
        <w:t>.</w:t>
      </w:r>
    </w:p>
    <w:p w14:paraId="680C8AAB" w14:textId="77777777" w:rsidR="00C00A93" w:rsidRDefault="00C00A93" w:rsidP="00FD71A2">
      <w:pPr>
        <w:widowControl w:val="0"/>
        <w:spacing w:before="120" w:after="60" w:line="240" w:lineRule="auto"/>
        <w:jc w:val="both"/>
        <w:rPr>
          <w:rFonts w:ascii="Times New Roman" w:hAnsi="Times New Roman" w:cs="Times New Roman"/>
        </w:rPr>
      </w:pPr>
      <w:r>
        <w:rPr>
          <w:rFonts w:ascii="Times New Roman" w:hAnsi="Times New Roman" w:cs="Times New Roman"/>
        </w:rPr>
        <w:br w:type="page"/>
      </w:r>
    </w:p>
    <w:p w14:paraId="4430BF54" w14:textId="77777777" w:rsidR="007371CE" w:rsidRPr="00FD71A2" w:rsidRDefault="005E4F70" w:rsidP="00FD71A2">
      <w:pPr>
        <w:widowControl w:val="0"/>
        <w:spacing w:before="120" w:after="60" w:line="240" w:lineRule="auto"/>
        <w:jc w:val="both"/>
        <w:rPr>
          <w:rFonts w:ascii="Times New Roman" w:hAnsi="Times New Roman" w:cs="Times New Roman"/>
          <w:b/>
          <w:sz w:val="20"/>
        </w:rPr>
      </w:pPr>
      <w:r w:rsidRPr="00FD71A2">
        <w:rPr>
          <w:rFonts w:ascii="Times New Roman" w:hAnsi="Times New Roman" w:cs="Times New Roman"/>
          <w:b/>
          <w:sz w:val="20"/>
        </w:rPr>
        <w:lastRenderedPageBreak/>
        <w:t>Schedule 1</w:t>
      </w:r>
    </w:p>
    <w:p w14:paraId="1D28C100" w14:textId="77777777" w:rsidR="007371CE" w:rsidRPr="005E4F70" w:rsidRDefault="005E4F70" w:rsidP="00FD71A2">
      <w:pPr>
        <w:widowControl w:val="0"/>
        <w:spacing w:after="0" w:line="240" w:lineRule="auto"/>
        <w:ind w:firstLine="432"/>
        <w:jc w:val="both"/>
        <w:rPr>
          <w:rFonts w:ascii="Times New Roman" w:hAnsi="Times New Roman" w:cs="Times New Roman"/>
        </w:rPr>
      </w:pPr>
      <w:r w:rsidRPr="005E4F70">
        <w:rPr>
          <w:rFonts w:ascii="Times New Roman" w:hAnsi="Times New Roman" w:cs="Times New Roman"/>
          <w:b/>
        </w:rPr>
        <w:t xml:space="preserve">5. </w:t>
      </w:r>
      <w:r w:rsidR="007371CE" w:rsidRPr="005E4F70">
        <w:rPr>
          <w:rFonts w:ascii="Times New Roman" w:hAnsi="Times New Roman" w:cs="Times New Roman"/>
        </w:rPr>
        <w:t>Schedule 1 of the Principal Act is repealed and the following Schedule is substituted:</w:t>
      </w:r>
    </w:p>
    <w:p w14:paraId="3F80DB6A" w14:textId="77777777" w:rsidR="007371CE" w:rsidRPr="005E4F70" w:rsidRDefault="005E4F70" w:rsidP="00FD71A2">
      <w:pPr>
        <w:tabs>
          <w:tab w:val="left" w:pos="6480"/>
        </w:tabs>
        <w:spacing w:before="60" w:after="60" w:line="240" w:lineRule="auto"/>
        <w:ind w:left="3240"/>
        <w:jc w:val="both"/>
        <w:rPr>
          <w:rFonts w:ascii="Times New Roman" w:hAnsi="Times New Roman" w:cs="Times New Roman"/>
        </w:rPr>
      </w:pPr>
      <w:r w:rsidRPr="005E4F70">
        <w:rPr>
          <w:rFonts w:ascii="Times New Roman" w:hAnsi="Times New Roman" w:cs="Times New Roman"/>
          <w:b/>
        </w:rPr>
        <w:t>SCHEDULE 1</w:t>
      </w:r>
      <w:r w:rsidR="00FD71A2">
        <w:rPr>
          <w:rFonts w:ascii="Times New Roman" w:hAnsi="Times New Roman" w:cs="Times New Roman"/>
          <w:b/>
        </w:rPr>
        <w:tab/>
      </w:r>
      <w:r w:rsidR="007371CE" w:rsidRPr="005E4F70">
        <w:rPr>
          <w:rFonts w:ascii="Times New Roman" w:hAnsi="Times New Roman" w:cs="Times New Roman"/>
        </w:rPr>
        <w:t>Section 6</w:t>
      </w:r>
    </w:p>
    <w:p w14:paraId="4D6E571C" w14:textId="77777777" w:rsidR="007371CE" w:rsidRPr="005E4F70" w:rsidRDefault="007371CE" w:rsidP="00FD71A2">
      <w:pPr>
        <w:spacing w:before="60" w:after="60" w:line="240" w:lineRule="auto"/>
        <w:jc w:val="center"/>
        <w:rPr>
          <w:rFonts w:ascii="Times New Roman" w:hAnsi="Times New Roman" w:cs="Times New Roman"/>
        </w:rPr>
      </w:pPr>
      <w:r w:rsidRPr="005E4F70">
        <w:rPr>
          <w:rFonts w:ascii="Times New Roman" w:hAnsi="Times New Roman" w:cs="Times New Roman"/>
        </w:rPr>
        <w:t>COMMONWEALTH TAXES</w:t>
      </w:r>
    </w:p>
    <w:tbl>
      <w:tblPr>
        <w:tblW w:w="5000" w:type="pct"/>
        <w:tblCellMar>
          <w:left w:w="40" w:type="dxa"/>
          <w:right w:w="40" w:type="dxa"/>
        </w:tblCellMar>
        <w:tblLook w:val="0000" w:firstRow="0" w:lastRow="0" w:firstColumn="0" w:lastColumn="0" w:noHBand="0" w:noVBand="0"/>
      </w:tblPr>
      <w:tblGrid>
        <w:gridCol w:w="4292"/>
        <w:gridCol w:w="3233"/>
      </w:tblGrid>
      <w:tr w:rsidR="007371CE" w:rsidRPr="005E4F70" w14:paraId="505A6C2C" w14:textId="77777777" w:rsidTr="00C34A52">
        <w:trPr>
          <w:trHeight w:val="20"/>
        </w:trPr>
        <w:tc>
          <w:tcPr>
            <w:tcW w:w="2852" w:type="pct"/>
            <w:tcBorders>
              <w:top w:val="single" w:sz="6" w:space="0" w:color="auto"/>
            </w:tcBorders>
          </w:tcPr>
          <w:p w14:paraId="1D10B2B4" w14:textId="77777777" w:rsidR="007371CE" w:rsidRPr="005E4F70" w:rsidRDefault="007371CE" w:rsidP="005E4F70">
            <w:pPr>
              <w:spacing w:after="0" w:line="240" w:lineRule="auto"/>
              <w:jc w:val="both"/>
              <w:rPr>
                <w:rFonts w:ascii="Times New Roman" w:hAnsi="Times New Roman" w:cs="Times New Roman"/>
              </w:rPr>
            </w:pPr>
            <w:r w:rsidRPr="005E4F70">
              <w:rPr>
                <w:rFonts w:ascii="Times New Roman" w:hAnsi="Times New Roman" w:cs="Times New Roman"/>
              </w:rPr>
              <w:t>Column 1</w:t>
            </w:r>
          </w:p>
        </w:tc>
        <w:tc>
          <w:tcPr>
            <w:tcW w:w="2148" w:type="pct"/>
            <w:tcBorders>
              <w:top w:val="single" w:sz="6" w:space="0" w:color="auto"/>
            </w:tcBorders>
          </w:tcPr>
          <w:p w14:paraId="24A45B97" w14:textId="77777777" w:rsidR="007371CE" w:rsidRPr="005E4F70" w:rsidRDefault="007371CE" w:rsidP="005E4F70">
            <w:pPr>
              <w:spacing w:after="0" w:line="240" w:lineRule="auto"/>
              <w:jc w:val="both"/>
              <w:rPr>
                <w:rFonts w:ascii="Times New Roman" w:hAnsi="Times New Roman" w:cs="Times New Roman"/>
              </w:rPr>
            </w:pPr>
            <w:r w:rsidRPr="005E4F70">
              <w:rPr>
                <w:rFonts w:ascii="Times New Roman" w:hAnsi="Times New Roman" w:cs="Times New Roman"/>
              </w:rPr>
              <w:t>Column 2</w:t>
            </w:r>
          </w:p>
        </w:tc>
      </w:tr>
      <w:tr w:rsidR="007371CE" w:rsidRPr="005E4F70" w14:paraId="65C78C2F" w14:textId="77777777" w:rsidTr="00C34A52">
        <w:trPr>
          <w:trHeight w:val="20"/>
        </w:trPr>
        <w:tc>
          <w:tcPr>
            <w:tcW w:w="2852" w:type="pct"/>
            <w:tcBorders>
              <w:bottom w:val="single" w:sz="6" w:space="0" w:color="auto"/>
            </w:tcBorders>
          </w:tcPr>
          <w:p w14:paraId="37F4B64B" w14:textId="77777777" w:rsidR="007371CE" w:rsidRPr="005E4F70" w:rsidRDefault="007371CE" w:rsidP="005E4F70">
            <w:pPr>
              <w:spacing w:after="0" w:line="240" w:lineRule="auto"/>
              <w:jc w:val="both"/>
              <w:rPr>
                <w:rFonts w:ascii="Times New Roman" w:hAnsi="Times New Roman" w:cs="Times New Roman"/>
              </w:rPr>
            </w:pPr>
            <w:r w:rsidRPr="005E4F70">
              <w:rPr>
                <w:rFonts w:ascii="Times New Roman" w:hAnsi="Times New Roman" w:cs="Times New Roman"/>
              </w:rPr>
              <w:t>Taxes</w:t>
            </w:r>
          </w:p>
        </w:tc>
        <w:tc>
          <w:tcPr>
            <w:tcW w:w="2148" w:type="pct"/>
            <w:tcBorders>
              <w:bottom w:val="single" w:sz="6" w:space="0" w:color="auto"/>
            </w:tcBorders>
          </w:tcPr>
          <w:p w14:paraId="42021AB6" w14:textId="77777777" w:rsidR="007371CE" w:rsidRPr="005E4F70" w:rsidRDefault="007371CE" w:rsidP="005E4F70">
            <w:pPr>
              <w:spacing w:after="0" w:line="240" w:lineRule="auto"/>
              <w:jc w:val="both"/>
              <w:rPr>
                <w:rFonts w:ascii="Times New Roman" w:hAnsi="Times New Roman" w:cs="Times New Roman"/>
              </w:rPr>
            </w:pPr>
            <w:r w:rsidRPr="005E4F70">
              <w:rPr>
                <w:rFonts w:ascii="Times New Roman" w:hAnsi="Times New Roman" w:cs="Times New Roman"/>
              </w:rPr>
              <w:t>Relevant authorities</w:t>
            </w:r>
          </w:p>
        </w:tc>
      </w:tr>
      <w:tr w:rsidR="007371CE" w:rsidRPr="005E4F70" w14:paraId="08155DC7" w14:textId="77777777" w:rsidTr="00C34A52">
        <w:trPr>
          <w:trHeight w:val="20"/>
        </w:trPr>
        <w:tc>
          <w:tcPr>
            <w:tcW w:w="2852" w:type="pct"/>
            <w:tcBorders>
              <w:top w:val="single" w:sz="6" w:space="0" w:color="auto"/>
            </w:tcBorders>
          </w:tcPr>
          <w:p w14:paraId="3359DFA3"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 xml:space="preserve">Customs duty on imports collected under </w:t>
            </w:r>
            <w:r w:rsidR="005E4F70" w:rsidRPr="005E4F70">
              <w:rPr>
                <w:rFonts w:ascii="Times New Roman" w:hAnsi="Times New Roman" w:cs="Times New Roman"/>
                <w:i/>
              </w:rPr>
              <w:t>Customs Act 1901</w:t>
            </w:r>
          </w:p>
        </w:tc>
        <w:tc>
          <w:tcPr>
            <w:tcW w:w="2148" w:type="pct"/>
            <w:tcBorders>
              <w:top w:val="single" w:sz="6" w:space="0" w:color="auto"/>
            </w:tcBorders>
          </w:tcPr>
          <w:p w14:paraId="19E52DA9"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Comptroller-General of Customs</w:t>
            </w:r>
          </w:p>
        </w:tc>
      </w:tr>
      <w:tr w:rsidR="007371CE" w:rsidRPr="005E4F70" w14:paraId="4DF28D47" w14:textId="77777777" w:rsidTr="00C34A52">
        <w:trPr>
          <w:trHeight w:val="20"/>
        </w:trPr>
        <w:tc>
          <w:tcPr>
            <w:tcW w:w="2852" w:type="pct"/>
          </w:tcPr>
          <w:p w14:paraId="36BB434E"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 xml:space="preserve">Customs duty on coal exports collected under section 133 of </w:t>
            </w:r>
            <w:r w:rsidR="005E4F70" w:rsidRPr="005E4F70">
              <w:rPr>
                <w:rFonts w:ascii="Times New Roman" w:hAnsi="Times New Roman" w:cs="Times New Roman"/>
                <w:i/>
              </w:rPr>
              <w:t>Customs Act 1901</w:t>
            </w:r>
          </w:p>
        </w:tc>
        <w:tc>
          <w:tcPr>
            <w:tcW w:w="2148" w:type="pct"/>
          </w:tcPr>
          <w:p w14:paraId="4911E106"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Comptroller-General of Customs</w:t>
            </w:r>
          </w:p>
        </w:tc>
      </w:tr>
      <w:tr w:rsidR="007371CE" w:rsidRPr="005E4F70" w14:paraId="606490D9" w14:textId="77777777" w:rsidTr="00C34A52">
        <w:trPr>
          <w:trHeight w:val="20"/>
        </w:trPr>
        <w:tc>
          <w:tcPr>
            <w:tcW w:w="2852" w:type="pct"/>
          </w:tcPr>
          <w:p w14:paraId="6D22BE6C"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 xml:space="preserve">Excise duty (other than coal excise and canned fruit excise) collected under </w:t>
            </w:r>
            <w:r w:rsidR="005E4F70" w:rsidRPr="005E4F70">
              <w:rPr>
                <w:rFonts w:ascii="Times New Roman" w:hAnsi="Times New Roman" w:cs="Times New Roman"/>
                <w:i/>
              </w:rPr>
              <w:t>Excise Act 1901</w:t>
            </w:r>
          </w:p>
        </w:tc>
        <w:tc>
          <w:tcPr>
            <w:tcW w:w="2148" w:type="pct"/>
          </w:tcPr>
          <w:p w14:paraId="68F02912"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Comptroller-General of Customs</w:t>
            </w:r>
          </w:p>
        </w:tc>
      </w:tr>
      <w:tr w:rsidR="007371CE" w:rsidRPr="005E4F70" w14:paraId="18DDCFA9" w14:textId="77777777" w:rsidTr="00C34A52">
        <w:trPr>
          <w:trHeight w:val="20"/>
        </w:trPr>
        <w:tc>
          <w:tcPr>
            <w:tcW w:w="2852" w:type="pct"/>
          </w:tcPr>
          <w:p w14:paraId="0D15B199"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 xml:space="preserve">Income tax collected under </w:t>
            </w:r>
            <w:r w:rsidR="005E4F70" w:rsidRPr="005E4F70">
              <w:rPr>
                <w:rFonts w:ascii="Times New Roman" w:hAnsi="Times New Roman" w:cs="Times New Roman"/>
                <w:i/>
              </w:rPr>
              <w:t>Income Tax Assessment Act 1936</w:t>
            </w:r>
          </w:p>
        </w:tc>
        <w:tc>
          <w:tcPr>
            <w:tcW w:w="2148" w:type="pct"/>
          </w:tcPr>
          <w:p w14:paraId="144AE91E"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Commissioner of Taxation</w:t>
            </w:r>
          </w:p>
        </w:tc>
      </w:tr>
      <w:tr w:rsidR="007371CE" w:rsidRPr="005E4F70" w14:paraId="53312B97" w14:textId="77777777" w:rsidTr="00C34A52">
        <w:trPr>
          <w:trHeight w:val="20"/>
        </w:trPr>
        <w:tc>
          <w:tcPr>
            <w:tcW w:w="2852" w:type="pct"/>
          </w:tcPr>
          <w:p w14:paraId="10743CDF"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 xml:space="preserve">Sales tax collected under </w:t>
            </w:r>
            <w:r w:rsidR="005E4F70" w:rsidRPr="005E4F70">
              <w:rPr>
                <w:rFonts w:ascii="Times New Roman" w:hAnsi="Times New Roman" w:cs="Times New Roman"/>
                <w:i/>
              </w:rPr>
              <w:t xml:space="preserve">Sales Tax Assessment Acts </w:t>
            </w:r>
            <w:r w:rsidRPr="005E4F70">
              <w:rPr>
                <w:rFonts w:ascii="Times New Roman" w:hAnsi="Times New Roman" w:cs="Times New Roman"/>
              </w:rPr>
              <w:t>(</w:t>
            </w:r>
            <w:r w:rsidR="005E4F70" w:rsidRPr="005E4F70">
              <w:rPr>
                <w:rFonts w:ascii="Times New Roman" w:hAnsi="Times New Roman" w:cs="Times New Roman"/>
                <w:i/>
              </w:rPr>
              <w:t>Nos. 1-9</w:t>
            </w:r>
            <w:r w:rsidRPr="005E4F70">
              <w:rPr>
                <w:rFonts w:ascii="Times New Roman" w:hAnsi="Times New Roman" w:cs="Times New Roman"/>
              </w:rPr>
              <w:t>)</w:t>
            </w:r>
            <w:r w:rsidR="005E4F70" w:rsidRPr="005E4F70">
              <w:rPr>
                <w:rFonts w:ascii="Times New Roman" w:hAnsi="Times New Roman" w:cs="Times New Roman"/>
                <w:i/>
              </w:rPr>
              <w:t xml:space="preserve"> 1930</w:t>
            </w:r>
          </w:p>
        </w:tc>
        <w:tc>
          <w:tcPr>
            <w:tcW w:w="2148" w:type="pct"/>
          </w:tcPr>
          <w:p w14:paraId="564FEC82"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Commissioner of Taxation</w:t>
            </w:r>
          </w:p>
        </w:tc>
      </w:tr>
      <w:tr w:rsidR="007371CE" w:rsidRPr="005E4F70" w14:paraId="3801C0B6" w14:textId="77777777" w:rsidTr="00C34A52">
        <w:trPr>
          <w:trHeight w:val="20"/>
        </w:trPr>
        <w:tc>
          <w:tcPr>
            <w:tcW w:w="2852" w:type="pct"/>
          </w:tcPr>
          <w:p w14:paraId="20621D12"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 xml:space="preserve">Departure tax collected under </w:t>
            </w:r>
            <w:r w:rsidR="005E4F70" w:rsidRPr="005E4F70">
              <w:rPr>
                <w:rFonts w:ascii="Times New Roman" w:hAnsi="Times New Roman" w:cs="Times New Roman"/>
                <w:i/>
              </w:rPr>
              <w:t>Departure Tax Collection Act 1978</w:t>
            </w:r>
          </w:p>
        </w:tc>
        <w:tc>
          <w:tcPr>
            <w:tcW w:w="2148" w:type="pct"/>
          </w:tcPr>
          <w:p w14:paraId="6F01ED84"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Secretary, Department of Immigration and Ethnic Affairs</w:t>
            </w:r>
          </w:p>
        </w:tc>
      </w:tr>
      <w:tr w:rsidR="007371CE" w:rsidRPr="005E4F70" w14:paraId="228F0D5E" w14:textId="77777777" w:rsidTr="00C34A52">
        <w:trPr>
          <w:trHeight w:val="20"/>
        </w:trPr>
        <w:tc>
          <w:tcPr>
            <w:tcW w:w="2852" w:type="pct"/>
          </w:tcPr>
          <w:p w14:paraId="364AE55A"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 xml:space="preserve">Estate duty collected under </w:t>
            </w:r>
            <w:r w:rsidR="005E4F70" w:rsidRPr="005E4F70">
              <w:rPr>
                <w:rFonts w:ascii="Times New Roman" w:hAnsi="Times New Roman" w:cs="Times New Roman"/>
                <w:i/>
              </w:rPr>
              <w:t>Estate Duty Assessment Act 1914</w:t>
            </w:r>
          </w:p>
        </w:tc>
        <w:tc>
          <w:tcPr>
            <w:tcW w:w="2148" w:type="pct"/>
          </w:tcPr>
          <w:p w14:paraId="724D825D"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Commissioner of Taxation</w:t>
            </w:r>
          </w:p>
        </w:tc>
      </w:tr>
      <w:tr w:rsidR="007371CE" w:rsidRPr="005E4F70" w14:paraId="55B471F9" w14:textId="77777777" w:rsidTr="00C34A52">
        <w:trPr>
          <w:trHeight w:val="20"/>
        </w:trPr>
        <w:tc>
          <w:tcPr>
            <w:tcW w:w="2852" w:type="pct"/>
          </w:tcPr>
          <w:p w14:paraId="6500920F"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 xml:space="preserve">Gift duty collected under </w:t>
            </w:r>
            <w:r w:rsidR="005E4F70" w:rsidRPr="005E4F70">
              <w:rPr>
                <w:rFonts w:ascii="Times New Roman" w:hAnsi="Times New Roman" w:cs="Times New Roman"/>
                <w:i/>
              </w:rPr>
              <w:t>Gift Duty Assessment Act 1941</w:t>
            </w:r>
          </w:p>
        </w:tc>
        <w:tc>
          <w:tcPr>
            <w:tcW w:w="2148" w:type="pct"/>
          </w:tcPr>
          <w:p w14:paraId="61F02B27"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Commissioner of Taxation</w:t>
            </w:r>
          </w:p>
        </w:tc>
      </w:tr>
      <w:tr w:rsidR="007371CE" w:rsidRPr="005E4F70" w14:paraId="69CC39DB" w14:textId="77777777" w:rsidTr="00C34A52">
        <w:trPr>
          <w:trHeight w:val="20"/>
        </w:trPr>
        <w:tc>
          <w:tcPr>
            <w:tcW w:w="2852" w:type="pct"/>
          </w:tcPr>
          <w:p w14:paraId="06855280"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 xml:space="preserve">Tax collected under the </w:t>
            </w:r>
            <w:r w:rsidR="005E4F70" w:rsidRPr="005E4F70">
              <w:rPr>
                <w:rFonts w:ascii="Times New Roman" w:hAnsi="Times New Roman" w:cs="Times New Roman"/>
                <w:i/>
              </w:rPr>
              <w:t>Bank Account Debits Tax Administration Act 1982</w:t>
            </w:r>
          </w:p>
        </w:tc>
        <w:tc>
          <w:tcPr>
            <w:tcW w:w="2148" w:type="pct"/>
          </w:tcPr>
          <w:p w14:paraId="43BAA156"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Commissioner of Taxation</w:t>
            </w:r>
          </w:p>
        </w:tc>
      </w:tr>
      <w:tr w:rsidR="007371CE" w:rsidRPr="005E4F70" w14:paraId="45F4D567" w14:textId="77777777" w:rsidTr="00C34A52">
        <w:trPr>
          <w:trHeight w:val="20"/>
        </w:trPr>
        <w:tc>
          <w:tcPr>
            <w:tcW w:w="2852" w:type="pct"/>
            <w:tcBorders>
              <w:bottom w:val="single" w:sz="6" w:space="0" w:color="auto"/>
            </w:tcBorders>
          </w:tcPr>
          <w:p w14:paraId="5AD469B0"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 xml:space="preserve">Tax collected under the </w:t>
            </w:r>
            <w:r w:rsidR="005E4F70" w:rsidRPr="005E4F70">
              <w:rPr>
                <w:rFonts w:ascii="Times New Roman" w:hAnsi="Times New Roman" w:cs="Times New Roman"/>
                <w:i/>
              </w:rPr>
              <w:t xml:space="preserve">Taxation </w:t>
            </w:r>
            <w:r w:rsidRPr="005E4F70">
              <w:rPr>
                <w:rFonts w:ascii="Times New Roman" w:hAnsi="Times New Roman" w:cs="Times New Roman"/>
              </w:rPr>
              <w:t>(</w:t>
            </w:r>
            <w:r w:rsidR="005E4F70" w:rsidRPr="005E4F70">
              <w:rPr>
                <w:rFonts w:ascii="Times New Roman" w:hAnsi="Times New Roman" w:cs="Times New Roman"/>
                <w:i/>
              </w:rPr>
              <w:t>Unpaid Company Tax</w:t>
            </w:r>
            <w:r w:rsidRPr="005E4F70">
              <w:rPr>
                <w:rFonts w:ascii="Times New Roman" w:hAnsi="Times New Roman" w:cs="Times New Roman"/>
              </w:rPr>
              <w:t>)</w:t>
            </w:r>
            <w:r w:rsidR="005E4F70" w:rsidRPr="005E4F70">
              <w:rPr>
                <w:rFonts w:ascii="Times New Roman" w:hAnsi="Times New Roman" w:cs="Times New Roman"/>
                <w:i/>
              </w:rPr>
              <w:t xml:space="preserve"> Assessment Act 1982</w:t>
            </w:r>
          </w:p>
        </w:tc>
        <w:tc>
          <w:tcPr>
            <w:tcW w:w="2148" w:type="pct"/>
            <w:tcBorders>
              <w:bottom w:val="single" w:sz="6" w:space="0" w:color="auto"/>
            </w:tcBorders>
          </w:tcPr>
          <w:p w14:paraId="21E76AB1" w14:textId="77777777" w:rsidR="007371CE" w:rsidRPr="005E4F70" w:rsidRDefault="007371CE" w:rsidP="00FD71A2">
            <w:pPr>
              <w:spacing w:after="0" w:line="240" w:lineRule="auto"/>
              <w:ind w:left="432" w:hanging="432"/>
              <w:jc w:val="both"/>
              <w:rPr>
                <w:rFonts w:ascii="Times New Roman" w:hAnsi="Times New Roman" w:cs="Times New Roman"/>
              </w:rPr>
            </w:pPr>
            <w:r w:rsidRPr="005E4F70">
              <w:rPr>
                <w:rFonts w:ascii="Times New Roman" w:hAnsi="Times New Roman" w:cs="Times New Roman"/>
              </w:rPr>
              <w:t>Commissioner of Taxation</w:t>
            </w:r>
          </w:p>
        </w:tc>
      </w:tr>
    </w:tbl>
    <w:p w14:paraId="5CABA6BC" w14:textId="77777777" w:rsidR="007371CE" w:rsidRPr="005E4F70" w:rsidRDefault="005E4F70" w:rsidP="00FD71A2">
      <w:pPr>
        <w:spacing w:before="120" w:after="120" w:line="240" w:lineRule="auto"/>
        <w:jc w:val="center"/>
        <w:rPr>
          <w:rFonts w:ascii="Times New Roman" w:hAnsi="Times New Roman" w:cs="Times New Roman"/>
        </w:rPr>
      </w:pPr>
      <w:r w:rsidRPr="005E4F70">
        <w:rPr>
          <w:rFonts w:ascii="Times New Roman" w:hAnsi="Times New Roman" w:cs="Times New Roman"/>
          <w:b/>
        </w:rPr>
        <w:t>NOTE</w:t>
      </w:r>
    </w:p>
    <w:p w14:paraId="40285DBA" w14:textId="77777777" w:rsidR="007371CE" w:rsidRPr="00FD71A2" w:rsidRDefault="007371CE" w:rsidP="005E4F70">
      <w:pPr>
        <w:spacing w:after="0" w:line="240" w:lineRule="auto"/>
        <w:jc w:val="both"/>
        <w:rPr>
          <w:rFonts w:ascii="Times New Roman" w:hAnsi="Times New Roman" w:cs="Times New Roman"/>
          <w:sz w:val="20"/>
        </w:rPr>
      </w:pPr>
      <w:r w:rsidRPr="00FD71A2">
        <w:rPr>
          <w:rFonts w:ascii="Times New Roman" w:hAnsi="Times New Roman" w:cs="Times New Roman"/>
          <w:sz w:val="20"/>
        </w:rPr>
        <w:t>1. No. 99,</w:t>
      </w:r>
      <w:r w:rsidR="00FD71A2">
        <w:rPr>
          <w:rFonts w:ascii="Times New Roman" w:hAnsi="Times New Roman" w:cs="Times New Roman"/>
          <w:sz w:val="20"/>
        </w:rPr>
        <w:t xml:space="preserve"> </w:t>
      </w:r>
      <w:r w:rsidRPr="00FD71A2">
        <w:rPr>
          <w:rFonts w:ascii="Times New Roman" w:hAnsi="Times New Roman" w:cs="Times New Roman"/>
          <w:sz w:val="20"/>
        </w:rPr>
        <w:t>1981, as amended. For previous amendments, see Nos. 8 and 94, 1982.</w:t>
      </w:r>
      <w:bookmarkEnd w:id="0"/>
    </w:p>
    <w:sectPr w:rsidR="007371CE" w:rsidRPr="00FD71A2" w:rsidSect="005E4F70">
      <w:headerReference w:type="even" r:id="rId8"/>
      <w:headerReference w:type="default" r:id="rId9"/>
      <w:footerReference w:type="first" r:id="rId10"/>
      <w:pgSz w:w="10325" w:h="1457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A643C7" w15:done="0"/>
  <w15:commentEx w15:paraId="2194DD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A643C7" w16cid:durableId="1FD4351E"/>
  <w16cid:commentId w16cid:paraId="2194DD59" w16cid:durableId="1FD435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C576F" w14:textId="77777777" w:rsidR="0082109D" w:rsidRDefault="0082109D" w:rsidP="00264D33">
      <w:pPr>
        <w:spacing w:after="0" w:line="240" w:lineRule="auto"/>
      </w:pPr>
      <w:r>
        <w:separator/>
      </w:r>
    </w:p>
  </w:endnote>
  <w:endnote w:type="continuationSeparator" w:id="0">
    <w:p w14:paraId="646B6E9E" w14:textId="77777777" w:rsidR="0082109D" w:rsidRDefault="0082109D" w:rsidP="00264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C3221" w14:textId="77777777" w:rsidR="00264D33" w:rsidRDefault="00264D33" w:rsidP="00264D3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3523D" w14:textId="77777777" w:rsidR="0082109D" w:rsidRDefault="0082109D" w:rsidP="00264D33">
      <w:pPr>
        <w:spacing w:after="0" w:line="240" w:lineRule="auto"/>
      </w:pPr>
      <w:r>
        <w:separator/>
      </w:r>
    </w:p>
  </w:footnote>
  <w:footnote w:type="continuationSeparator" w:id="0">
    <w:p w14:paraId="2667016F" w14:textId="77777777" w:rsidR="0082109D" w:rsidRDefault="0082109D" w:rsidP="00264D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FCDC3" w14:textId="77777777" w:rsidR="00264D33" w:rsidRPr="00264D33" w:rsidRDefault="00264D33" w:rsidP="00264D33">
    <w:pPr>
      <w:tabs>
        <w:tab w:val="left" w:pos="4680"/>
      </w:tabs>
      <w:spacing w:after="0" w:line="240" w:lineRule="auto"/>
      <w:jc w:val="center"/>
      <w:rPr>
        <w:rFonts w:ascii="Times New Roman" w:hAnsi="Times New Roman" w:cs="Times New Roman"/>
        <w:sz w:val="20"/>
      </w:rPr>
    </w:pPr>
    <w:r w:rsidRPr="00264D33">
      <w:rPr>
        <w:rFonts w:ascii="Times New Roman" w:hAnsi="Times New Roman" w:cs="Times New Roman"/>
        <w:i/>
        <w:sz w:val="20"/>
      </w:rPr>
      <w:t>States (Tax Sharing and Health Grants) Amendment</w:t>
    </w:r>
    <w:r w:rsidRPr="00264D33">
      <w:rPr>
        <w:rFonts w:ascii="Times New Roman" w:hAnsi="Times New Roman" w:cs="Times New Roman"/>
        <w:i/>
        <w:sz w:val="20"/>
      </w:rPr>
      <w:tab/>
      <w:t>No. 31, 1983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2B08E" w14:textId="77777777" w:rsidR="00264D33" w:rsidRPr="00264D33" w:rsidRDefault="00264D33" w:rsidP="00264D33">
    <w:pPr>
      <w:tabs>
        <w:tab w:val="left" w:pos="4680"/>
      </w:tabs>
      <w:spacing w:after="0" w:line="240" w:lineRule="auto"/>
      <w:jc w:val="center"/>
      <w:rPr>
        <w:rFonts w:ascii="Times New Roman" w:hAnsi="Times New Roman" w:cs="Times New Roman"/>
        <w:sz w:val="20"/>
      </w:rPr>
    </w:pPr>
    <w:r w:rsidRPr="00264D33">
      <w:rPr>
        <w:rFonts w:ascii="Times New Roman" w:hAnsi="Times New Roman" w:cs="Times New Roman"/>
        <w:i/>
        <w:sz w:val="20"/>
      </w:rPr>
      <w:t>States (Tax Sharing and Health Grants) Amendment</w:t>
    </w:r>
    <w:r w:rsidRPr="00264D33">
      <w:rPr>
        <w:rFonts w:ascii="Times New Roman" w:hAnsi="Times New Roman" w:cs="Times New Roman"/>
        <w:i/>
        <w:sz w:val="20"/>
      </w:rPr>
      <w:tab/>
      <w:t>No. 31, 1983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371CE"/>
    <w:rsid w:val="0016481E"/>
    <w:rsid w:val="00264D33"/>
    <w:rsid w:val="002A0020"/>
    <w:rsid w:val="0040338F"/>
    <w:rsid w:val="0041760A"/>
    <w:rsid w:val="005E4F70"/>
    <w:rsid w:val="0070097F"/>
    <w:rsid w:val="007371CE"/>
    <w:rsid w:val="007F5B48"/>
    <w:rsid w:val="0082109D"/>
    <w:rsid w:val="009A0C95"/>
    <w:rsid w:val="00C00A93"/>
    <w:rsid w:val="00C34A52"/>
    <w:rsid w:val="00D959CE"/>
    <w:rsid w:val="00E013C1"/>
    <w:rsid w:val="00FD7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371CE"/>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371C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371C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371CE"/>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371CE"/>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7371CE"/>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371CE"/>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7371CE"/>
    <w:pPr>
      <w:spacing w:after="0" w:line="240" w:lineRule="auto"/>
    </w:pPr>
    <w:rPr>
      <w:rFonts w:ascii="Times New Roman" w:eastAsia="Times New Roman" w:hAnsi="Times New Roman" w:cs="Times New Roman"/>
      <w:sz w:val="20"/>
      <w:szCs w:val="20"/>
    </w:rPr>
  </w:style>
  <w:style w:type="paragraph" w:customStyle="1" w:styleId="Style1079">
    <w:name w:val="Style1079"/>
    <w:basedOn w:val="Normal"/>
    <w:rsid w:val="007371CE"/>
    <w:pPr>
      <w:spacing w:after="0" w:line="240" w:lineRule="auto"/>
    </w:pPr>
    <w:rPr>
      <w:rFonts w:ascii="Times New Roman" w:eastAsia="Times New Roman" w:hAnsi="Times New Roman" w:cs="Times New Roman"/>
      <w:sz w:val="20"/>
      <w:szCs w:val="20"/>
    </w:rPr>
  </w:style>
  <w:style w:type="paragraph" w:customStyle="1" w:styleId="Style1084">
    <w:name w:val="Style1084"/>
    <w:basedOn w:val="Normal"/>
    <w:rsid w:val="007371CE"/>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7371CE"/>
    <w:pPr>
      <w:spacing w:after="0" w:line="240" w:lineRule="auto"/>
    </w:pPr>
    <w:rPr>
      <w:rFonts w:ascii="Times New Roman" w:eastAsia="Times New Roman" w:hAnsi="Times New Roman" w:cs="Times New Roman"/>
      <w:sz w:val="20"/>
      <w:szCs w:val="20"/>
    </w:rPr>
  </w:style>
  <w:style w:type="paragraph" w:customStyle="1" w:styleId="Style566">
    <w:name w:val="Style566"/>
    <w:basedOn w:val="Normal"/>
    <w:rsid w:val="007371CE"/>
    <w:pPr>
      <w:spacing w:after="0" w:line="240" w:lineRule="auto"/>
    </w:pPr>
    <w:rPr>
      <w:rFonts w:ascii="Times New Roman" w:eastAsia="Times New Roman" w:hAnsi="Times New Roman" w:cs="Times New Roman"/>
      <w:sz w:val="20"/>
      <w:szCs w:val="20"/>
    </w:rPr>
  </w:style>
  <w:style w:type="paragraph" w:customStyle="1" w:styleId="Style1105">
    <w:name w:val="Style1105"/>
    <w:basedOn w:val="Normal"/>
    <w:rsid w:val="007371CE"/>
    <w:pPr>
      <w:spacing w:after="0" w:line="240" w:lineRule="auto"/>
    </w:pPr>
    <w:rPr>
      <w:rFonts w:ascii="Times New Roman" w:eastAsia="Times New Roman" w:hAnsi="Times New Roman" w:cs="Times New Roman"/>
      <w:sz w:val="20"/>
      <w:szCs w:val="20"/>
    </w:rPr>
  </w:style>
  <w:style w:type="paragraph" w:customStyle="1" w:styleId="Style1094">
    <w:name w:val="Style1094"/>
    <w:basedOn w:val="Normal"/>
    <w:rsid w:val="007371CE"/>
    <w:pPr>
      <w:spacing w:after="0" w:line="240" w:lineRule="auto"/>
    </w:pPr>
    <w:rPr>
      <w:rFonts w:ascii="Times New Roman" w:eastAsia="Times New Roman" w:hAnsi="Times New Roman" w:cs="Times New Roman"/>
      <w:sz w:val="20"/>
      <w:szCs w:val="20"/>
    </w:rPr>
  </w:style>
  <w:style w:type="paragraph" w:customStyle="1" w:styleId="Style1131">
    <w:name w:val="Style1131"/>
    <w:basedOn w:val="Normal"/>
    <w:rsid w:val="007371CE"/>
    <w:pPr>
      <w:spacing w:after="0" w:line="240" w:lineRule="auto"/>
    </w:pPr>
    <w:rPr>
      <w:rFonts w:ascii="Times New Roman" w:eastAsia="Times New Roman" w:hAnsi="Times New Roman" w:cs="Times New Roman"/>
      <w:sz w:val="20"/>
      <w:szCs w:val="20"/>
    </w:rPr>
  </w:style>
  <w:style w:type="character" w:customStyle="1" w:styleId="CharStyle22">
    <w:name w:val="CharStyle22"/>
    <w:basedOn w:val="DefaultParagraphFont"/>
    <w:rsid w:val="007371CE"/>
    <w:rPr>
      <w:rFonts w:ascii="Times New Roman" w:eastAsia="Times New Roman" w:hAnsi="Times New Roman" w:cs="Times New Roman"/>
      <w:b w:val="0"/>
      <w:bCs w:val="0"/>
      <w:i/>
      <w:iCs/>
      <w:smallCaps w:val="0"/>
      <w:sz w:val="20"/>
      <w:szCs w:val="20"/>
    </w:rPr>
  </w:style>
  <w:style w:type="character" w:customStyle="1" w:styleId="CharStyle28">
    <w:name w:val="CharStyle28"/>
    <w:basedOn w:val="DefaultParagraphFont"/>
    <w:rsid w:val="007371CE"/>
    <w:rPr>
      <w:rFonts w:ascii="Times New Roman" w:eastAsia="Times New Roman" w:hAnsi="Times New Roman" w:cs="Times New Roman"/>
      <w:b/>
      <w:bCs/>
      <w:i/>
      <w:iCs/>
      <w:smallCaps w:val="0"/>
      <w:sz w:val="24"/>
      <w:szCs w:val="24"/>
    </w:rPr>
  </w:style>
  <w:style w:type="character" w:customStyle="1" w:styleId="CharStyle41">
    <w:name w:val="CharStyle41"/>
    <w:basedOn w:val="DefaultParagraphFont"/>
    <w:rsid w:val="007371CE"/>
    <w:rPr>
      <w:rFonts w:ascii="Times New Roman" w:eastAsia="Times New Roman" w:hAnsi="Times New Roman" w:cs="Times New Roman"/>
      <w:b/>
      <w:bCs/>
      <w:i w:val="0"/>
      <w:iCs w:val="0"/>
      <w:smallCaps w:val="0"/>
      <w:sz w:val="34"/>
      <w:szCs w:val="34"/>
    </w:rPr>
  </w:style>
  <w:style w:type="character" w:customStyle="1" w:styleId="CharStyle63">
    <w:name w:val="CharStyle63"/>
    <w:basedOn w:val="DefaultParagraphFont"/>
    <w:rsid w:val="007371CE"/>
    <w:rPr>
      <w:rFonts w:ascii="Times New Roman" w:eastAsia="Times New Roman" w:hAnsi="Times New Roman" w:cs="Times New Roman"/>
      <w:b w:val="0"/>
      <w:bCs w:val="0"/>
      <w:i w:val="0"/>
      <w:iCs w:val="0"/>
      <w:smallCaps w:val="0"/>
      <w:sz w:val="20"/>
      <w:szCs w:val="20"/>
    </w:rPr>
  </w:style>
  <w:style w:type="character" w:customStyle="1" w:styleId="CharStyle180">
    <w:name w:val="CharStyle180"/>
    <w:basedOn w:val="DefaultParagraphFont"/>
    <w:rsid w:val="007371CE"/>
    <w:rPr>
      <w:rFonts w:ascii="Times New Roman" w:eastAsia="Times New Roman" w:hAnsi="Times New Roman" w:cs="Times New Roman"/>
      <w:b/>
      <w:bCs/>
      <w:i w:val="0"/>
      <w:iCs w:val="0"/>
      <w:smallCaps w:val="0"/>
      <w:sz w:val="24"/>
      <w:szCs w:val="24"/>
    </w:rPr>
  </w:style>
  <w:style w:type="character" w:customStyle="1" w:styleId="CharStyle283">
    <w:name w:val="CharStyle283"/>
    <w:basedOn w:val="DefaultParagraphFont"/>
    <w:rsid w:val="007371CE"/>
    <w:rPr>
      <w:rFonts w:ascii="Times New Roman" w:eastAsia="Times New Roman" w:hAnsi="Times New Roman" w:cs="Times New Roman"/>
      <w:b/>
      <w:bCs/>
      <w:i w:val="0"/>
      <w:iCs w:val="0"/>
      <w:smallCaps w:val="0"/>
      <w:sz w:val="14"/>
      <w:szCs w:val="14"/>
    </w:rPr>
  </w:style>
  <w:style w:type="character" w:customStyle="1" w:styleId="CharStyle425">
    <w:name w:val="CharStyle425"/>
    <w:basedOn w:val="DefaultParagraphFont"/>
    <w:rsid w:val="007371CE"/>
    <w:rPr>
      <w:rFonts w:ascii="Times New Roman" w:eastAsia="Times New Roman" w:hAnsi="Times New Roman" w:cs="Times New Roman"/>
      <w:b/>
      <w:bCs/>
      <w:i w:val="0"/>
      <w:iCs w:val="0"/>
      <w:smallCaps w:val="0"/>
      <w:sz w:val="20"/>
      <w:szCs w:val="20"/>
    </w:rPr>
  </w:style>
  <w:style w:type="character" w:customStyle="1" w:styleId="CharStyle464">
    <w:name w:val="CharStyle464"/>
    <w:basedOn w:val="DefaultParagraphFont"/>
    <w:rsid w:val="007371CE"/>
    <w:rPr>
      <w:rFonts w:ascii="Times New Roman" w:eastAsia="Times New Roman" w:hAnsi="Times New Roman" w:cs="Times New Roman"/>
      <w:b w:val="0"/>
      <w:bCs w:val="0"/>
      <w:i w:val="0"/>
      <w:iCs w:val="0"/>
      <w:smallCaps w:val="0"/>
      <w:sz w:val="16"/>
      <w:szCs w:val="16"/>
    </w:rPr>
  </w:style>
  <w:style w:type="character" w:customStyle="1" w:styleId="CharStyle989">
    <w:name w:val="CharStyle989"/>
    <w:basedOn w:val="DefaultParagraphFont"/>
    <w:rsid w:val="007371CE"/>
    <w:rPr>
      <w:rFonts w:ascii="Times New Roman" w:eastAsia="Times New Roman" w:hAnsi="Times New Roman" w:cs="Times New Roman"/>
      <w:b/>
      <w:bCs/>
      <w:i/>
      <w:iCs/>
      <w:smallCaps w:val="0"/>
      <w:sz w:val="14"/>
      <w:szCs w:val="14"/>
    </w:rPr>
  </w:style>
  <w:style w:type="paragraph" w:styleId="BalloonText">
    <w:name w:val="Balloon Text"/>
    <w:basedOn w:val="Normal"/>
    <w:link w:val="BalloonTextChar"/>
    <w:uiPriority w:val="99"/>
    <w:semiHidden/>
    <w:unhideWhenUsed/>
    <w:rsid w:val="009A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C95"/>
    <w:rPr>
      <w:rFonts w:ascii="Tahoma" w:hAnsi="Tahoma" w:cs="Tahoma"/>
      <w:sz w:val="16"/>
      <w:szCs w:val="16"/>
    </w:rPr>
  </w:style>
  <w:style w:type="paragraph" w:styleId="Header">
    <w:name w:val="header"/>
    <w:basedOn w:val="Normal"/>
    <w:link w:val="HeaderChar"/>
    <w:uiPriority w:val="99"/>
    <w:unhideWhenUsed/>
    <w:rsid w:val="00264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D33"/>
  </w:style>
  <w:style w:type="paragraph" w:styleId="Footer">
    <w:name w:val="footer"/>
    <w:basedOn w:val="Normal"/>
    <w:link w:val="FooterChar"/>
    <w:uiPriority w:val="99"/>
    <w:semiHidden/>
    <w:unhideWhenUsed/>
    <w:rsid w:val="00264D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4D33"/>
  </w:style>
  <w:style w:type="character" w:styleId="CommentReference">
    <w:name w:val="annotation reference"/>
    <w:basedOn w:val="DefaultParagraphFont"/>
    <w:uiPriority w:val="99"/>
    <w:semiHidden/>
    <w:unhideWhenUsed/>
    <w:rsid w:val="002A0020"/>
    <w:rPr>
      <w:sz w:val="16"/>
      <w:szCs w:val="16"/>
    </w:rPr>
  </w:style>
  <w:style w:type="paragraph" w:styleId="CommentText">
    <w:name w:val="annotation text"/>
    <w:basedOn w:val="Normal"/>
    <w:link w:val="CommentTextChar"/>
    <w:uiPriority w:val="99"/>
    <w:semiHidden/>
    <w:unhideWhenUsed/>
    <w:rsid w:val="002A0020"/>
    <w:pPr>
      <w:spacing w:line="240" w:lineRule="auto"/>
    </w:pPr>
    <w:rPr>
      <w:sz w:val="20"/>
      <w:szCs w:val="20"/>
    </w:rPr>
  </w:style>
  <w:style w:type="character" w:customStyle="1" w:styleId="CommentTextChar">
    <w:name w:val="Comment Text Char"/>
    <w:basedOn w:val="DefaultParagraphFont"/>
    <w:link w:val="CommentText"/>
    <w:uiPriority w:val="99"/>
    <w:semiHidden/>
    <w:rsid w:val="002A0020"/>
    <w:rPr>
      <w:sz w:val="20"/>
      <w:szCs w:val="20"/>
    </w:rPr>
  </w:style>
  <w:style w:type="paragraph" w:styleId="CommentSubject">
    <w:name w:val="annotation subject"/>
    <w:basedOn w:val="CommentText"/>
    <w:next w:val="CommentText"/>
    <w:link w:val="CommentSubjectChar"/>
    <w:uiPriority w:val="99"/>
    <w:semiHidden/>
    <w:unhideWhenUsed/>
    <w:rsid w:val="002A0020"/>
    <w:rPr>
      <w:b/>
      <w:bCs/>
    </w:rPr>
  </w:style>
  <w:style w:type="character" w:customStyle="1" w:styleId="CommentSubjectChar">
    <w:name w:val="Comment Subject Char"/>
    <w:basedOn w:val="CommentTextChar"/>
    <w:link w:val="CommentSubject"/>
    <w:uiPriority w:val="99"/>
    <w:semiHidden/>
    <w:rsid w:val="002A0020"/>
    <w:rPr>
      <w:b/>
      <w:bCs/>
      <w:sz w:val="20"/>
      <w:szCs w:val="20"/>
    </w:rPr>
  </w:style>
  <w:style w:type="paragraph" w:styleId="Revision">
    <w:name w:val="Revision"/>
    <w:hidden/>
    <w:uiPriority w:val="99"/>
    <w:semiHidden/>
    <w:rsid w:val="00C34A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McCaskill, Bronwyn</cp:lastModifiedBy>
  <cp:revision>3</cp:revision>
  <dcterms:created xsi:type="dcterms:W3CDTF">2018-12-30T20:29:00Z</dcterms:created>
  <dcterms:modified xsi:type="dcterms:W3CDTF">2019-09-17T00:44:00Z</dcterms:modified>
</cp:coreProperties>
</file>