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EA7AD" w14:textId="77777777" w:rsidR="00577D0F" w:rsidRDefault="00577D0F" w:rsidP="00577D0F">
      <w:pPr>
        <w:spacing w:after="12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1156AF31" wp14:editId="458BA1E0">
            <wp:extent cx="1096434" cy="813917"/>
            <wp:effectExtent l="19050" t="0" r="8466"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1095041" cy="812883"/>
                    </a:xfrm>
                    <a:prstGeom prst="rect">
                      <a:avLst/>
                    </a:prstGeom>
                  </pic:spPr>
                </pic:pic>
              </a:graphicData>
            </a:graphic>
          </wp:inline>
        </w:drawing>
      </w:r>
    </w:p>
    <w:p w14:paraId="3433792E" w14:textId="77777777" w:rsidR="00232131" w:rsidRPr="00577D0F" w:rsidRDefault="000643CF" w:rsidP="00577D0F">
      <w:pPr>
        <w:spacing w:after="120" w:line="240" w:lineRule="auto"/>
        <w:jc w:val="center"/>
        <w:rPr>
          <w:rFonts w:ascii="Times New Roman" w:hAnsi="Times New Roman" w:cs="Times New Roman"/>
          <w:b/>
          <w:sz w:val="36"/>
        </w:rPr>
      </w:pPr>
      <w:r w:rsidRPr="00577D0F">
        <w:rPr>
          <w:rFonts w:ascii="Times New Roman" w:hAnsi="Times New Roman" w:cs="Times New Roman"/>
          <w:b/>
          <w:sz w:val="36"/>
        </w:rPr>
        <w:t>C</w:t>
      </w:r>
      <w:bookmarkStart w:id="0" w:name="_GoBack"/>
      <w:bookmarkEnd w:id="0"/>
      <w:r w:rsidRPr="00577D0F">
        <w:rPr>
          <w:rFonts w:ascii="Times New Roman" w:hAnsi="Times New Roman" w:cs="Times New Roman"/>
          <w:b/>
          <w:sz w:val="36"/>
        </w:rPr>
        <w:t>anned Fruits Levy Amendment Act 1982</w:t>
      </w:r>
    </w:p>
    <w:p w14:paraId="35BCB1AD" w14:textId="77777777" w:rsidR="00232131" w:rsidRPr="00577D0F" w:rsidRDefault="000643CF" w:rsidP="00577D0F">
      <w:pPr>
        <w:spacing w:after="120" w:line="240" w:lineRule="auto"/>
        <w:jc w:val="center"/>
        <w:rPr>
          <w:rFonts w:ascii="Times New Roman" w:hAnsi="Times New Roman" w:cs="Times New Roman"/>
          <w:b/>
          <w:sz w:val="28"/>
        </w:rPr>
      </w:pPr>
      <w:r w:rsidRPr="00577D0F">
        <w:rPr>
          <w:rFonts w:ascii="Times New Roman" w:hAnsi="Times New Roman" w:cs="Times New Roman"/>
          <w:b/>
          <w:sz w:val="28"/>
        </w:rPr>
        <w:t>No. 18 of 1982</w:t>
      </w:r>
    </w:p>
    <w:p w14:paraId="22F91D21" w14:textId="77777777" w:rsidR="00577D0F" w:rsidRDefault="00577D0F" w:rsidP="00577D0F">
      <w:pPr>
        <w:pBdr>
          <w:bottom w:val="thickThinSmallGap" w:sz="12" w:space="1" w:color="auto"/>
        </w:pBdr>
        <w:spacing w:after="120" w:line="240" w:lineRule="auto"/>
        <w:jc w:val="center"/>
        <w:rPr>
          <w:rFonts w:ascii="Times New Roman" w:hAnsi="Times New Roman" w:cs="Times New Roman"/>
          <w:b/>
        </w:rPr>
      </w:pPr>
    </w:p>
    <w:p w14:paraId="49DF4850" w14:textId="77777777" w:rsidR="00232131" w:rsidRPr="00577D0F" w:rsidRDefault="000643CF" w:rsidP="00577D0F">
      <w:pPr>
        <w:spacing w:after="120" w:line="240" w:lineRule="auto"/>
        <w:jc w:val="center"/>
        <w:rPr>
          <w:rFonts w:ascii="Times New Roman" w:hAnsi="Times New Roman" w:cs="Times New Roman"/>
          <w:b/>
          <w:sz w:val="26"/>
        </w:rPr>
      </w:pPr>
      <w:r w:rsidRPr="00577D0F">
        <w:rPr>
          <w:rFonts w:ascii="Times New Roman" w:hAnsi="Times New Roman" w:cs="Times New Roman"/>
          <w:b/>
          <w:sz w:val="26"/>
        </w:rPr>
        <w:t xml:space="preserve">An Act to amend the </w:t>
      </w:r>
      <w:r w:rsidRPr="00577D0F">
        <w:rPr>
          <w:rFonts w:ascii="Times New Roman" w:hAnsi="Times New Roman" w:cs="Times New Roman"/>
          <w:b/>
          <w:i/>
          <w:sz w:val="26"/>
        </w:rPr>
        <w:t xml:space="preserve">Canned Fruits Levy Act </w:t>
      </w:r>
      <w:r w:rsidRPr="00577D0F">
        <w:rPr>
          <w:rFonts w:ascii="Times New Roman" w:hAnsi="Times New Roman" w:cs="Times New Roman"/>
          <w:b/>
          <w:sz w:val="26"/>
        </w:rPr>
        <w:t>1979</w:t>
      </w:r>
    </w:p>
    <w:p w14:paraId="15E6104A" w14:textId="77777777" w:rsidR="00232131" w:rsidRPr="00577D0F" w:rsidRDefault="000643CF" w:rsidP="00577D0F">
      <w:pPr>
        <w:spacing w:after="120" w:line="240" w:lineRule="auto"/>
        <w:jc w:val="right"/>
        <w:rPr>
          <w:rFonts w:ascii="Times New Roman" w:hAnsi="Times New Roman" w:cs="Times New Roman"/>
          <w:sz w:val="24"/>
        </w:rPr>
      </w:pPr>
      <w:r w:rsidRPr="003D7647">
        <w:rPr>
          <w:rFonts w:ascii="Times New Roman" w:hAnsi="Times New Roman" w:cs="Times New Roman"/>
          <w:sz w:val="24"/>
        </w:rPr>
        <w:t>[</w:t>
      </w:r>
      <w:r w:rsidRPr="00577D0F">
        <w:rPr>
          <w:rFonts w:ascii="Times New Roman" w:hAnsi="Times New Roman" w:cs="Times New Roman"/>
          <w:i/>
          <w:sz w:val="24"/>
        </w:rPr>
        <w:t>Assented to 28 April 1982</w:t>
      </w:r>
      <w:r w:rsidRPr="003D7647">
        <w:rPr>
          <w:rFonts w:ascii="Times New Roman" w:hAnsi="Times New Roman" w:cs="Times New Roman"/>
          <w:sz w:val="24"/>
        </w:rPr>
        <w:t>]</w:t>
      </w:r>
    </w:p>
    <w:p w14:paraId="360B9796" w14:textId="77777777" w:rsidR="00232131" w:rsidRPr="00577D0F" w:rsidRDefault="00232131" w:rsidP="00577D0F">
      <w:pPr>
        <w:spacing w:after="0" w:line="240" w:lineRule="auto"/>
        <w:ind w:firstLine="432"/>
        <w:jc w:val="both"/>
        <w:rPr>
          <w:rFonts w:ascii="Times New Roman" w:hAnsi="Times New Roman" w:cs="Times New Roman"/>
          <w:sz w:val="24"/>
        </w:rPr>
      </w:pPr>
      <w:r w:rsidRPr="00577D0F">
        <w:rPr>
          <w:rFonts w:ascii="Times New Roman" w:hAnsi="Times New Roman" w:cs="Times New Roman"/>
          <w:sz w:val="24"/>
        </w:rPr>
        <w:t>BE IT ENACTED by the Queen, and the Senate and the House of Representatives of the Commonwealth of Australia, as follows:</w:t>
      </w:r>
    </w:p>
    <w:p w14:paraId="75C331E0" w14:textId="77777777" w:rsidR="00232131" w:rsidRPr="004B0AE1" w:rsidRDefault="000643CF" w:rsidP="004B0AE1">
      <w:pPr>
        <w:spacing w:before="120" w:after="60" w:line="240" w:lineRule="auto"/>
        <w:jc w:val="both"/>
        <w:rPr>
          <w:rFonts w:ascii="Times New Roman" w:hAnsi="Times New Roman" w:cs="Times New Roman"/>
          <w:b/>
          <w:sz w:val="20"/>
        </w:rPr>
      </w:pPr>
      <w:r w:rsidRPr="004B0AE1">
        <w:rPr>
          <w:rFonts w:ascii="Times New Roman" w:hAnsi="Times New Roman" w:cs="Times New Roman"/>
          <w:b/>
          <w:sz w:val="20"/>
        </w:rPr>
        <w:t>Short title, &amp;c.</w:t>
      </w:r>
    </w:p>
    <w:p w14:paraId="5C5D5D27" w14:textId="77777777" w:rsidR="00232131" w:rsidRPr="000643CF" w:rsidRDefault="000643CF" w:rsidP="004B0AE1">
      <w:pPr>
        <w:spacing w:after="60" w:line="240" w:lineRule="auto"/>
        <w:ind w:firstLine="432"/>
        <w:jc w:val="both"/>
        <w:rPr>
          <w:rFonts w:ascii="Times New Roman" w:hAnsi="Times New Roman" w:cs="Times New Roman"/>
        </w:rPr>
      </w:pPr>
      <w:r w:rsidRPr="000643CF">
        <w:rPr>
          <w:rFonts w:ascii="Times New Roman" w:hAnsi="Times New Roman" w:cs="Times New Roman"/>
          <w:b/>
        </w:rPr>
        <w:t>1.</w:t>
      </w:r>
      <w:r w:rsidR="00232131" w:rsidRPr="000643CF">
        <w:rPr>
          <w:rFonts w:ascii="Times New Roman" w:hAnsi="Times New Roman" w:cs="Times New Roman"/>
        </w:rPr>
        <w:t xml:space="preserve"> </w:t>
      </w:r>
      <w:r w:rsidRPr="000643CF">
        <w:rPr>
          <w:rFonts w:ascii="Times New Roman" w:hAnsi="Times New Roman" w:cs="Times New Roman"/>
          <w:b/>
        </w:rPr>
        <w:t xml:space="preserve">(1) </w:t>
      </w:r>
      <w:r w:rsidR="00232131" w:rsidRPr="000643CF">
        <w:rPr>
          <w:rFonts w:ascii="Times New Roman" w:hAnsi="Times New Roman" w:cs="Times New Roman"/>
        </w:rPr>
        <w:t xml:space="preserve">This Act may be cited as the </w:t>
      </w:r>
      <w:r w:rsidRPr="000643CF">
        <w:rPr>
          <w:rFonts w:ascii="Times New Roman" w:hAnsi="Times New Roman" w:cs="Times New Roman"/>
          <w:i/>
        </w:rPr>
        <w:t xml:space="preserve">Canned Fruits Levy Amendment Act </w:t>
      </w:r>
      <w:r w:rsidR="00232131" w:rsidRPr="000643CF">
        <w:rPr>
          <w:rFonts w:ascii="Times New Roman" w:hAnsi="Times New Roman" w:cs="Times New Roman"/>
        </w:rPr>
        <w:t>1982.</w:t>
      </w:r>
    </w:p>
    <w:p w14:paraId="04CB87E6" w14:textId="07DBAA68" w:rsidR="00232131" w:rsidRPr="000643CF" w:rsidRDefault="000643CF" w:rsidP="004B0AE1">
      <w:pPr>
        <w:spacing w:after="60" w:line="240" w:lineRule="auto"/>
        <w:ind w:firstLine="432"/>
        <w:jc w:val="both"/>
        <w:rPr>
          <w:rFonts w:ascii="Times New Roman" w:hAnsi="Times New Roman" w:cs="Times New Roman"/>
        </w:rPr>
      </w:pPr>
      <w:r w:rsidRPr="000643CF">
        <w:rPr>
          <w:rFonts w:ascii="Times New Roman" w:hAnsi="Times New Roman" w:cs="Times New Roman"/>
          <w:b/>
        </w:rPr>
        <w:t xml:space="preserve">(2) </w:t>
      </w:r>
      <w:r w:rsidR="00232131" w:rsidRPr="000643CF">
        <w:rPr>
          <w:rFonts w:ascii="Times New Roman" w:hAnsi="Times New Roman" w:cs="Times New Roman"/>
        </w:rPr>
        <w:t xml:space="preserve">The </w:t>
      </w:r>
      <w:r w:rsidRPr="000643CF">
        <w:rPr>
          <w:rFonts w:ascii="Times New Roman" w:hAnsi="Times New Roman" w:cs="Times New Roman"/>
          <w:i/>
        </w:rPr>
        <w:t xml:space="preserve">Canned Fruits Levy Act </w:t>
      </w:r>
      <w:r w:rsidR="00232131" w:rsidRPr="000643CF">
        <w:rPr>
          <w:rFonts w:ascii="Times New Roman" w:hAnsi="Times New Roman" w:cs="Times New Roman"/>
        </w:rPr>
        <w:t>1979</w:t>
      </w:r>
      <w:r w:rsidR="00546F36" w:rsidRPr="00546F36">
        <w:rPr>
          <w:rFonts w:ascii="Times New Roman" w:hAnsi="Times New Roman" w:cs="Times New Roman"/>
          <w:vertAlign w:val="superscript"/>
        </w:rPr>
        <w:t>1</w:t>
      </w:r>
      <w:r w:rsidR="00232131" w:rsidRPr="000643CF">
        <w:rPr>
          <w:rFonts w:ascii="Times New Roman" w:hAnsi="Times New Roman" w:cs="Times New Roman"/>
        </w:rPr>
        <w:t xml:space="preserve"> is in this Act referred to as the Principal Act.</w:t>
      </w:r>
    </w:p>
    <w:p w14:paraId="0F293728" w14:textId="77777777" w:rsidR="00232131" w:rsidRPr="004B0AE1" w:rsidRDefault="000643CF" w:rsidP="004B0AE1">
      <w:pPr>
        <w:spacing w:before="120" w:after="60" w:line="240" w:lineRule="auto"/>
        <w:jc w:val="both"/>
        <w:rPr>
          <w:rFonts w:ascii="Times New Roman" w:hAnsi="Times New Roman" w:cs="Times New Roman"/>
          <w:b/>
          <w:sz w:val="20"/>
        </w:rPr>
      </w:pPr>
      <w:r w:rsidRPr="004B0AE1">
        <w:rPr>
          <w:rFonts w:ascii="Times New Roman" w:hAnsi="Times New Roman" w:cs="Times New Roman"/>
          <w:b/>
          <w:sz w:val="20"/>
        </w:rPr>
        <w:t>Commencement</w:t>
      </w:r>
    </w:p>
    <w:p w14:paraId="3B35C0A4" w14:textId="77777777" w:rsidR="00232131" w:rsidRPr="000643CF" w:rsidRDefault="000643CF" w:rsidP="004B0AE1">
      <w:pPr>
        <w:spacing w:after="60" w:line="240" w:lineRule="auto"/>
        <w:ind w:firstLine="432"/>
        <w:jc w:val="both"/>
        <w:rPr>
          <w:rFonts w:ascii="Times New Roman" w:hAnsi="Times New Roman" w:cs="Times New Roman"/>
        </w:rPr>
      </w:pPr>
      <w:r w:rsidRPr="000643CF">
        <w:rPr>
          <w:rFonts w:ascii="Times New Roman" w:hAnsi="Times New Roman" w:cs="Times New Roman"/>
          <w:b/>
        </w:rPr>
        <w:t>2.</w:t>
      </w:r>
      <w:r w:rsidR="00232131" w:rsidRPr="000643CF">
        <w:rPr>
          <w:rFonts w:ascii="Times New Roman" w:hAnsi="Times New Roman" w:cs="Times New Roman"/>
        </w:rPr>
        <w:t xml:space="preserve"> This Act shall come into operation on the day on which it receives the Royal Assent.</w:t>
      </w:r>
    </w:p>
    <w:p w14:paraId="182C1585" w14:textId="77777777" w:rsidR="00232131" w:rsidRPr="004B0AE1" w:rsidRDefault="000643CF" w:rsidP="004B0AE1">
      <w:pPr>
        <w:spacing w:before="120" w:after="60" w:line="240" w:lineRule="auto"/>
        <w:jc w:val="both"/>
        <w:rPr>
          <w:rFonts w:ascii="Times New Roman" w:hAnsi="Times New Roman" w:cs="Times New Roman"/>
          <w:b/>
          <w:sz w:val="20"/>
        </w:rPr>
      </w:pPr>
      <w:r w:rsidRPr="004B0AE1">
        <w:rPr>
          <w:rFonts w:ascii="Times New Roman" w:hAnsi="Times New Roman" w:cs="Times New Roman"/>
          <w:b/>
          <w:sz w:val="20"/>
        </w:rPr>
        <w:t>Rate of levy</w:t>
      </w:r>
    </w:p>
    <w:p w14:paraId="6E423CCC" w14:textId="77777777" w:rsidR="00232131" w:rsidRPr="000643CF" w:rsidRDefault="000643CF" w:rsidP="004B0AE1">
      <w:pPr>
        <w:spacing w:after="60" w:line="240" w:lineRule="auto"/>
        <w:ind w:firstLine="432"/>
        <w:jc w:val="both"/>
        <w:rPr>
          <w:rFonts w:ascii="Times New Roman" w:hAnsi="Times New Roman" w:cs="Times New Roman"/>
        </w:rPr>
      </w:pPr>
      <w:r w:rsidRPr="000643CF">
        <w:rPr>
          <w:rFonts w:ascii="Times New Roman" w:hAnsi="Times New Roman" w:cs="Times New Roman"/>
          <w:b/>
        </w:rPr>
        <w:t>3.</w:t>
      </w:r>
      <w:r w:rsidR="00232131" w:rsidRPr="000643CF">
        <w:rPr>
          <w:rFonts w:ascii="Times New Roman" w:hAnsi="Times New Roman" w:cs="Times New Roman"/>
        </w:rPr>
        <w:t xml:space="preserve"> Section 6 of the Principal Act is amended by omitting from sub-section (1) </w:t>
      </w:r>
      <w:r>
        <w:rPr>
          <w:rFonts w:ascii="Times New Roman" w:hAnsi="Times New Roman" w:cs="Times New Roman"/>
        </w:rPr>
        <w:t>“</w:t>
      </w:r>
      <w:r w:rsidR="00232131" w:rsidRPr="000643CF">
        <w:rPr>
          <w:rFonts w:ascii="Times New Roman" w:hAnsi="Times New Roman" w:cs="Times New Roman"/>
        </w:rPr>
        <w:t>the Schedule</w:t>
      </w:r>
      <w:r>
        <w:rPr>
          <w:rFonts w:ascii="Times New Roman" w:hAnsi="Times New Roman" w:cs="Times New Roman"/>
        </w:rPr>
        <w:t>”</w:t>
      </w:r>
      <w:r w:rsidR="00232131" w:rsidRPr="000643CF">
        <w:rPr>
          <w:rFonts w:ascii="Times New Roman" w:hAnsi="Times New Roman" w:cs="Times New Roman"/>
        </w:rPr>
        <w:t xml:space="preserve"> and substituting </w:t>
      </w:r>
      <w:r>
        <w:rPr>
          <w:rFonts w:ascii="Times New Roman" w:hAnsi="Times New Roman" w:cs="Times New Roman"/>
        </w:rPr>
        <w:t>“</w:t>
      </w:r>
      <w:r w:rsidR="00232131" w:rsidRPr="000643CF">
        <w:rPr>
          <w:rFonts w:ascii="Times New Roman" w:hAnsi="Times New Roman" w:cs="Times New Roman"/>
        </w:rPr>
        <w:t>Schedule 1</w:t>
      </w:r>
      <w:r>
        <w:rPr>
          <w:rFonts w:ascii="Times New Roman" w:hAnsi="Times New Roman" w:cs="Times New Roman"/>
        </w:rPr>
        <w:t>”</w:t>
      </w:r>
      <w:r w:rsidR="00232131" w:rsidRPr="000643CF">
        <w:rPr>
          <w:rFonts w:ascii="Times New Roman" w:hAnsi="Times New Roman" w:cs="Times New Roman"/>
        </w:rPr>
        <w:t>.</w:t>
      </w:r>
    </w:p>
    <w:p w14:paraId="7E2341C3" w14:textId="77777777" w:rsidR="00232131" w:rsidRPr="000643CF" w:rsidRDefault="000643CF" w:rsidP="009513B6">
      <w:pPr>
        <w:spacing w:after="60" w:line="240" w:lineRule="auto"/>
        <w:ind w:firstLine="432"/>
        <w:jc w:val="both"/>
        <w:rPr>
          <w:rFonts w:ascii="Times New Roman" w:hAnsi="Times New Roman" w:cs="Times New Roman"/>
        </w:rPr>
      </w:pPr>
      <w:r w:rsidRPr="000643CF">
        <w:rPr>
          <w:rFonts w:ascii="Times New Roman" w:hAnsi="Times New Roman" w:cs="Times New Roman"/>
        </w:rPr>
        <w:br w:type="page"/>
      </w:r>
      <w:r w:rsidRPr="009513B6">
        <w:rPr>
          <w:rFonts w:ascii="Times New Roman" w:hAnsi="Times New Roman" w:cs="Times New Roman"/>
          <w:b/>
        </w:rPr>
        <w:lastRenderedPageBreak/>
        <w:t>4.</w:t>
      </w:r>
      <w:r w:rsidRPr="009513B6">
        <w:rPr>
          <w:rFonts w:ascii="Times New Roman" w:hAnsi="Times New Roman" w:cs="Times New Roman"/>
        </w:rPr>
        <w:t xml:space="preserve"> </w:t>
      </w:r>
      <w:r w:rsidR="00232131" w:rsidRPr="000643CF">
        <w:rPr>
          <w:rFonts w:ascii="Times New Roman" w:hAnsi="Times New Roman" w:cs="Times New Roman"/>
        </w:rPr>
        <w:t>After section 6 of the Principal Act the following section is inserted:</w:t>
      </w:r>
    </w:p>
    <w:p w14:paraId="299EC629" w14:textId="77777777" w:rsidR="00232131" w:rsidRPr="000C744A" w:rsidRDefault="000643CF" w:rsidP="000C744A">
      <w:pPr>
        <w:spacing w:before="120" w:after="60" w:line="240" w:lineRule="auto"/>
        <w:jc w:val="both"/>
        <w:rPr>
          <w:rFonts w:ascii="Times New Roman" w:hAnsi="Times New Roman" w:cs="Times New Roman"/>
          <w:b/>
          <w:sz w:val="20"/>
        </w:rPr>
      </w:pPr>
      <w:r w:rsidRPr="000C744A">
        <w:rPr>
          <w:rFonts w:ascii="Times New Roman" w:hAnsi="Times New Roman" w:cs="Times New Roman"/>
          <w:b/>
          <w:sz w:val="20"/>
        </w:rPr>
        <w:t>Temporary rate of levy</w:t>
      </w:r>
    </w:p>
    <w:p w14:paraId="4B24D129" w14:textId="77777777" w:rsidR="00232131" w:rsidRPr="000643CF" w:rsidRDefault="000643CF" w:rsidP="00421081">
      <w:pPr>
        <w:spacing w:after="60" w:line="240" w:lineRule="auto"/>
        <w:ind w:firstLine="432"/>
        <w:jc w:val="both"/>
        <w:rPr>
          <w:rFonts w:ascii="Times New Roman" w:hAnsi="Times New Roman" w:cs="Times New Roman"/>
        </w:rPr>
      </w:pPr>
      <w:r>
        <w:rPr>
          <w:rFonts w:ascii="Times New Roman" w:hAnsi="Times New Roman" w:cs="Times New Roman"/>
        </w:rPr>
        <w:t>“</w:t>
      </w:r>
      <w:r w:rsidR="00232131" w:rsidRPr="000643CF">
        <w:rPr>
          <w:rFonts w:ascii="Times New Roman" w:hAnsi="Times New Roman" w:cs="Times New Roman"/>
        </w:rPr>
        <w:t>6</w:t>
      </w:r>
      <w:r w:rsidR="00421081" w:rsidRPr="00421081">
        <w:rPr>
          <w:rFonts w:ascii="Times New Roman" w:hAnsi="Times New Roman" w:cs="Times New Roman"/>
          <w:smallCaps/>
        </w:rPr>
        <w:t>a</w:t>
      </w:r>
      <w:r w:rsidR="00232131" w:rsidRPr="000643CF">
        <w:rPr>
          <w:rFonts w:ascii="Times New Roman" w:hAnsi="Times New Roman" w:cs="Times New Roman"/>
        </w:rPr>
        <w:t>. (1) Notwithstanding section 6 and the regulations that, immediately before the commencement of this section, were in force for the purposes of section 6, but subject to sub-section (2) of this section, the rates of levy in respect of canned fruits produced on or after 1 January 1982 shall be deemed to have been, and to be, the rates ascertained in accordance with Schedule 2.</w:t>
      </w:r>
    </w:p>
    <w:p w14:paraId="5E78E98F" w14:textId="430AC7F3" w:rsidR="00232131" w:rsidRPr="000643CF" w:rsidRDefault="000643CF" w:rsidP="00421081">
      <w:pPr>
        <w:spacing w:after="60" w:line="240" w:lineRule="auto"/>
        <w:ind w:firstLine="432"/>
        <w:jc w:val="both"/>
        <w:rPr>
          <w:rFonts w:ascii="Times New Roman" w:hAnsi="Times New Roman" w:cs="Times New Roman"/>
        </w:rPr>
      </w:pPr>
      <w:r>
        <w:rPr>
          <w:rFonts w:ascii="Times New Roman" w:hAnsi="Times New Roman" w:cs="Times New Roman"/>
        </w:rPr>
        <w:t>“</w:t>
      </w:r>
      <w:r w:rsidR="00232131" w:rsidRPr="000643CF">
        <w:rPr>
          <w:rFonts w:ascii="Times New Roman" w:hAnsi="Times New Roman" w:cs="Times New Roman"/>
        </w:rPr>
        <w:t>(2) This section does not prevent the making of regulations for the purposes of sub-section 6</w:t>
      </w:r>
      <w:r w:rsidR="00546F36">
        <w:rPr>
          <w:rFonts w:ascii="Times New Roman" w:hAnsi="Times New Roman" w:cs="Times New Roman"/>
        </w:rPr>
        <w:t xml:space="preserve"> </w:t>
      </w:r>
      <w:r w:rsidR="00232131" w:rsidRPr="000643CF">
        <w:rPr>
          <w:rFonts w:ascii="Times New Roman" w:hAnsi="Times New Roman" w:cs="Times New Roman"/>
        </w:rPr>
        <w:t>(1) fixing rates of levy that differ from the rates of levy ascertained in accordance with Schedule 2 and, if regulations are so made, the rates of levy specified in Schedule 2 cease to apply.</w:t>
      </w:r>
      <w:r>
        <w:rPr>
          <w:rFonts w:ascii="Times New Roman" w:hAnsi="Times New Roman" w:cs="Times New Roman"/>
        </w:rPr>
        <w:t>”</w:t>
      </w:r>
      <w:r w:rsidR="00232131" w:rsidRPr="000643CF">
        <w:rPr>
          <w:rFonts w:ascii="Times New Roman" w:hAnsi="Times New Roman" w:cs="Times New Roman"/>
        </w:rPr>
        <w:t>.</w:t>
      </w:r>
    </w:p>
    <w:p w14:paraId="5FA500B8" w14:textId="77777777" w:rsidR="00232131" w:rsidRPr="000C744A" w:rsidRDefault="000643CF" w:rsidP="000C744A">
      <w:pPr>
        <w:spacing w:before="120" w:after="60" w:line="240" w:lineRule="auto"/>
        <w:jc w:val="both"/>
        <w:rPr>
          <w:rFonts w:ascii="Times New Roman" w:hAnsi="Times New Roman" w:cs="Times New Roman"/>
          <w:b/>
          <w:sz w:val="20"/>
        </w:rPr>
      </w:pPr>
      <w:r w:rsidRPr="000C744A">
        <w:rPr>
          <w:rFonts w:ascii="Times New Roman" w:hAnsi="Times New Roman" w:cs="Times New Roman"/>
          <w:b/>
          <w:sz w:val="20"/>
        </w:rPr>
        <w:t>Schedules</w:t>
      </w:r>
    </w:p>
    <w:p w14:paraId="581970A7" w14:textId="77777777" w:rsidR="00232131" w:rsidRPr="000643CF" w:rsidRDefault="000643CF" w:rsidP="00421081">
      <w:pPr>
        <w:spacing w:after="60" w:line="240" w:lineRule="auto"/>
        <w:ind w:firstLine="432"/>
        <w:jc w:val="both"/>
        <w:rPr>
          <w:rFonts w:ascii="Times New Roman" w:hAnsi="Times New Roman" w:cs="Times New Roman"/>
        </w:rPr>
      </w:pPr>
      <w:r w:rsidRPr="000643CF">
        <w:rPr>
          <w:rFonts w:ascii="Times New Roman" w:hAnsi="Times New Roman" w:cs="Times New Roman"/>
          <w:b/>
        </w:rPr>
        <w:t>5.</w:t>
      </w:r>
      <w:r w:rsidR="00232131" w:rsidRPr="000643CF">
        <w:rPr>
          <w:rFonts w:ascii="Times New Roman" w:hAnsi="Times New Roman" w:cs="Times New Roman"/>
        </w:rPr>
        <w:t xml:space="preserve"> The Schedule to the Principal Act is repealed and the following Schedules are substituted:</w:t>
      </w:r>
    </w:p>
    <w:p w14:paraId="6303A064" w14:textId="77777777" w:rsidR="00232131" w:rsidRPr="000643CF" w:rsidRDefault="00232131" w:rsidP="004269D8">
      <w:pPr>
        <w:tabs>
          <w:tab w:val="left" w:pos="3330"/>
        </w:tabs>
        <w:spacing w:after="60" w:line="240" w:lineRule="auto"/>
        <w:jc w:val="right"/>
        <w:rPr>
          <w:rFonts w:ascii="Times New Roman" w:hAnsi="Times New Roman" w:cs="Times New Roman"/>
        </w:rPr>
      </w:pPr>
      <w:r w:rsidRPr="004269D8">
        <w:rPr>
          <w:rFonts w:ascii="Times New Roman" w:hAnsi="Times New Roman" w:cs="Times New Roman"/>
          <w:b/>
        </w:rPr>
        <w:t xml:space="preserve">SCHEDULE </w:t>
      </w:r>
      <w:r w:rsidR="000643CF" w:rsidRPr="004269D8">
        <w:rPr>
          <w:rFonts w:ascii="Times New Roman" w:hAnsi="Times New Roman" w:cs="Times New Roman"/>
          <w:b/>
          <w:smallCaps/>
        </w:rPr>
        <w:t>1</w:t>
      </w:r>
      <w:r w:rsidR="004269D8">
        <w:rPr>
          <w:rFonts w:ascii="Times New Roman" w:hAnsi="Times New Roman" w:cs="Times New Roman"/>
          <w:b/>
          <w:smallCaps/>
        </w:rPr>
        <w:tab/>
      </w:r>
      <w:r w:rsidRPr="000643CF">
        <w:rPr>
          <w:rFonts w:ascii="Times New Roman" w:hAnsi="Times New Roman" w:cs="Times New Roman"/>
        </w:rPr>
        <w:t>Section 6</w:t>
      </w:r>
    </w:p>
    <w:p w14:paraId="1D2D017C" w14:textId="77777777" w:rsidR="00232131" w:rsidRPr="004269D8" w:rsidRDefault="000643CF" w:rsidP="00BB0DCC">
      <w:pPr>
        <w:spacing w:after="60" w:line="240" w:lineRule="auto"/>
        <w:jc w:val="center"/>
        <w:rPr>
          <w:rFonts w:ascii="Times New Roman" w:hAnsi="Times New Roman" w:cs="Times New Roman"/>
        </w:rPr>
      </w:pPr>
      <w:r w:rsidRPr="004269D8">
        <w:rPr>
          <w:rFonts w:ascii="Times New Roman" w:hAnsi="Times New Roman" w:cs="Times New Roman"/>
        </w:rPr>
        <w:t>MAXIMUM RATES OF LEVY</w:t>
      </w:r>
    </w:p>
    <w:tbl>
      <w:tblPr>
        <w:tblW w:w="5409" w:type="pct"/>
        <w:tblCellMar>
          <w:left w:w="40" w:type="dxa"/>
          <w:right w:w="40" w:type="dxa"/>
        </w:tblCellMar>
        <w:tblLook w:val="04A0" w:firstRow="1" w:lastRow="0" w:firstColumn="1" w:lastColumn="0" w:noHBand="0" w:noVBand="1"/>
      </w:tblPr>
      <w:tblGrid>
        <w:gridCol w:w="4990"/>
        <w:gridCol w:w="3151"/>
      </w:tblGrid>
      <w:tr w:rsidR="00232131" w:rsidRPr="000643CF" w14:paraId="63D3F10E" w14:textId="77777777" w:rsidTr="004269D8">
        <w:trPr>
          <w:trHeight w:val="20"/>
        </w:trPr>
        <w:tc>
          <w:tcPr>
            <w:tcW w:w="3065" w:type="pct"/>
            <w:tcBorders>
              <w:top w:val="single" w:sz="6" w:space="0" w:color="auto"/>
            </w:tcBorders>
          </w:tcPr>
          <w:p w14:paraId="629EADC3"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Column 1</w:t>
            </w:r>
          </w:p>
        </w:tc>
        <w:tc>
          <w:tcPr>
            <w:tcW w:w="1935" w:type="pct"/>
            <w:tcBorders>
              <w:top w:val="single" w:sz="6" w:space="0" w:color="auto"/>
            </w:tcBorders>
          </w:tcPr>
          <w:p w14:paraId="7C7D091F"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Column 2</w:t>
            </w:r>
          </w:p>
        </w:tc>
      </w:tr>
      <w:tr w:rsidR="00232131" w:rsidRPr="000643CF" w14:paraId="3D14C3A9" w14:textId="77777777" w:rsidTr="00C57222">
        <w:trPr>
          <w:trHeight w:val="20"/>
        </w:trPr>
        <w:tc>
          <w:tcPr>
            <w:tcW w:w="3065" w:type="pct"/>
            <w:tcBorders>
              <w:bottom w:val="single" w:sz="6" w:space="0" w:color="auto"/>
            </w:tcBorders>
          </w:tcPr>
          <w:p w14:paraId="54D39D98"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Gross weight of container</w:t>
            </w:r>
          </w:p>
        </w:tc>
        <w:tc>
          <w:tcPr>
            <w:tcW w:w="1935" w:type="pct"/>
            <w:tcBorders>
              <w:bottom w:val="single" w:sz="6" w:space="0" w:color="auto"/>
            </w:tcBorders>
          </w:tcPr>
          <w:p w14:paraId="5551C58E"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Maximum rate of levy</w:t>
            </w:r>
          </w:p>
        </w:tc>
      </w:tr>
      <w:tr w:rsidR="00232131" w:rsidRPr="000643CF" w14:paraId="5560EE5D" w14:textId="77777777" w:rsidTr="00C57222">
        <w:trPr>
          <w:trHeight w:val="20"/>
        </w:trPr>
        <w:tc>
          <w:tcPr>
            <w:tcW w:w="3065" w:type="pct"/>
            <w:tcBorders>
              <w:top w:val="single" w:sz="6" w:space="0" w:color="auto"/>
            </w:tcBorders>
          </w:tcPr>
          <w:p w14:paraId="60A2F386" w14:textId="77777777" w:rsidR="00232131" w:rsidRPr="00546F36" w:rsidRDefault="00232131" w:rsidP="009048E7">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does not exceed 150 grams</w:t>
            </w:r>
            <w:r w:rsidR="009048E7" w:rsidRPr="00546F36">
              <w:rPr>
                <w:rFonts w:ascii="Times New Roman" w:hAnsi="Times New Roman" w:cs="Times New Roman"/>
                <w:sz w:val="20"/>
                <w:szCs w:val="20"/>
              </w:rPr>
              <w:tab/>
            </w:r>
          </w:p>
        </w:tc>
        <w:tc>
          <w:tcPr>
            <w:tcW w:w="1935" w:type="pct"/>
            <w:tcBorders>
              <w:top w:val="single" w:sz="6" w:space="0" w:color="auto"/>
            </w:tcBorders>
          </w:tcPr>
          <w:p w14:paraId="6665404E"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1.875 cents per dozen containers</w:t>
            </w:r>
          </w:p>
        </w:tc>
      </w:tr>
      <w:tr w:rsidR="00232131" w:rsidRPr="000643CF" w14:paraId="1716A86C" w14:textId="77777777" w:rsidTr="00C57222">
        <w:trPr>
          <w:trHeight w:val="20"/>
        </w:trPr>
        <w:tc>
          <w:tcPr>
            <w:tcW w:w="3065" w:type="pct"/>
          </w:tcPr>
          <w:p w14:paraId="02A5538F" w14:textId="77777777" w:rsidR="00232131" w:rsidRPr="00546F36" w:rsidRDefault="00232131" w:rsidP="009048E7">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150 grams but does not exceed 320 grams</w:t>
            </w:r>
            <w:r w:rsidR="009048E7" w:rsidRPr="00546F36">
              <w:rPr>
                <w:rFonts w:ascii="Times New Roman" w:hAnsi="Times New Roman" w:cs="Times New Roman"/>
                <w:sz w:val="20"/>
                <w:szCs w:val="20"/>
              </w:rPr>
              <w:tab/>
            </w:r>
          </w:p>
        </w:tc>
        <w:tc>
          <w:tcPr>
            <w:tcW w:w="1935" w:type="pct"/>
          </w:tcPr>
          <w:p w14:paraId="1B834C66"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3.75 cents per dozen containers</w:t>
            </w:r>
          </w:p>
        </w:tc>
      </w:tr>
      <w:tr w:rsidR="00232131" w:rsidRPr="000643CF" w14:paraId="0283DDAE" w14:textId="77777777" w:rsidTr="00C57222">
        <w:trPr>
          <w:trHeight w:val="20"/>
        </w:trPr>
        <w:tc>
          <w:tcPr>
            <w:tcW w:w="3065" w:type="pct"/>
          </w:tcPr>
          <w:p w14:paraId="5B47E6AA" w14:textId="77777777" w:rsidR="00232131" w:rsidRPr="00546F36" w:rsidRDefault="00232131" w:rsidP="009048E7">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320 grams but does not exceed 490 grams</w:t>
            </w:r>
            <w:r w:rsidR="009048E7" w:rsidRPr="00546F36">
              <w:rPr>
                <w:rFonts w:ascii="Times New Roman" w:hAnsi="Times New Roman" w:cs="Times New Roman"/>
                <w:sz w:val="20"/>
                <w:szCs w:val="20"/>
              </w:rPr>
              <w:tab/>
            </w:r>
          </w:p>
        </w:tc>
        <w:tc>
          <w:tcPr>
            <w:tcW w:w="1935" w:type="pct"/>
          </w:tcPr>
          <w:p w14:paraId="7068E0C5"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7.5 cents per dozen containers</w:t>
            </w:r>
          </w:p>
        </w:tc>
      </w:tr>
      <w:tr w:rsidR="00232131" w:rsidRPr="000643CF" w14:paraId="15B64B72" w14:textId="77777777" w:rsidTr="00C57222">
        <w:trPr>
          <w:trHeight w:val="20"/>
        </w:trPr>
        <w:tc>
          <w:tcPr>
            <w:tcW w:w="3065" w:type="pct"/>
          </w:tcPr>
          <w:p w14:paraId="17DC1648" w14:textId="77777777" w:rsidR="00232131" w:rsidRPr="00546F36" w:rsidRDefault="00232131" w:rsidP="009048E7">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490 grams but does not exceed 680 grams</w:t>
            </w:r>
            <w:r w:rsidR="009048E7" w:rsidRPr="00546F36">
              <w:rPr>
                <w:rFonts w:ascii="Times New Roman" w:hAnsi="Times New Roman" w:cs="Times New Roman"/>
                <w:sz w:val="20"/>
                <w:szCs w:val="20"/>
              </w:rPr>
              <w:tab/>
            </w:r>
          </w:p>
        </w:tc>
        <w:tc>
          <w:tcPr>
            <w:tcW w:w="1935" w:type="pct"/>
          </w:tcPr>
          <w:p w14:paraId="714F993A"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11.25 cents per dozen containers</w:t>
            </w:r>
          </w:p>
        </w:tc>
      </w:tr>
      <w:tr w:rsidR="00232131" w:rsidRPr="000643CF" w14:paraId="40E6E8F5" w14:textId="77777777" w:rsidTr="00C57222">
        <w:trPr>
          <w:trHeight w:val="20"/>
        </w:trPr>
        <w:tc>
          <w:tcPr>
            <w:tcW w:w="3065" w:type="pct"/>
            <w:tcBorders>
              <w:bottom w:val="single" w:sz="6" w:space="0" w:color="auto"/>
            </w:tcBorders>
          </w:tcPr>
          <w:p w14:paraId="0D79142E" w14:textId="77777777" w:rsidR="00232131" w:rsidRPr="00546F36" w:rsidRDefault="00232131" w:rsidP="009048E7">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680 grams</w:t>
            </w:r>
            <w:r w:rsidR="009048E7" w:rsidRPr="00546F36">
              <w:rPr>
                <w:rFonts w:ascii="Times New Roman" w:hAnsi="Times New Roman" w:cs="Times New Roman"/>
                <w:sz w:val="20"/>
                <w:szCs w:val="20"/>
              </w:rPr>
              <w:tab/>
            </w:r>
          </w:p>
        </w:tc>
        <w:tc>
          <w:tcPr>
            <w:tcW w:w="1935" w:type="pct"/>
            <w:tcBorders>
              <w:bottom w:val="single" w:sz="6" w:space="0" w:color="auto"/>
            </w:tcBorders>
          </w:tcPr>
          <w:p w14:paraId="7907F24A" w14:textId="77777777" w:rsidR="00232131" w:rsidRPr="00546F36" w:rsidRDefault="00232131" w:rsidP="00C45485">
            <w:pPr>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15 cents per dozen containers and, in addition, 9 cents per dozen containers for each 450 grams, or part of 450 grams, by which the gross weight of the container exceeds 900 grams</w:t>
            </w:r>
          </w:p>
        </w:tc>
      </w:tr>
    </w:tbl>
    <w:p w14:paraId="7583E461" w14:textId="77777777" w:rsidR="00232131" w:rsidRPr="000643CF" w:rsidRDefault="000643CF" w:rsidP="006A2557">
      <w:pPr>
        <w:spacing w:after="0" w:line="240" w:lineRule="auto"/>
        <w:jc w:val="both"/>
        <w:rPr>
          <w:rFonts w:ascii="Times New Roman" w:hAnsi="Times New Roman" w:cs="Times New Roman"/>
        </w:rPr>
      </w:pPr>
      <w:r w:rsidRPr="000643CF">
        <w:rPr>
          <w:rFonts w:ascii="Times New Roman" w:hAnsi="Times New Roman" w:cs="Times New Roman"/>
        </w:rPr>
        <w:br w:type="page"/>
      </w:r>
    </w:p>
    <w:p w14:paraId="5FDD5439" w14:textId="77777777" w:rsidR="00232131" w:rsidRPr="000643CF" w:rsidRDefault="00C23DBE" w:rsidP="00C23DBE">
      <w:pPr>
        <w:tabs>
          <w:tab w:val="left" w:pos="3330"/>
        </w:tabs>
        <w:spacing w:after="60" w:line="240" w:lineRule="auto"/>
        <w:jc w:val="right"/>
        <w:rPr>
          <w:rFonts w:ascii="Times New Roman" w:hAnsi="Times New Roman" w:cs="Times New Roman"/>
        </w:rPr>
      </w:pPr>
      <w:r w:rsidRPr="00C23DBE">
        <w:rPr>
          <w:rFonts w:ascii="Times New Roman" w:hAnsi="Times New Roman" w:cs="Times New Roman"/>
          <w:b/>
        </w:rPr>
        <w:lastRenderedPageBreak/>
        <w:t>SCHEDULE 2</w:t>
      </w:r>
      <w:r>
        <w:rPr>
          <w:rFonts w:ascii="Times New Roman" w:hAnsi="Times New Roman" w:cs="Times New Roman"/>
        </w:rPr>
        <w:tab/>
      </w:r>
      <w:r w:rsidR="00232131" w:rsidRPr="000643CF">
        <w:rPr>
          <w:rFonts w:ascii="Times New Roman" w:hAnsi="Times New Roman" w:cs="Times New Roman"/>
        </w:rPr>
        <w:t>Section 6</w:t>
      </w:r>
      <w:r w:rsidR="000643CF" w:rsidRPr="000643CF">
        <w:rPr>
          <w:rFonts w:ascii="Times New Roman" w:hAnsi="Times New Roman" w:cs="Times New Roman"/>
          <w:smallCaps/>
        </w:rPr>
        <w:t>a</w:t>
      </w:r>
    </w:p>
    <w:p w14:paraId="48F4F9A1" w14:textId="77777777" w:rsidR="00232131" w:rsidRPr="000643CF" w:rsidRDefault="00232131" w:rsidP="00C23DBE">
      <w:pPr>
        <w:spacing w:after="60" w:line="240" w:lineRule="auto"/>
        <w:jc w:val="center"/>
        <w:rPr>
          <w:rFonts w:ascii="Times New Roman" w:hAnsi="Times New Roman" w:cs="Times New Roman"/>
        </w:rPr>
      </w:pPr>
      <w:r w:rsidRPr="000643CF">
        <w:rPr>
          <w:rFonts w:ascii="Times New Roman" w:hAnsi="Times New Roman" w:cs="Times New Roman"/>
        </w:rPr>
        <w:t>TEMPORARY RATES OF LEVY</w:t>
      </w:r>
    </w:p>
    <w:tbl>
      <w:tblPr>
        <w:tblW w:w="5528" w:type="pct"/>
        <w:tblCellMar>
          <w:left w:w="40" w:type="dxa"/>
          <w:right w:w="40" w:type="dxa"/>
        </w:tblCellMar>
        <w:tblLook w:val="04A0" w:firstRow="1" w:lastRow="0" w:firstColumn="1" w:lastColumn="0" w:noHBand="0" w:noVBand="1"/>
      </w:tblPr>
      <w:tblGrid>
        <w:gridCol w:w="5080"/>
        <w:gridCol w:w="3240"/>
      </w:tblGrid>
      <w:tr w:rsidR="00232131" w:rsidRPr="000643CF" w14:paraId="43FE94A4" w14:textId="77777777" w:rsidTr="00A80395">
        <w:trPr>
          <w:trHeight w:val="20"/>
        </w:trPr>
        <w:tc>
          <w:tcPr>
            <w:tcW w:w="3053" w:type="pct"/>
            <w:tcBorders>
              <w:top w:val="single" w:sz="6" w:space="0" w:color="auto"/>
            </w:tcBorders>
          </w:tcPr>
          <w:p w14:paraId="7919770B"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Column 1</w:t>
            </w:r>
          </w:p>
        </w:tc>
        <w:tc>
          <w:tcPr>
            <w:tcW w:w="1947" w:type="pct"/>
            <w:tcBorders>
              <w:top w:val="single" w:sz="6" w:space="0" w:color="auto"/>
            </w:tcBorders>
          </w:tcPr>
          <w:p w14:paraId="60F8CDDD"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Column 2</w:t>
            </w:r>
          </w:p>
        </w:tc>
      </w:tr>
      <w:tr w:rsidR="00232131" w:rsidRPr="000643CF" w14:paraId="4B32F156" w14:textId="77777777" w:rsidTr="00A80395">
        <w:trPr>
          <w:trHeight w:val="20"/>
        </w:trPr>
        <w:tc>
          <w:tcPr>
            <w:tcW w:w="3053" w:type="pct"/>
            <w:tcBorders>
              <w:bottom w:val="single" w:sz="6" w:space="0" w:color="auto"/>
            </w:tcBorders>
          </w:tcPr>
          <w:p w14:paraId="18992D00"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Gross weight of container</w:t>
            </w:r>
          </w:p>
        </w:tc>
        <w:tc>
          <w:tcPr>
            <w:tcW w:w="1947" w:type="pct"/>
            <w:tcBorders>
              <w:bottom w:val="single" w:sz="6" w:space="0" w:color="auto"/>
            </w:tcBorders>
          </w:tcPr>
          <w:p w14:paraId="47600F2C"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Rate of levy</w:t>
            </w:r>
          </w:p>
        </w:tc>
      </w:tr>
      <w:tr w:rsidR="00232131" w:rsidRPr="000643CF" w14:paraId="35A1DD96" w14:textId="77777777" w:rsidTr="00A80395">
        <w:trPr>
          <w:trHeight w:val="20"/>
        </w:trPr>
        <w:tc>
          <w:tcPr>
            <w:tcW w:w="3053" w:type="pct"/>
            <w:tcBorders>
              <w:top w:val="single" w:sz="6" w:space="0" w:color="auto"/>
            </w:tcBorders>
          </w:tcPr>
          <w:p w14:paraId="7C614EB9" w14:textId="77777777" w:rsidR="00232131" w:rsidRPr="00546F36" w:rsidRDefault="00232131" w:rsidP="004605E2">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does not exceed 150 grams</w:t>
            </w:r>
            <w:r w:rsidR="004605E2" w:rsidRPr="00546F36">
              <w:rPr>
                <w:rFonts w:ascii="Times New Roman" w:hAnsi="Times New Roman" w:cs="Times New Roman"/>
                <w:sz w:val="20"/>
                <w:szCs w:val="20"/>
              </w:rPr>
              <w:tab/>
            </w:r>
          </w:p>
        </w:tc>
        <w:tc>
          <w:tcPr>
            <w:tcW w:w="1947" w:type="pct"/>
            <w:tcBorders>
              <w:top w:val="single" w:sz="6" w:space="0" w:color="auto"/>
            </w:tcBorders>
          </w:tcPr>
          <w:p w14:paraId="3C161148"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1.6875 cents per dozen containers</w:t>
            </w:r>
          </w:p>
        </w:tc>
      </w:tr>
      <w:tr w:rsidR="00232131" w:rsidRPr="000643CF" w14:paraId="2DDF2AA6" w14:textId="77777777" w:rsidTr="00A80395">
        <w:trPr>
          <w:trHeight w:val="20"/>
        </w:trPr>
        <w:tc>
          <w:tcPr>
            <w:tcW w:w="3053" w:type="pct"/>
          </w:tcPr>
          <w:p w14:paraId="1DBE8296" w14:textId="77777777" w:rsidR="00232131" w:rsidRPr="00546F36" w:rsidRDefault="00232131" w:rsidP="004605E2">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150 grams but does not exceed 320 grams</w:t>
            </w:r>
            <w:r w:rsidR="004605E2" w:rsidRPr="00546F36">
              <w:rPr>
                <w:rFonts w:ascii="Times New Roman" w:hAnsi="Times New Roman" w:cs="Times New Roman"/>
                <w:sz w:val="20"/>
                <w:szCs w:val="20"/>
              </w:rPr>
              <w:tab/>
            </w:r>
          </w:p>
        </w:tc>
        <w:tc>
          <w:tcPr>
            <w:tcW w:w="1947" w:type="pct"/>
          </w:tcPr>
          <w:p w14:paraId="30A465B9"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3.375 cents per dozen containers</w:t>
            </w:r>
          </w:p>
        </w:tc>
      </w:tr>
      <w:tr w:rsidR="00232131" w:rsidRPr="000643CF" w14:paraId="7088BB18" w14:textId="77777777" w:rsidTr="00A80395">
        <w:trPr>
          <w:trHeight w:val="20"/>
        </w:trPr>
        <w:tc>
          <w:tcPr>
            <w:tcW w:w="3053" w:type="pct"/>
          </w:tcPr>
          <w:p w14:paraId="6573DDDF" w14:textId="77777777" w:rsidR="00232131" w:rsidRPr="00546F36" w:rsidRDefault="00232131" w:rsidP="004605E2">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320 grams but does not exceed 490 grams</w:t>
            </w:r>
            <w:r w:rsidR="004605E2" w:rsidRPr="00546F36">
              <w:rPr>
                <w:rFonts w:ascii="Times New Roman" w:hAnsi="Times New Roman" w:cs="Times New Roman"/>
                <w:sz w:val="20"/>
                <w:szCs w:val="20"/>
              </w:rPr>
              <w:tab/>
            </w:r>
          </w:p>
        </w:tc>
        <w:tc>
          <w:tcPr>
            <w:tcW w:w="1947" w:type="pct"/>
          </w:tcPr>
          <w:p w14:paraId="29139D5D"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6.75 cents per dozen containers</w:t>
            </w:r>
          </w:p>
        </w:tc>
      </w:tr>
      <w:tr w:rsidR="00232131" w:rsidRPr="000643CF" w14:paraId="7BABF90E" w14:textId="77777777" w:rsidTr="00A80395">
        <w:trPr>
          <w:trHeight w:val="20"/>
        </w:trPr>
        <w:tc>
          <w:tcPr>
            <w:tcW w:w="3053" w:type="pct"/>
          </w:tcPr>
          <w:p w14:paraId="487E7E68" w14:textId="77777777" w:rsidR="00232131" w:rsidRPr="00546F36" w:rsidRDefault="00232131" w:rsidP="004605E2">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490 grams but does not exceed 680 grams</w:t>
            </w:r>
            <w:r w:rsidR="004605E2" w:rsidRPr="00546F36">
              <w:rPr>
                <w:rFonts w:ascii="Times New Roman" w:hAnsi="Times New Roman" w:cs="Times New Roman"/>
                <w:sz w:val="20"/>
                <w:szCs w:val="20"/>
              </w:rPr>
              <w:tab/>
            </w:r>
          </w:p>
        </w:tc>
        <w:tc>
          <w:tcPr>
            <w:tcW w:w="1947" w:type="pct"/>
          </w:tcPr>
          <w:p w14:paraId="37C42AD5" w14:textId="77777777" w:rsidR="00232131" w:rsidRPr="00546F36" w:rsidRDefault="00232131" w:rsidP="006A2557">
            <w:pPr>
              <w:spacing w:after="0" w:line="240" w:lineRule="auto"/>
              <w:jc w:val="both"/>
              <w:rPr>
                <w:rFonts w:ascii="Times New Roman" w:hAnsi="Times New Roman" w:cs="Times New Roman"/>
                <w:sz w:val="20"/>
                <w:szCs w:val="20"/>
              </w:rPr>
            </w:pPr>
            <w:r w:rsidRPr="00546F36">
              <w:rPr>
                <w:rFonts w:ascii="Times New Roman" w:hAnsi="Times New Roman" w:cs="Times New Roman"/>
                <w:sz w:val="20"/>
                <w:szCs w:val="20"/>
              </w:rPr>
              <w:t>10.125 cents per dozen containers</w:t>
            </w:r>
          </w:p>
        </w:tc>
      </w:tr>
      <w:tr w:rsidR="00232131" w:rsidRPr="000643CF" w14:paraId="4A00C93E" w14:textId="77777777" w:rsidTr="00A80395">
        <w:trPr>
          <w:trHeight w:val="20"/>
        </w:trPr>
        <w:tc>
          <w:tcPr>
            <w:tcW w:w="3053" w:type="pct"/>
            <w:tcBorders>
              <w:bottom w:val="single" w:sz="6" w:space="0" w:color="auto"/>
            </w:tcBorders>
          </w:tcPr>
          <w:p w14:paraId="0F7E7976" w14:textId="77777777" w:rsidR="00232131" w:rsidRPr="00546F36" w:rsidRDefault="00232131" w:rsidP="004605E2">
            <w:pPr>
              <w:tabs>
                <w:tab w:val="left" w:leader="dot" w:pos="4660"/>
              </w:tabs>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Where the gross weight of the container exceeds 680 grams</w:t>
            </w:r>
            <w:r w:rsidR="004605E2" w:rsidRPr="00546F36">
              <w:rPr>
                <w:rFonts w:ascii="Times New Roman" w:hAnsi="Times New Roman" w:cs="Times New Roman"/>
                <w:sz w:val="20"/>
                <w:szCs w:val="20"/>
              </w:rPr>
              <w:tab/>
            </w:r>
          </w:p>
        </w:tc>
        <w:tc>
          <w:tcPr>
            <w:tcW w:w="1947" w:type="pct"/>
            <w:tcBorders>
              <w:bottom w:val="single" w:sz="6" w:space="0" w:color="auto"/>
            </w:tcBorders>
          </w:tcPr>
          <w:p w14:paraId="02066296" w14:textId="77777777" w:rsidR="00232131" w:rsidRPr="00546F36" w:rsidRDefault="00232131" w:rsidP="00A80395">
            <w:pPr>
              <w:spacing w:after="0" w:line="240" w:lineRule="auto"/>
              <w:ind w:left="288" w:hanging="288"/>
              <w:jc w:val="both"/>
              <w:rPr>
                <w:rFonts w:ascii="Times New Roman" w:hAnsi="Times New Roman" w:cs="Times New Roman"/>
                <w:sz w:val="20"/>
                <w:szCs w:val="20"/>
              </w:rPr>
            </w:pPr>
            <w:r w:rsidRPr="00546F36">
              <w:rPr>
                <w:rFonts w:ascii="Times New Roman" w:hAnsi="Times New Roman" w:cs="Times New Roman"/>
                <w:sz w:val="20"/>
                <w:szCs w:val="20"/>
              </w:rPr>
              <w:t>13.5 cents per dozen containers and, in addition, 8.1 cents per dozen containers for each 450 grams, or part of 450 grams, by which the gross weight of the container exceeds 900 grams</w:t>
            </w:r>
          </w:p>
        </w:tc>
      </w:tr>
    </w:tbl>
    <w:p w14:paraId="1B352492" w14:textId="77777777" w:rsidR="00232131" w:rsidRPr="004605E2" w:rsidRDefault="00232131" w:rsidP="004605E2">
      <w:pPr>
        <w:spacing w:before="60" w:after="60" w:line="240" w:lineRule="auto"/>
        <w:jc w:val="center"/>
        <w:rPr>
          <w:rFonts w:ascii="Times New Roman" w:hAnsi="Times New Roman" w:cs="Times New Roman"/>
          <w:b/>
        </w:rPr>
      </w:pPr>
      <w:r w:rsidRPr="004605E2">
        <w:rPr>
          <w:rFonts w:ascii="Times New Roman" w:hAnsi="Times New Roman" w:cs="Times New Roman"/>
          <w:b/>
        </w:rPr>
        <w:t>NOTE</w:t>
      </w:r>
    </w:p>
    <w:p w14:paraId="60C8C5BC" w14:textId="78F135E3" w:rsidR="00232131" w:rsidRPr="004605E2" w:rsidRDefault="00232131" w:rsidP="006A2557">
      <w:pPr>
        <w:spacing w:after="0" w:line="240" w:lineRule="auto"/>
        <w:jc w:val="both"/>
        <w:rPr>
          <w:sz w:val="20"/>
          <w:szCs w:val="20"/>
        </w:rPr>
      </w:pPr>
      <w:r w:rsidRPr="004605E2">
        <w:rPr>
          <w:rFonts w:ascii="Times New Roman" w:hAnsi="Times New Roman" w:cs="Times New Roman"/>
          <w:sz w:val="20"/>
          <w:szCs w:val="20"/>
        </w:rPr>
        <w:t>1. No. 161,</w:t>
      </w:r>
      <w:r w:rsidR="00546F36">
        <w:rPr>
          <w:rFonts w:ascii="Times New Roman" w:hAnsi="Times New Roman" w:cs="Times New Roman"/>
          <w:sz w:val="20"/>
          <w:szCs w:val="20"/>
        </w:rPr>
        <w:t xml:space="preserve"> </w:t>
      </w:r>
      <w:r w:rsidRPr="004605E2">
        <w:rPr>
          <w:rFonts w:ascii="Times New Roman" w:hAnsi="Times New Roman" w:cs="Times New Roman"/>
          <w:sz w:val="20"/>
          <w:szCs w:val="20"/>
        </w:rPr>
        <w:t>1979.</w:t>
      </w:r>
    </w:p>
    <w:sectPr w:rsidR="00232131" w:rsidRPr="004605E2" w:rsidSect="009513B6">
      <w:headerReference w:type="even" r:id="rId8"/>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2C9267" w15:done="0"/>
  <w15:commentEx w15:paraId="7180EA9B" w15:done="0"/>
  <w15:commentEx w15:paraId="5F91022C" w15:done="0"/>
  <w15:commentEx w15:paraId="492E9D86" w15:done="0"/>
  <w15:commentEx w15:paraId="0BC180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2C9267" w16cid:durableId="1FB0B4CD"/>
  <w16cid:commentId w16cid:paraId="7180EA9B" w16cid:durableId="1FB0B4E2"/>
  <w16cid:commentId w16cid:paraId="5F91022C" w16cid:durableId="1FB0B4ED"/>
  <w16cid:commentId w16cid:paraId="492E9D86" w16cid:durableId="1FB0B50C"/>
  <w16cid:commentId w16cid:paraId="0BC180D4" w16cid:durableId="1FB0B5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A4AE0" w14:textId="77777777" w:rsidR="006A6330" w:rsidRDefault="006A6330" w:rsidP="009513B6">
      <w:pPr>
        <w:spacing w:after="0" w:line="240" w:lineRule="auto"/>
      </w:pPr>
      <w:r>
        <w:separator/>
      </w:r>
    </w:p>
  </w:endnote>
  <w:endnote w:type="continuationSeparator" w:id="0">
    <w:p w14:paraId="53B309B0" w14:textId="77777777" w:rsidR="006A6330" w:rsidRDefault="006A6330" w:rsidP="0095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0272E" w14:textId="77777777" w:rsidR="006A6330" w:rsidRDefault="006A6330" w:rsidP="009513B6">
      <w:pPr>
        <w:spacing w:after="0" w:line="240" w:lineRule="auto"/>
      </w:pPr>
      <w:r>
        <w:separator/>
      </w:r>
    </w:p>
  </w:footnote>
  <w:footnote w:type="continuationSeparator" w:id="0">
    <w:p w14:paraId="55F908E4" w14:textId="77777777" w:rsidR="006A6330" w:rsidRDefault="006A6330" w:rsidP="009513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860F" w14:textId="77777777" w:rsidR="009513B6" w:rsidRPr="009513B6" w:rsidRDefault="009513B6" w:rsidP="009513B6">
    <w:pPr>
      <w:pStyle w:val="Header"/>
      <w:tabs>
        <w:tab w:val="clear" w:pos="4680"/>
        <w:tab w:val="center" w:pos="3690"/>
      </w:tabs>
      <w:jc w:val="center"/>
      <w:rPr>
        <w:sz w:val="20"/>
        <w:szCs w:val="20"/>
      </w:rPr>
    </w:pPr>
    <w:r>
      <w:rPr>
        <w:rFonts w:ascii="Times New Roman" w:hAnsi="Times New Roman" w:cs="Times New Roman"/>
        <w:i/>
        <w:sz w:val="20"/>
        <w:szCs w:val="20"/>
      </w:rPr>
      <w:t>Canned Fruits Levy Amendment</w:t>
    </w:r>
    <w:r>
      <w:rPr>
        <w:rFonts w:ascii="Times New Roman" w:hAnsi="Times New Roman" w:cs="Times New Roman"/>
        <w:i/>
        <w:sz w:val="20"/>
        <w:szCs w:val="20"/>
      </w:rPr>
      <w:tab/>
    </w:r>
    <w:r w:rsidRPr="009513B6">
      <w:rPr>
        <w:rFonts w:ascii="Times New Roman" w:hAnsi="Times New Roman" w:cs="Times New Roman"/>
        <w:i/>
        <w:sz w:val="20"/>
        <w:szCs w:val="20"/>
      </w:rPr>
      <w:t>No. 18, 1982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D9F36" w14:textId="77777777" w:rsidR="009513B6" w:rsidRPr="009513B6" w:rsidRDefault="009513B6" w:rsidP="009513B6">
    <w:pPr>
      <w:pStyle w:val="Header"/>
      <w:tabs>
        <w:tab w:val="clear" w:pos="4680"/>
        <w:tab w:val="center" w:pos="3690"/>
      </w:tabs>
      <w:jc w:val="center"/>
      <w:rPr>
        <w:sz w:val="20"/>
        <w:szCs w:val="20"/>
      </w:rPr>
    </w:pPr>
    <w:r>
      <w:rPr>
        <w:rFonts w:ascii="Times New Roman" w:hAnsi="Times New Roman" w:cs="Times New Roman"/>
        <w:i/>
        <w:sz w:val="20"/>
        <w:szCs w:val="20"/>
      </w:rPr>
      <w:t>Canned Fruits Levy Amendment</w:t>
    </w:r>
    <w:r>
      <w:rPr>
        <w:rFonts w:ascii="Times New Roman" w:hAnsi="Times New Roman" w:cs="Times New Roman"/>
        <w:i/>
        <w:sz w:val="20"/>
        <w:szCs w:val="20"/>
      </w:rPr>
      <w:tab/>
    </w:r>
    <w:r w:rsidRPr="009513B6">
      <w:rPr>
        <w:rFonts w:ascii="Times New Roman" w:hAnsi="Times New Roman" w:cs="Times New Roman"/>
        <w:i/>
        <w:sz w:val="20"/>
        <w:szCs w:val="20"/>
      </w:rPr>
      <w:t>No. 18,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32131"/>
    <w:rsid w:val="0001193E"/>
    <w:rsid w:val="00043E1D"/>
    <w:rsid w:val="000643CF"/>
    <w:rsid w:val="000C744A"/>
    <w:rsid w:val="00224859"/>
    <w:rsid w:val="00232131"/>
    <w:rsid w:val="002C4582"/>
    <w:rsid w:val="002F5931"/>
    <w:rsid w:val="00315571"/>
    <w:rsid w:val="003D7647"/>
    <w:rsid w:val="00421081"/>
    <w:rsid w:val="004269D8"/>
    <w:rsid w:val="004605E2"/>
    <w:rsid w:val="004704E4"/>
    <w:rsid w:val="004B0AE1"/>
    <w:rsid w:val="004F2E15"/>
    <w:rsid w:val="00546F36"/>
    <w:rsid w:val="0055340A"/>
    <w:rsid w:val="0057212F"/>
    <w:rsid w:val="00577D0F"/>
    <w:rsid w:val="005E7541"/>
    <w:rsid w:val="00637DF2"/>
    <w:rsid w:val="006A2557"/>
    <w:rsid w:val="006A6330"/>
    <w:rsid w:val="00803A72"/>
    <w:rsid w:val="009048E7"/>
    <w:rsid w:val="00933B84"/>
    <w:rsid w:val="009513B6"/>
    <w:rsid w:val="00A52D7B"/>
    <w:rsid w:val="00A80395"/>
    <w:rsid w:val="00AE4031"/>
    <w:rsid w:val="00B3038C"/>
    <w:rsid w:val="00BB0DCC"/>
    <w:rsid w:val="00C23DBE"/>
    <w:rsid w:val="00C45485"/>
    <w:rsid w:val="00C57222"/>
    <w:rsid w:val="00CA3C28"/>
    <w:rsid w:val="00CF0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B9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3213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232131"/>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232131"/>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232131"/>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232131"/>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32131"/>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232131"/>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32131"/>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232131"/>
    <w:pPr>
      <w:spacing w:after="0" w:line="240" w:lineRule="auto"/>
    </w:pPr>
    <w:rPr>
      <w:rFonts w:ascii="Times New Roman" w:eastAsia="Times New Roman" w:hAnsi="Times New Roman" w:cs="Times New Roman"/>
      <w:sz w:val="20"/>
      <w:szCs w:val="20"/>
    </w:rPr>
  </w:style>
  <w:style w:type="paragraph" w:customStyle="1" w:styleId="Style149">
    <w:name w:val="Style149"/>
    <w:basedOn w:val="Normal"/>
    <w:rsid w:val="00232131"/>
    <w:pPr>
      <w:spacing w:after="0" w:line="240" w:lineRule="auto"/>
    </w:pPr>
    <w:rPr>
      <w:rFonts w:ascii="Times New Roman" w:eastAsia="Times New Roman" w:hAnsi="Times New Roman" w:cs="Times New Roman"/>
      <w:sz w:val="20"/>
      <w:szCs w:val="20"/>
    </w:rPr>
  </w:style>
  <w:style w:type="paragraph" w:customStyle="1" w:styleId="Style208">
    <w:name w:val="Style208"/>
    <w:basedOn w:val="Normal"/>
    <w:rsid w:val="00232131"/>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232131"/>
    <w:rPr>
      <w:rFonts w:ascii="Times New Roman" w:eastAsia="Times New Roman" w:hAnsi="Times New Roman" w:cs="Times New Roman"/>
      <w:b w:val="0"/>
      <w:bCs w:val="0"/>
      <w:i/>
      <w:iCs/>
      <w:smallCaps w:val="0"/>
      <w:sz w:val="20"/>
      <w:szCs w:val="20"/>
    </w:rPr>
  </w:style>
  <w:style w:type="character" w:customStyle="1" w:styleId="CharStyle5">
    <w:name w:val="CharStyle5"/>
    <w:basedOn w:val="DefaultParagraphFont"/>
    <w:rsid w:val="00232131"/>
    <w:rPr>
      <w:rFonts w:ascii="Times New Roman" w:eastAsia="Times New Roman" w:hAnsi="Times New Roman" w:cs="Times New Roman"/>
      <w:b/>
      <w:bCs/>
      <w:i w:val="0"/>
      <w:iCs w:val="0"/>
      <w:smallCaps/>
      <w:sz w:val="22"/>
      <w:szCs w:val="22"/>
    </w:rPr>
  </w:style>
  <w:style w:type="character" w:customStyle="1" w:styleId="CharStyle6">
    <w:name w:val="CharStyle6"/>
    <w:basedOn w:val="DefaultParagraphFont"/>
    <w:rsid w:val="00232131"/>
    <w:rPr>
      <w:rFonts w:ascii="Times New Roman" w:eastAsia="Times New Roman" w:hAnsi="Times New Roman" w:cs="Times New Roman"/>
      <w:b/>
      <w:bCs/>
      <w:i w:val="0"/>
      <w:iCs w:val="0"/>
      <w:smallCaps w:val="0"/>
      <w:sz w:val="20"/>
      <w:szCs w:val="20"/>
    </w:rPr>
  </w:style>
  <w:style w:type="character" w:customStyle="1" w:styleId="CharStyle7">
    <w:name w:val="CharStyle7"/>
    <w:basedOn w:val="DefaultParagraphFont"/>
    <w:rsid w:val="00232131"/>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232131"/>
    <w:rPr>
      <w:rFonts w:ascii="Times New Roman" w:eastAsia="Times New Roman" w:hAnsi="Times New Roman" w:cs="Times New Roman"/>
      <w:b/>
      <w:bCs/>
      <w:i/>
      <w:iCs/>
      <w:smallCaps w:val="0"/>
      <w:sz w:val="26"/>
      <w:szCs w:val="26"/>
    </w:rPr>
  </w:style>
  <w:style w:type="character" w:customStyle="1" w:styleId="CharStyle10">
    <w:name w:val="CharStyle10"/>
    <w:basedOn w:val="DefaultParagraphFont"/>
    <w:rsid w:val="00232131"/>
    <w:rPr>
      <w:rFonts w:ascii="Times New Roman" w:eastAsia="Times New Roman" w:hAnsi="Times New Roman" w:cs="Times New Roman"/>
      <w:b/>
      <w:bCs/>
      <w:i w:val="0"/>
      <w:iCs w:val="0"/>
      <w:smallCaps w:val="0"/>
      <w:sz w:val="26"/>
      <w:szCs w:val="26"/>
    </w:rPr>
  </w:style>
  <w:style w:type="character" w:customStyle="1" w:styleId="CharStyle72">
    <w:name w:val="CharStyle72"/>
    <w:basedOn w:val="DefaultParagraphFont"/>
    <w:rsid w:val="00232131"/>
    <w:rPr>
      <w:rFonts w:ascii="Times New Roman" w:eastAsia="Times New Roman" w:hAnsi="Times New Roman" w:cs="Times New Roman"/>
      <w:b/>
      <w:bCs/>
      <w:i/>
      <w:iCs/>
      <w:smallCaps w:val="0"/>
      <w:sz w:val="20"/>
      <w:szCs w:val="20"/>
    </w:rPr>
  </w:style>
  <w:style w:type="character" w:customStyle="1" w:styleId="CharStyle73">
    <w:name w:val="CharStyle73"/>
    <w:basedOn w:val="DefaultParagraphFont"/>
    <w:rsid w:val="00232131"/>
    <w:rPr>
      <w:rFonts w:ascii="Times New Roman" w:eastAsia="Times New Roman" w:hAnsi="Times New Roman" w:cs="Times New Roman"/>
      <w:b/>
      <w:bCs/>
      <w:i w:val="0"/>
      <w:iCs w:val="0"/>
      <w:smallCaps w:val="0"/>
      <w:sz w:val="16"/>
      <w:szCs w:val="16"/>
    </w:rPr>
  </w:style>
  <w:style w:type="character" w:customStyle="1" w:styleId="CharStyle74">
    <w:name w:val="CharStyle74"/>
    <w:basedOn w:val="DefaultParagraphFont"/>
    <w:rsid w:val="00232131"/>
    <w:rPr>
      <w:rFonts w:ascii="Times New Roman" w:eastAsia="Times New Roman" w:hAnsi="Times New Roman" w:cs="Times New Roman"/>
      <w:b/>
      <w:bCs/>
      <w:i w:val="0"/>
      <w:iCs w:val="0"/>
      <w:smallCaps w:val="0"/>
      <w:sz w:val="34"/>
      <w:szCs w:val="34"/>
    </w:rPr>
  </w:style>
  <w:style w:type="character" w:customStyle="1" w:styleId="CharStyle115">
    <w:name w:val="CharStyle115"/>
    <w:basedOn w:val="DefaultParagraphFont"/>
    <w:rsid w:val="00232131"/>
    <w:rPr>
      <w:rFonts w:ascii="Times New Roman" w:eastAsia="Times New Roman" w:hAnsi="Times New Roman" w:cs="Times New Roman"/>
      <w:b/>
      <w:bCs/>
      <w:i w:val="0"/>
      <w:iCs w:val="0"/>
      <w:smallCaps w:val="0"/>
      <w:sz w:val="14"/>
      <w:szCs w:val="14"/>
    </w:rPr>
  </w:style>
  <w:style w:type="character" w:customStyle="1" w:styleId="CharStyle356">
    <w:name w:val="CharStyle356"/>
    <w:basedOn w:val="DefaultParagraphFont"/>
    <w:rsid w:val="00232131"/>
    <w:rPr>
      <w:rFonts w:ascii="Times New Roman" w:eastAsia="Times New Roman" w:hAnsi="Times New Roman" w:cs="Times New Roman"/>
      <w:b/>
      <w:bCs/>
      <w:i w:val="0"/>
      <w:iCs w:val="0"/>
      <w:smallCaps/>
      <w:sz w:val="16"/>
      <w:szCs w:val="16"/>
    </w:rPr>
  </w:style>
  <w:style w:type="paragraph" w:styleId="BalloonText">
    <w:name w:val="Balloon Text"/>
    <w:basedOn w:val="Normal"/>
    <w:link w:val="BalloonTextChar"/>
    <w:uiPriority w:val="99"/>
    <w:semiHidden/>
    <w:unhideWhenUsed/>
    <w:rsid w:val="00577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0F"/>
    <w:rPr>
      <w:rFonts w:ascii="Tahoma" w:hAnsi="Tahoma" w:cs="Tahoma"/>
      <w:sz w:val="16"/>
      <w:szCs w:val="16"/>
    </w:rPr>
  </w:style>
  <w:style w:type="paragraph" w:styleId="Header">
    <w:name w:val="header"/>
    <w:basedOn w:val="Normal"/>
    <w:link w:val="HeaderChar"/>
    <w:uiPriority w:val="99"/>
    <w:unhideWhenUsed/>
    <w:rsid w:val="00951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3B6"/>
  </w:style>
  <w:style w:type="paragraph" w:styleId="Footer">
    <w:name w:val="footer"/>
    <w:basedOn w:val="Normal"/>
    <w:link w:val="FooterChar"/>
    <w:uiPriority w:val="99"/>
    <w:semiHidden/>
    <w:unhideWhenUsed/>
    <w:rsid w:val="0095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3B6"/>
  </w:style>
  <w:style w:type="character" w:styleId="CommentReference">
    <w:name w:val="annotation reference"/>
    <w:basedOn w:val="DefaultParagraphFont"/>
    <w:uiPriority w:val="99"/>
    <w:semiHidden/>
    <w:unhideWhenUsed/>
    <w:rsid w:val="0057212F"/>
    <w:rPr>
      <w:sz w:val="16"/>
      <w:szCs w:val="16"/>
    </w:rPr>
  </w:style>
  <w:style w:type="paragraph" w:styleId="CommentText">
    <w:name w:val="annotation text"/>
    <w:basedOn w:val="Normal"/>
    <w:link w:val="CommentTextChar"/>
    <w:uiPriority w:val="99"/>
    <w:semiHidden/>
    <w:unhideWhenUsed/>
    <w:rsid w:val="0057212F"/>
    <w:pPr>
      <w:spacing w:line="240" w:lineRule="auto"/>
    </w:pPr>
    <w:rPr>
      <w:sz w:val="20"/>
      <w:szCs w:val="20"/>
    </w:rPr>
  </w:style>
  <w:style w:type="character" w:customStyle="1" w:styleId="CommentTextChar">
    <w:name w:val="Comment Text Char"/>
    <w:basedOn w:val="DefaultParagraphFont"/>
    <w:link w:val="CommentText"/>
    <w:uiPriority w:val="99"/>
    <w:semiHidden/>
    <w:rsid w:val="0057212F"/>
    <w:rPr>
      <w:sz w:val="20"/>
      <w:szCs w:val="20"/>
    </w:rPr>
  </w:style>
  <w:style w:type="paragraph" w:styleId="CommentSubject">
    <w:name w:val="annotation subject"/>
    <w:basedOn w:val="CommentText"/>
    <w:next w:val="CommentText"/>
    <w:link w:val="CommentSubjectChar"/>
    <w:uiPriority w:val="99"/>
    <w:semiHidden/>
    <w:unhideWhenUsed/>
    <w:rsid w:val="0057212F"/>
    <w:rPr>
      <w:b/>
      <w:bCs/>
    </w:rPr>
  </w:style>
  <w:style w:type="character" w:customStyle="1" w:styleId="CommentSubjectChar">
    <w:name w:val="Comment Subject Char"/>
    <w:basedOn w:val="CommentTextChar"/>
    <w:link w:val="CommentSubject"/>
    <w:uiPriority w:val="99"/>
    <w:semiHidden/>
    <w:rsid w:val="0057212F"/>
    <w:rPr>
      <w:b/>
      <w:bCs/>
      <w:sz w:val="20"/>
      <w:szCs w:val="20"/>
    </w:rPr>
  </w:style>
  <w:style w:type="paragraph" w:styleId="Revision">
    <w:name w:val="Revision"/>
    <w:hidden/>
    <w:uiPriority w:val="99"/>
    <w:semiHidden/>
    <w:rsid w:val="00546F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2018-12-03T22:11:00Z</dcterms:created>
  <dcterms:modified xsi:type="dcterms:W3CDTF">2019-09-13T00:42:00Z</dcterms:modified>
</cp:coreProperties>
</file>