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FC3AF" w14:textId="77777777" w:rsidR="000F3D24" w:rsidRDefault="000F3D24" w:rsidP="00E516E8">
      <w:pPr>
        <w:spacing w:after="0" w:line="240" w:lineRule="auto"/>
        <w:jc w:val="center"/>
        <w:rPr>
          <w:rFonts w:ascii="Times New Roman" w:hAnsi="Times New Roman" w:cs="Times New Roman"/>
          <w:b/>
        </w:rPr>
      </w:pPr>
      <w:r w:rsidRPr="000F3D24">
        <w:rPr>
          <w:rFonts w:ascii="Times New Roman" w:hAnsi="Times New Roman" w:cs="Times New Roman"/>
          <w:b/>
          <w:noProof/>
          <w:lang w:val="en-AU" w:eastAsia="en-AU"/>
        </w:rPr>
        <w:drawing>
          <wp:inline distT="0" distB="0" distL="0" distR="0" wp14:anchorId="15928ABE" wp14:editId="31E15A0A">
            <wp:extent cx="993648" cy="737616"/>
            <wp:effectExtent l="19050" t="0" r="0" b="0"/>
            <wp:docPr id="3"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3F22E8C4" w14:textId="77777777" w:rsidR="00D7046B" w:rsidRPr="00E516E8" w:rsidRDefault="006C47F0" w:rsidP="00C6412D">
      <w:pPr>
        <w:spacing w:before="480" w:after="480" w:line="240" w:lineRule="auto"/>
        <w:jc w:val="center"/>
        <w:rPr>
          <w:rFonts w:ascii="Times New Roman" w:hAnsi="Times New Roman" w:cs="Times New Roman"/>
          <w:sz w:val="36"/>
        </w:rPr>
      </w:pPr>
      <w:r w:rsidRPr="00E516E8">
        <w:rPr>
          <w:rFonts w:ascii="Times New Roman" w:hAnsi="Times New Roman" w:cs="Times New Roman"/>
          <w:b/>
          <w:sz w:val="36"/>
        </w:rPr>
        <w:t>Australian Capital Territory Stamp Duty Amendment Act 1981</w:t>
      </w:r>
    </w:p>
    <w:p w14:paraId="39487907" w14:textId="77777777" w:rsidR="00D7046B" w:rsidRPr="00E516E8" w:rsidRDefault="006C47F0" w:rsidP="00E516E8">
      <w:pPr>
        <w:spacing w:before="240" w:after="240" w:line="240" w:lineRule="auto"/>
        <w:jc w:val="center"/>
        <w:rPr>
          <w:rFonts w:ascii="Times New Roman" w:hAnsi="Times New Roman" w:cs="Times New Roman"/>
          <w:sz w:val="28"/>
        </w:rPr>
      </w:pPr>
      <w:r w:rsidRPr="00E516E8">
        <w:rPr>
          <w:rFonts w:ascii="Times New Roman" w:hAnsi="Times New Roman" w:cs="Times New Roman"/>
          <w:b/>
          <w:sz w:val="28"/>
        </w:rPr>
        <w:t>No. 124 of 1981</w:t>
      </w:r>
    </w:p>
    <w:p w14:paraId="2C57C282" w14:textId="77777777" w:rsidR="000F3D24" w:rsidRDefault="000F3D24" w:rsidP="009B5282">
      <w:pPr>
        <w:pBdr>
          <w:bottom w:val="thickThinSmallGap" w:sz="12" w:space="1" w:color="auto"/>
        </w:pBdr>
        <w:spacing w:beforeLines="240" w:before="576" w:afterLines="240" w:after="576" w:line="240" w:lineRule="auto"/>
        <w:jc w:val="center"/>
        <w:rPr>
          <w:rFonts w:ascii="Times New Roman" w:hAnsi="Times New Roman" w:cs="Times New Roman"/>
          <w:b/>
        </w:rPr>
      </w:pPr>
    </w:p>
    <w:p w14:paraId="3DCDBB36" w14:textId="77777777" w:rsidR="00D7046B" w:rsidRPr="00E516E8" w:rsidRDefault="006C47F0" w:rsidP="00E516E8">
      <w:pPr>
        <w:spacing w:after="0" w:line="240" w:lineRule="auto"/>
        <w:jc w:val="center"/>
        <w:rPr>
          <w:rFonts w:ascii="Times New Roman" w:hAnsi="Times New Roman" w:cs="Times New Roman"/>
          <w:sz w:val="26"/>
        </w:rPr>
      </w:pPr>
      <w:r w:rsidRPr="00E516E8">
        <w:rPr>
          <w:rFonts w:ascii="Times New Roman" w:hAnsi="Times New Roman" w:cs="Times New Roman"/>
          <w:b/>
          <w:sz w:val="26"/>
        </w:rPr>
        <w:t xml:space="preserve">An Act to amend the </w:t>
      </w:r>
      <w:r w:rsidRPr="00E516E8">
        <w:rPr>
          <w:rFonts w:ascii="Times New Roman" w:hAnsi="Times New Roman" w:cs="Times New Roman"/>
          <w:b/>
          <w:i/>
          <w:sz w:val="26"/>
        </w:rPr>
        <w:t>Australian Capital Territory Stamp Duty</w:t>
      </w:r>
      <w:r w:rsidR="00E516E8" w:rsidRPr="00E516E8">
        <w:rPr>
          <w:rFonts w:ascii="Times New Roman" w:hAnsi="Times New Roman" w:cs="Times New Roman"/>
          <w:b/>
          <w:i/>
          <w:sz w:val="26"/>
        </w:rPr>
        <w:t xml:space="preserve"> </w:t>
      </w:r>
      <w:r w:rsidRPr="00E516E8">
        <w:rPr>
          <w:rFonts w:ascii="Times New Roman" w:hAnsi="Times New Roman" w:cs="Times New Roman"/>
          <w:b/>
          <w:i/>
          <w:sz w:val="26"/>
        </w:rPr>
        <w:t xml:space="preserve">Act </w:t>
      </w:r>
      <w:r w:rsidRPr="00E516E8">
        <w:rPr>
          <w:rFonts w:ascii="Times New Roman" w:hAnsi="Times New Roman" w:cs="Times New Roman"/>
          <w:b/>
          <w:sz w:val="26"/>
        </w:rPr>
        <w:t>1969</w:t>
      </w:r>
    </w:p>
    <w:p w14:paraId="1893D31F" w14:textId="77777777" w:rsidR="00D7046B" w:rsidRPr="00E516E8" w:rsidRDefault="006C47F0" w:rsidP="00E516E8">
      <w:pPr>
        <w:spacing w:before="120" w:after="120" w:line="240" w:lineRule="auto"/>
        <w:jc w:val="right"/>
        <w:rPr>
          <w:rFonts w:ascii="Times New Roman" w:hAnsi="Times New Roman" w:cs="Times New Roman"/>
          <w:sz w:val="24"/>
        </w:rPr>
      </w:pPr>
      <w:r w:rsidRPr="00C6412D">
        <w:rPr>
          <w:rFonts w:ascii="Times New Roman" w:hAnsi="Times New Roman" w:cs="Times New Roman"/>
          <w:sz w:val="24"/>
        </w:rPr>
        <w:t>[</w:t>
      </w:r>
      <w:r w:rsidRPr="00E516E8">
        <w:rPr>
          <w:rFonts w:ascii="Times New Roman" w:hAnsi="Times New Roman" w:cs="Times New Roman"/>
          <w:i/>
          <w:sz w:val="24"/>
        </w:rPr>
        <w:t>Assented to 30 September 1981</w:t>
      </w:r>
      <w:r w:rsidRPr="00C6412D">
        <w:rPr>
          <w:rFonts w:ascii="Times New Roman" w:hAnsi="Times New Roman" w:cs="Times New Roman"/>
          <w:sz w:val="24"/>
        </w:rPr>
        <w:t>]</w:t>
      </w:r>
    </w:p>
    <w:p w14:paraId="7A171131" w14:textId="77777777" w:rsidR="00D7046B" w:rsidRPr="00E516E8" w:rsidRDefault="006C47F0" w:rsidP="00E516E8">
      <w:pPr>
        <w:widowControl w:val="0"/>
        <w:spacing w:after="0" w:line="240" w:lineRule="auto"/>
        <w:ind w:firstLine="432"/>
        <w:jc w:val="both"/>
        <w:rPr>
          <w:rFonts w:ascii="Times New Roman" w:hAnsi="Times New Roman" w:cs="Times New Roman"/>
          <w:sz w:val="24"/>
        </w:rPr>
      </w:pPr>
      <w:r w:rsidRPr="00E516E8">
        <w:rPr>
          <w:rFonts w:ascii="Times New Roman" w:hAnsi="Times New Roman" w:cs="Times New Roman"/>
          <w:sz w:val="24"/>
        </w:rPr>
        <w:t>BE IT ENACTED by the Queen, and the Senate and the House of Representatives of the Commonwealth of Australia, as follows:</w:t>
      </w:r>
    </w:p>
    <w:p w14:paraId="61FB8933" w14:textId="77777777" w:rsidR="00D7046B" w:rsidRPr="00E516E8" w:rsidRDefault="006C47F0" w:rsidP="00E516E8">
      <w:pPr>
        <w:widowControl w:val="0"/>
        <w:spacing w:before="120" w:after="60" w:line="240" w:lineRule="auto"/>
        <w:jc w:val="both"/>
        <w:rPr>
          <w:rFonts w:ascii="Times New Roman" w:hAnsi="Times New Roman" w:cs="Times New Roman"/>
          <w:b/>
          <w:sz w:val="20"/>
        </w:rPr>
      </w:pPr>
      <w:r w:rsidRPr="00E516E8">
        <w:rPr>
          <w:rFonts w:ascii="Times New Roman" w:hAnsi="Times New Roman" w:cs="Times New Roman"/>
          <w:b/>
          <w:sz w:val="20"/>
        </w:rPr>
        <w:t>Short title, &amp;c.</w:t>
      </w:r>
    </w:p>
    <w:p w14:paraId="09CB41DF" w14:textId="77777777" w:rsidR="00D7046B" w:rsidRPr="00E516E8" w:rsidRDefault="006C47F0" w:rsidP="00E516E8">
      <w:pPr>
        <w:widowControl w:val="0"/>
        <w:spacing w:after="0" w:line="240" w:lineRule="auto"/>
        <w:ind w:firstLine="432"/>
        <w:jc w:val="both"/>
        <w:rPr>
          <w:rFonts w:ascii="Times New Roman" w:hAnsi="Times New Roman" w:cs="Times New Roman"/>
        </w:rPr>
      </w:pPr>
      <w:r w:rsidRPr="00E516E8">
        <w:rPr>
          <w:rFonts w:ascii="Times New Roman" w:hAnsi="Times New Roman" w:cs="Times New Roman"/>
          <w:b/>
        </w:rPr>
        <w:t>1.</w:t>
      </w:r>
      <w:r w:rsidR="00D7046B" w:rsidRPr="00E516E8">
        <w:rPr>
          <w:rFonts w:ascii="Times New Roman" w:hAnsi="Times New Roman" w:cs="Times New Roman"/>
          <w:b/>
        </w:rPr>
        <w:t xml:space="preserve"> </w:t>
      </w:r>
      <w:r w:rsidRPr="00E516E8">
        <w:rPr>
          <w:rFonts w:ascii="Times New Roman" w:hAnsi="Times New Roman" w:cs="Times New Roman"/>
          <w:b/>
        </w:rPr>
        <w:t>(1)</w:t>
      </w:r>
      <w:r w:rsidRPr="00E516E8">
        <w:rPr>
          <w:rFonts w:ascii="Times New Roman" w:hAnsi="Times New Roman" w:cs="Times New Roman"/>
        </w:rPr>
        <w:t xml:space="preserve"> This Act may be cited as the </w:t>
      </w:r>
      <w:r w:rsidRPr="00E516E8">
        <w:rPr>
          <w:rFonts w:ascii="Times New Roman" w:hAnsi="Times New Roman" w:cs="Times New Roman"/>
          <w:i/>
        </w:rPr>
        <w:t xml:space="preserve">Australian Capital Territory Stamp Duty Amendment Act </w:t>
      </w:r>
      <w:r w:rsidRPr="00E516E8">
        <w:rPr>
          <w:rFonts w:ascii="Times New Roman" w:hAnsi="Times New Roman" w:cs="Times New Roman"/>
        </w:rPr>
        <w:t>1981.</w:t>
      </w:r>
    </w:p>
    <w:p w14:paraId="55AAC168" w14:textId="77777777" w:rsidR="00D7046B" w:rsidRPr="00E516E8" w:rsidRDefault="006C47F0" w:rsidP="00E516E8">
      <w:pPr>
        <w:widowControl w:val="0"/>
        <w:spacing w:after="0" w:line="240" w:lineRule="auto"/>
        <w:ind w:firstLine="432"/>
        <w:jc w:val="both"/>
        <w:rPr>
          <w:rFonts w:ascii="Times New Roman" w:hAnsi="Times New Roman" w:cs="Times New Roman"/>
        </w:rPr>
      </w:pPr>
      <w:r w:rsidRPr="00E516E8">
        <w:rPr>
          <w:rFonts w:ascii="Times New Roman" w:hAnsi="Times New Roman" w:cs="Times New Roman"/>
          <w:b/>
        </w:rPr>
        <w:t>(2)</w:t>
      </w:r>
      <w:r w:rsidRPr="00E516E8">
        <w:rPr>
          <w:rFonts w:ascii="Times New Roman" w:hAnsi="Times New Roman" w:cs="Times New Roman"/>
        </w:rPr>
        <w:t xml:space="preserve"> The </w:t>
      </w:r>
      <w:r w:rsidRPr="00E516E8">
        <w:rPr>
          <w:rFonts w:ascii="Times New Roman" w:hAnsi="Times New Roman" w:cs="Times New Roman"/>
          <w:i/>
        </w:rPr>
        <w:t xml:space="preserve">Australian Capital Territory Stamp Duty Act </w:t>
      </w:r>
      <w:r w:rsidRPr="00E516E8">
        <w:rPr>
          <w:rFonts w:ascii="Times New Roman" w:hAnsi="Times New Roman" w:cs="Times New Roman"/>
        </w:rPr>
        <w:t>1969</w:t>
      </w:r>
      <w:r w:rsidRPr="00E516E8">
        <w:rPr>
          <w:rFonts w:ascii="Times New Roman" w:hAnsi="Times New Roman" w:cs="Times New Roman"/>
          <w:vertAlign w:val="superscript"/>
        </w:rPr>
        <w:t>1</w:t>
      </w:r>
      <w:r w:rsidRPr="00E516E8">
        <w:rPr>
          <w:rFonts w:ascii="Times New Roman" w:hAnsi="Times New Roman" w:cs="Times New Roman"/>
        </w:rPr>
        <w:t xml:space="preserve"> is in this Act referred to as the Principal Act.</w:t>
      </w:r>
    </w:p>
    <w:p w14:paraId="12CA91DE" w14:textId="77777777" w:rsidR="00D7046B" w:rsidRPr="00E516E8" w:rsidRDefault="006C47F0" w:rsidP="00E516E8">
      <w:pPr>
        <w:widowControl w:val="0"/>
        <w:spacing w:before="120" w:after="60" w:line="240" w:lineRule="auto"/>
        <w:jc w:val="both"/>
        <w:rPr>
          <w:rFonts w:ascii="Times New Roman" w:hAnsi="Times New Roman" w:cs="Times New Roman"/>
          <w:b/>
          <w:sz w:val="20"/>
        </w:rPr>
      </w:pPr>
      <w:r w:rsidRPr="00E516E8">
        <w:rPr>
          <w:rFonts w:ascii="Times New Roman" w:hAnsi="Times New Roman" w:cs="Times New Roman"/>
          <w:b/>
          <w:sz w:val="20"/>
        </w:rPr>
        <w:t>Commencement</w:t>
      </w:r>
    </w:p>
    <w:p w14:paraId="004AB863" w14:textId="77777777" w:rsidR="00D7046B" w:rsidRPr="00E516E8" w:rsidRDefault="006C47F0" w:rsidP="00E516E8">
      <w:pPr>
        <w:widowControl w:val="0"/>
        <w:spacing w:after="0" w:line="240" w:lineRule="auto"/>
        <w:ind w:firstLine="432"/>
        <w:jc w:val="both"/>
        <w:rPr>
          <w:rFonts w:ascii="Times New Roman" w:hAnsi="Times New Roman" w:cs="Times New Roman"/>
        </w:rPr>
      </w:pPr>
      <w:r w:rsidRPr="00E516E8">
        <w:rPr>
          <w:rFonts w:ascii="Times New Roman" w:hAnsi="Times New Roman" w:cs="Times New Roman"/>
          <w:b/>
        </w:rPr>
        <w:t>2.</w:t>
      </w:r>
      <w:r w:rsidR="00D7046B" w:rsidRPr="00E516E8">
        <w:rPr>
          <w:rFonts w:ascii="Times New Roman" w:hAnsi="Times New Roman" w:cs="Times New Roman"/>
        </w:rPr>
        <w:t xml:space="preserve"> </w:t>
      </w:r>
      <w:r w:rsidRPr="00E516E8">
        <w:rPr>
          <w:rFonts w:ascii="Times New Roman" w:hAnsi="Times New Roman" w:cs="Times New Roman"/>
        </w:rPr>
        <w:t>This Act shall be deemed to have come into operation on 19 August 1981.</w:t>
      </w:r>
    </w:p>
    <w:p w14:paraId="4D904D0F" w14:textId="77777777" w:rsidR="00D7046B" w:rsidRPr="00146A7C" w:rsidRDefault="006C47F0" w:rsidP="00E516E8">
      <w:pPr>
        <w:widowControl w:val="0"/>
        <w:spacing w:after="0" w:line="240" w:lineRule="auto"/>
        <w:ind w:firstLine="432"/>
        <w:jc w:val="both"/>
        <w:rPr>
          <w:rFonts w:ascii="Times New Roman" w:hAnsi="Times New Roman" w:cs="Times New Roman"/>
          <w:smallCaps/>
        </w:rPr>
      </w:pPr>
      <w:r w:rsidRPr="00E516E8">
        <w:rPr>
          <w:rFonts w:ascii="Times New Roman" w:hAnsi="Times New Roman" w:cs="Times New Roman"/>
          <w:b/>
        </w:rPr>
        <w:t>3.</w:t>
      </w:r>
      <w:r w:rsidR="00D7046B" w:rsidRPr="00E516E8">
        <w:rPr>
          <w:rFonts w:ascii="Times New Roman" w:hAnsi="Times New Roman" w:cs="Times New Roman"/>
        </w:rPr>
        <w:t xml:space="preserve"> </w:t>
      </w:r>
      <w:r w:rsidRPr="00E516E8">
        <w:rPr>
          <w:rFonts w:ascii="Times New Roman" w:hAnsi="Times New Roman" w:cs="Times New Roman"/>
        </w:rPr>
        <w:t>Section 5 of the Principal Act is repealed and the following section is substituted:</w:t>
      </w:r>
    </w:p>
    <w:p w14:paraId="33E920E7" w14:textId="77777777" w:rsidR="00D7046B" w:rsidRPr="00E516E8" w:rsidRDefault="006C47F0" w:rsidP="00E516E8">
      <w:pPr>
        <w:widowControl w:val="0"/>
        <w:spacing w:before="120" w:after="60" w:line="240" w:lineRule="auto"/>
        <w:jc w:val="both"/>
        <w:rPr>
          <w:rFonts w:ascii="Times New Roman" w:hAnsi="Times New Roman" w:cs="Times New Roman"/>
          <w:b/>
          <w:sz w:val="20"/>
        </w:rPr>
      </w:pPr>
      <w:r w:rsidRPr="00E516E8">
        <w:rPr>
          <w:rFonts w:ascii="Times New Roman" w:hAnsi="Times New Roman" w:cs="Times New Roman"/>
          <w:b/>
          <w:sz w:val="20"/>
        </w:rPr>
        <w:t>Amount of stamp duty</w:t>
      </w:r>
    </w:p>
    <w:p w14:paraId="11A007BA" w14:textId="77777777" w:rsidR="00D7046B" w:rsidRPr="00E516E8" w:rsidRDefault="00B159FC" w:rsidP="00E516E8">
      <w:pPr>
        <w:widowControl w:val="0"/>
        <w:spacing w:after="0" w:line="240" w:lineRule="auto"/>
        <w:ind w:firstLine="432"/>
        <w:jc w:val="both"/>
        <w:rPr>
          <w:rFonts w:ascii="Times New Roman" w:hAnsi="Times New Roman" w:cs="Times New Roman"/>
        </w:rPr>
      </w:pPr>
      <w:r w:rsidRPr="00E516E8">
        <w:rPr>
          <w:rFonts w:ascii="Times New Roman" w:hAnsi="Times New Roman" w:cs="Times New Roman"/>
        </w:rPr>
        <w:t>“</w:t>
      </w:r>
      <w:r w:rsidR="006C47F0" w:rsidRPr="00E516E8">
        <w:rPr>
          <w:rFonts w:ascii="Times New Roman" w:hAnsi="Times New Roman" w:cs="Times New Roman"/>
        </w:rPr>
        <w:t>5. The amount of stamp duty on an instrument included in a class of instruments specified in column 2 of Schedule 1 is the amount set out in, or</w:t>
      </w:r>
    </w:p>
    <w:p w14:paraId="43551AD3" w14:textId="77777777" w:rsidR="006C4105" w:rsidRPr="00FF2DC5" w:rsidRDefault="006C4105" w:rsidP="00C01C54">
      <w:pPr>
        <w:spacing w:after="0" w:line="240" w:lineRule="auto"/>
        <w:jc w:val="both"/>
        <w:rPr>
          <w:rFonts w:ascii="Times New Roman" w:hAnsi="Times New Roman" w:cs="Times New Roman"/>
        </w:rPr>
      </w:pPr>
      <w:r w:rsidRPr="00FF2DC5">
        <w:rPr>
          <w:rFonts w:ascii="Times New Roman" w:hAnsi="Times New Roman" w:cs="Times New Roman"/>
        </w:rPr>
        <w:br w:type="page"/>
      </w:r>
    </w:p>
    <w:p w14:paraId="32F2E998" w14:textId="77777777" w:rsidR="009E7F00" w:rsidRPr="00BD5D46" w:rsidRDefault="009E7F00" w:rsidP="009E7F00">
      <w:pPr>
        <w:spacing w:after="0" w:line="240" w:lineRule="auto"/>
        <w:jc w:val="both"/>
        <w:rPr>
          <w:rFonts w:ascii="Times New Roman" w:hAnsi="Times New Roman" w:cs="Times New Roman"/>
        </w:rPr>
      </w:pPr>
      <w:r w:rsidRPr="00BD5D46">
        <w:rPr>
          <w:rFonts w:ascii="Times New Roman" w:hAnsi="Times New Roman" w:cs="Times New Roman"/>
        </w:rPr>
        <w:lastRenderedPageBreak/>
        <w:t>calculated in the manner set out in, column 3 of that Schedule opposite to the reference to that class of instruments.”.</w:t>
      </w:r>
    </w:p>
    <w:p w14:paraId="2BF83700" w14:textId="77777777" w:rsidR="009E7F00" w:rsidRPr="00BD5D46" w:rsidRDefault="009E7F00" w:rsidP="00BD5D46">
      <w:pPr>
        <w:widowControl w:val="0"/>
        <w:spacing w:before="120" w:after="60" w:line="240" w:lineRule="auto"/>
        <w:jc w:val="both"/>
        <w:rPr>
          <w:rFonts w:ascii="Times New Roman" w:hAnsi="Times New Roman" w:cs="Times New Roman"/>
          <w:b/>
          <w:sz w:val="20"/>
        </w:rPr>
      </w:pPr>
      <w:r w:rsidRPr="00BD5D46">
        <w:rPr>
          <w:rFonts w:ascii="Times New Roman" w:hAnsi="Times New Roman" w:cs="Times New Roman"/>
          <w:b/>
          <w:sz w:val="20"/>
        </w:rPr>
        <w:t>Amendments of First Schedule</w:t>
      </w:r>
    </w:p>
    <w:p w14:paraId="6C62B91D" w14:textId="77777777" w:rsidR="009E7F00" w:rsidRPr="00BD5D46" w:rsidRDefault="009E7F00" w:rsidP="00BD5D46">
      <w:pPr>
        <w:widowControl w:val="0"/>
        <w:spacing w:after="0" w:line="240" w:lineRule="auto"/>
        <w:ind w:firstLine="432"/>
        <w:jc w:val="both"/>
        <w:rPr>
          <w:rFonts w:ascii="Times New Roman" w:hAnsi="Times New Roman" w:cs="Times New Roman"/>
        </w:rPr>
      </w:pPr>
      <w:r w:rsidRPr="00BD5D46">
        <w:rPr>
          <w:rFonts w:ascii="Times New Roman" w:hAnsi="Times New Roman" w:cs="Times New Roman"/>
          <w:b/>
        </w:rPr>
        <w:t>4.</w:t>
      </w:r>
      <w:r w:rsidRPr="00BD5D46">
        <w:rPr>
          <w:rFonts w:ascii="Times New Roman" w:hAnsi="Times New Roman" w:cs="Times New Roman"/>
        </w:rPr>
        <w:t xml:space="preserve"> The First Schedule to the Principal Act is amended—</w:t>
      </w:r>
    </w:p>
    <w:p w14:paraId="22647DA1" w14:textId="77777777" w:rsidR="009E7F00" w:rsidRPr="00BD5D46" w:rsidRDefault="009E7F00" w:rsidP="00BD5D46">
      <w:pPr>
        <w:widowControl w:val="0"/>
        <w:spacing w:after="0" w:line="240" w:lineRule="auto"/>
        <w:ind w:left="864" w:hanging="432"/>
        <w:jc w:val="both"/>
        <w:rPr>
          <w:rFonts w:ascii="Times New Roman" w:hAnsi="Times New Roman" w:cs="Times New Roman"/>
        </w:rPr>
      </w:pPr>
      <w:r w:rsidRPr="00BD5D46">
        <w:rPr>
          <w:rFonts w:ascii="Times New Roman" w:hAnsi="Times New Roman" w:cs="Times New Roman"/>
        </w:rPr>
        <w:t>(a) by omitting from Item 1 “5 cents” and substituting “10 cents per instrument”;</w:t>
      </w:r>
    </w:p>
    <w:p w14:paraId="04345924" w14:textId="77777777" w:rsidR="009E7F00" w:rsidRPr="00BD5D46" w:rsidRDefault="009E7F00" w:rsidP="00BD5D46">
      <w:pPr>
        <w:widowControl w:val="0"/>
        <w:spacing w:after="0" w:line="240" w:lineRule="auto"/>
        <w:ind w:left="864" w:hanging="432"/>
        <w:jc w:val="both"/>
        <w:rPr>
          <w:rFonts w:ascii="Times New Roman" w:hAnsi="Times New Roman" w:cs="Times New Roman"/>
        </w:rPr>
      </w:pPr>
      <w:r w:rsidRPr="00BD5D46">
        <w:rPr>
          <w:rFonts w:ascii="Times New Roman" w:hAnsi="Times New Roman" w:cs="Times New Roman"/>
        </w:rPr>
        <w:t>(b) by omitting from Item 2 “5 cents” and substituting “10 cents per instrument”; and</w:t>
      </w:r>
    </w:p>
    <w:p w14:paraId="674C70C6" w14:textId="77777777" w:rsidR="009E7F00" w:rsidRPr="00BD5D46" w:rsidRDefault="009E7F00" w:rsidP="00F71B6D">
      <w:pPr>
        <w:widowControl w:val="0"/>
        <w:spacing w:after="60" w:line="240" w:lineRule="auto"/>
        <w:ind w:left="864" w:hanging="432"/>
        <w:jc w:val="both"/>
        <w:rPr>
          <w:rFonts w:ascii="Times New Roman" w:hAnsi="Times New Roman" w:cs="Times New Roman"/>
        </w:rPr>
      </w:pPr>
      <w:r w:rsidRPr="00BD5D46">
        <w:rPr>
          <w:rFonts w:ascii="Times New Roman" w:hAnsi="Times New Roman" w:cs="Times New Roman"/>
        </w:rPr>
        <w:t>(c) by omitting Items 4, 5, 6 and 7 and substituting the following Items:</w:t>
      </w:r>
    </w:p>
    <w:tbl>
      <w:tblPr>
        <w:tblW w:w="5000" w:type="pct"/>
        <w:tblCellMar>
          <w:left w:w="40" w:type="dxa"/>
          <w:right w:w="40" w:type="dxa"/>
        </w:tblCellMar>
        <w:tblLook w:val="04A0" w:firstRow="1" w:lastRow="0" w:firstColumn="1" w:lastColumn="0" w:noHBand="0" w:noVBand="1"/>
      </w:tblPr>
      <w:tblGrid>
        <w:gridCol w:w="2875"/>
        <w:gridCol w:w="5557"/>
      </w:tblGrid>
      <w:tr w:rsidR="00D7046B" w:rsidRPr="000A6C61" w14:paraId="121DC818" w14:textId="77777777" w:rsidTr="00B55B6A">
        <w:trPr>
          <w:trHeight w:val="20"/>
        </w:trPr>
        <w:tc>
          <w:tcPr>
            <w:tcW w:w="1705" w:type="pct"/>
          </w:tcPr>
          <w:p w14:paraId="7A8F4CB2" w14:textId="77777777" w:rsidR="00D7046B" w:rsidRPr="000A6C61" w:rsidRDefault="00C6412D" w:rsidP="00BD5D46">
            <w:pPr>
              <w:widowControl w:val="0"/>
              <w:spacing w:after="0" w:line="240" w:lineRule="auto"/>
              <w:ind w:left="864" w:hanging="432"/>
              <w:jc w:val="both"/>
              <w:rPr>
                <w:rFonts w:ascii="Times New Roman" w:hAnsi="Times New Roman" w:cs="Times New Roman"/>
                <w:sz w:val="20"/>
                <w:szCs w:val="20"/>
              </w:rPr>
            </w:pPr>
            <w:r>
              <w:rPr>
                <w:rFonts w:ascii="Times New Roman" w:hAnsi="Times New Roman" w:cs="Times New Roman"/>
                <w:sz w:val="20"/>
                <w:szCs w:val="20"/>
              </w:rPr>
              <w:t>“</w:t>
            </w:r>
            <w:r w:rsidR="006C47F0" w:rsidRPr="00C6412D">
              <w:rPr>
                <w:rFonts w:ascii="Times New Roman" w:hAnsi="Times New Roman" w:cs="Times New Roman"/>
                <w:sz w:val="20"/>
                <w:szCs w:val="20"/>
              </w:rPr>
              <w:t>4</w:t>
            </w:r>
            <w:r w:rsidR="006C47F0" w:rsidRPr="000A6C61">
              <w:rPr>
                <w:rFonts w:ascii="Times New Roman" w:hAnsi="Times New Roman" w:cs="Times New Roman"/>
                <w:b/>
                <w:sz w:val="20"/>
                <w:szCs w:val="20"/>
              </w:rPr>
              <w:t xml:space="preserve"> </w:t>
            </w:r>
            <w:r w:rsidR="006C47F0" w:rsidRPr="000A6C61">
              <w:rPr>
                <w:rFonts w:ascii="Times New Roman" w:hAnsi="Times New Roman" w:cs="Times New Roman"/>
                <w:sz w:val="20"/>
                <w:szCs w:val="20"/>
              </w:rPr>
              <w:t>Transfer, or an agreement for a transfer, of an estate in fee simple in land situated in the Territory</w:t>
            </w:r>
          </w:p>
        </w:tc>
        <w:tc>
          <w:tcPr>
            <w:tcW w:w="3295" w:type="pct"/>
          </w:tcPr>
          <w:p w14:paraId="667E30AA" w14:textId="77777777" w:rsidR="00D7046B" w:rsidRPr="000A6C61" w:rsidRDefault="006C47F0" w:rsidP="00BD5D46">
            <w:pPr>
              <w:widowControl w:val="0"/>
              <w:spacing w:after="0" w:line="240" w:lineRule="auto"/>
              <w:ind w:left="864" w:hanging="432"/>
              <w:jc w:val="both"/>
              <w:rPr>
                <w:rFonts w:ascii="Times New Roman" w:hAnsi="Times New Roman" w:cs="Times New Roman"/>
                <w:sz w:val="20"/>
                <w:szCs w:val="20"/>
              </w:rPr>
            </w:pPr>
            <w:r w:rsidRPr="000A6C61">
              <w:rPr>
                <w:rFonts w:ascii="Times New Roman" w:hAnsi="Times New Roman" w:cs="Times New Roman"/>
                <w:sz w:val="20"/>
                <w:szCs w:val="20"/>
              </w:rPr>
              <w:t>(a) $1.25 for every $100, and for any fractional part of $100, of the part of the value of the interest in the land transferred or agreed to be transferred that does not exceed $14,000;</w:t>
            </w:r>
          </w:p>
        </w:tc>
      </w:tr>
      <w:tr w:rsidR="00D7046B" w:rsidRPr="000A6C61" w14:paraId="1A8F61C2" w14:textId="77777777" w:rsidTr="00B55B6A">
        <w:trPr>
          <w:trHeight w:val="20"/>
        </w:trPr>
        <w:tc>
          <w:tcPr>
            <w:tcW w:w="1705" w:type="pct"/>
          </w:tcPr>
          <w:p w14:paraId="1B920E7F" w14:textId="77777777" w:rsidR="00D7046B" w:rsidRPr="000A6C61" w:rsidRDefault="00D7046B" w:rsidP="00C01C54">
            <w:pPr>
              <w:spacing w:after="0" w:line="240" w:lineRule="auto"/>
              <w:jc w:val="both"/>
              <w:rPr>
                <w:rFonts w:ascii="Times New Roman" w:hAnsi="Times New Roman" w:cs="Times New Roman"/>
                <w:sz w:val="20"/>
                <w:szCs w:val="20"/>
              </w:rPr>
            </w:pPr>
          </w:p>
        </w:tc>
        <w:tc>
          <w:tcPr>
            <w:tcW w:w="3295" w:type="pct"/>
          </w:tcPr>
          <w:p w14:paraId="4D42E671" w14:textId="77777777" w:rsidR="00D7046B" w:rsidRPr="000A6C61" w:rsidRDefault="006C47F0" w:rsidP="00BD5D46">
            <w:pPr>
              <w:widowControl w:val="0"/>
              <w:spacing w:after="0" w:line="240" w:lineRule="auto"/>
              <w:ind w:left="864" w:hanging="432"/>
              <w:jc w:val="both"/>
              <w:rPr>
                <w:rFonts w:ascii="Times New Roman" w:hAnsi="Times New Roman" w:cs="Times New Roman"/>
                <w:sz w:val="20"/>
                <w:szCs w:val="20"/>
              </w:rPr>
            </w:pPr>
            <w:r w:rsidRPr="000A6C61">
              <w:rPr>
                <w:rFonts w:ascii="Times New Roman" w:hAnsi="Times New Roman" w:cs="Times New Roman"/>
                <w:sz w:val="20"/>
                <w:szCs w:val="20"/>
              </w:rPr>
              <w:t>(b) $1.50 for every $100, and for any fractional part of $100, of the part of the value of the interest in the land transferred or agreed to be transferred that exceeds $14,000 but does not exceed $30,000;</w:t>
            </w:r>
          </w:p>
        </w:tc>
      </w:tr>
      <w:tr w:rsidR="00D7046B" w:rsidRPr="000A6C61" w14:paraId="03017B75" w14:textId="77777777" w:rsidTr="00B55B6A">
        <w:trPr>
          <w:trHeight w:val="20"/>
        </w:trPr>
        <w:tc>
          <w:tcPr>
            <w:tcW w:w="1705" w:type="pct"/>
          </w:tcPr>
          <w:p w14:paraId="09A607C0" w14:textId="77777777" w:rsidR="00D7046B" w:rsidRPr="000A6C61" w:rsidRDefault="00D7046B" w:rsidP="00C01C54">
            <w:pPr>
              <w:spacing w:after="0" w:line="240" w:lineRule="auto"/>
              <w:jc w:val="both"/>
              <w:rPr>
                <w:rFonts w:ascii="Times New Roman" w:hAnsi="Times New Roman" w:cs="Times New Roman"/>
                <w:sz w:val="20"/>
                <w:szCs w:val="20"/>
              </w:rPr>
            </w:pPr>
          </w:p>
        </w:tc>
        <w:tc>
          <w:tcPr>
            <w:tcW w:w="3295" w:type="pct"/>
          </w:tcPr>
          <w:p w14:paraId="41841409" w14:textId="77777777" w:rsidR="00D7046B" w:rsidRPr="000A6C61" w:rsidRDefault="006C47F0" w:rsidP="00BD5D46">
            <w:pPr>
              <w:widowControl w:val="0"/>
              <w:spacing w:after="0" w:line="240" w:lineRule="auto"/>
              <w:ind w:left="864" w:hanging="432"/>
              <w:jc w:val="both"/>
              <w:rPr>
                <w:rFonts w:ascii="Times New Roman" w:hAnsi="Times New Roman" w:cs="Times New Roman"/>
                <w:sz w:val="20"/>
                <w:szCs w:val="20"/>
              </w:rPr>
            </w:pPr>
            <w:r w:rsidRPr="000A6C61">
              <w:rPr>
                <w:rFonts w:ascii="Times New Roman" w:hAnsi="Times New Roman" w:cs="Times New Roman"/>
                <w:sz w:val="20"/>
                <w:szCs w:val="20"/>
              </w:rPr>
              <w:t>(c) $1.75 for every $100, and for any fractional part of $100, of the part of the value of the interest in the land transferred or agreed to be transferred that exceeds $30,000 but does not exceed $50,000;</w:t>
            </w:r>
          </w:p>
        </w:tc>
      </w:tr>
      <w:tr w:rsidR="00D7046B" w:rsidRPr="000A6C61" w14:paraId="45A0B1E9" w14:textId="77777777" w:rsidTr="00B55B6A">
        <w:trPr>
          <w:trHeight w:val="20"/>
        </w:trPr>
        <w:tc>
          <w:tcPr>
            <w:tcW w:w="1705" w:type="pct"/>
          </w:tcPr>
          <w:p w14:paraId="6AE9F757" w14:textId="77777777" w:rsidR="00D7046B" w:rsidRPr="000A6C61" w:rsidRDefault="00D7046B" w:rsidP="00C01C54">
            <w:pPr>
              <w:spacing w:after="0" w:line="240" w:lineRule="auto"/>
              <w:jc w:val="both"/>
              <w:rPr>
                <w:rFonts w:ascii="Times New Roman" w:hAnsi="Times New Roman" w:cs="Times New Roman"/>
                <w:sz w:val="20"/>
                <w:szCs w:val="20"/>
              </w:rPr>
            </w:pPr>
          </w:p>
        </w:tc>
        <w:tc>
          <w:tcPr>
            <w:tcW w:w="3295" w:type="pct"/>
          </w:tcPr>
          <w:p w14:paraId="2CC2BB85" w14:textId="77777777" w:rsidR="00D7046B" w:rsidRPr="000A6C61" w:rsidRDefault="006C47F0" w:rsidP="00BD5D46">
            <w:pPr>
              <w:widowControl w:val="0"/>
              <w:spacing w:after="0" w:line="240" w:lineRule="auto"/>
              <w:ind w:left="864" w:hanging="432"/>
              <w:jc w:val="both"/>
              <w:rPr>
                <w:rFonts w:ascii="Times New Roman" w:hAnsi="Times New Roman" w:cs="Times New Roman"/>
                <w:sz w:val="20"/>
                <w:szCs w:val="20"/>
              </w:rPr>
            </w:pPr>
            <w:r w:rsidRPr="000A6C61">
              <w:rPr>
                <w:rFonts w:ascii="Times New Roman" w:hAnsi="Times New Roman" w:cs="Times New Roman"/>
                <w:sz w:val="20"/>
                <w:szCs w:val="20"/>
              </w:rPr>
              <w:t>(d) $2.00 for every $100, and for any fractional part of $100, of the part of the value of the interest in the land transferred or agreed to be transferred that exceeds $50,000 but does not exceed $100,000;</w:t>
            </w:r>
          </w:p>
        </w:tc>
      </w:tr>
      <w:tr w:rsidR="00D7046B" w:rsidRPr="000A6C61" w14:paraId="30822130" w14:textId="77777777" w:rsidTr="00B55B6A">
        <w:trPr>
          <w:trHeight w:val="20"/>
        </w:trPr>
        <w:tc>
          <w:tcPr>
            <w:tcW w:w="1705" w:type="pct"/>
          </w:tcPr>
          <w:p w14:paraId="40D61442" w14:textId="77777777" w:rsidR="00D7046B" w:rsidRPr="000A6C61" w:rsidRDefault="00D7046B" w:rsidP="00C01C54">
            <w:pPr>
              <w:spacing w:after="0" w:line="240" w:lineRule="auto"/>
              <w:jc w:val="both"/>
              <w:rPr>
                <w:rFonts w:ascii="Times New Roman" w:hAnsi="Times New Roman" w:cs="Times New Roman"/>
                <w:sz w:val="20"/>
                <w:szCs w:val="20"/>
              </w:rPr>
            </w:pPr>
          </w:p>
        </w:tc>
        <w:tc>
          <w:tcPr>
            <w:tcW w:w="3295" w:type="pct"/>
          </w:tcPr>
          <w:p w14:paraId="6FD3EEEE" w14:textId="77777777" w:rsidR="00D7046B" w:rsidRPr="000A6C61" w:rsidRDefault="006C47F0" w:rsidP="00BD5D46">
            <w:pPr>
              <w:widowControl w:val="0"/>
              <w:spacing w:after="0" w:line="240" w:lineRule="auto"/>
              <w:ind w:left="864" w:hanging="432"/>
              <w:jc w:val="both"/>
              <w:rPr>
                <w:rFonts w:ascii="Times New Roman" w:hAnsi="Times New Roman" w:cs="Times New Roman"/>
                <w:sz w:val="20"/>
                <w:szCs w:val="20"/>
              </w:rPr>
            </w:pPr>
            <w:r w:rsidRPr="000A6C61">
              <w:rPr>
                <w:rFonts w:ascii="Times New Roman" w:hAnsi="Times New Roman" w:cs="Times New Roman"/>
                <w:sz w:val="20"/>
                <w:szCs w:val="20"/>
              </w:rPr>
              <w:t>(e) $2.25 for every $100, and for any fractional part of $100, of the part of the value of the interest in the land transferred or agreed to be transferred that exceeds $100,000 but does not exceed $250,000; and</w:t>
            </w:r>
          </w:p>
        </w:tc>
      </w:tr>
      <w:tr w:rsidR="00D7046B" w:rsidRPr="000A6C61" w14:paraId="49FDB41F" w14:textId="77777777" w:rsidTr="00B55B6A">
        <w:trPr>
          <w:trHeight w:val="20"/>
        </w:trPr>
        <w:tc>
          <w:tcPr>
            <w:tcW w:w="1705" w:type="pct"/>
          </w:tcPr>
          <w:p w14:paraId="0B400AAE" w14:textId="77777777" w:rsidR="00D7046B" w:rsidRPr="000A6C61" w:rsidRDefault="00D7046B" w:rsidP="00C01C54">
            <w:pPr>
              <w:spacing w:after="0" w:line="240" w:lineRule="auto"/>
              <w:jc w:val="both"/>
              <w:rPr>
                <w:rFonts w:ascii="Times New Roman" w:hAnsi="Times New Roman" w:cs="Times New Roman"/>
                <w:sz w:val="20"/>
                <w:szCs w:val="20"/>
              </w:rPr>
            </w:pPr>
          </w:p>
        </w:tc>
        <w:tc>
          <w:tcPr>
            <w:tcW w:w="3295" w:type="pct"/>
          </w:tcPr>
          <w:p w14:paraId="32E65954" w14:textId="77777777" w:rsidR="00D7046B" w:rsidRPr="000A6C61" w:rsidRDefault="00D7046B" w:rsidP="00BD5D46">
            <w:pPr>
              <w:widowControl w:val="0"/>
              <w:spacing w:after="0" w:line="240" w:lineRule="auto"/>
              <w:ind w:left="864" w:hanging="432"/>
              <w:jc w:val="both"/>
              <w:rPr>
                <w:rFonts w:ascii="Times New Roman" w:hAnsi="Times New Roman" w:cs="Times New Roman"/>
                <w:sz w:val="20"/>
                <w:szCs w:val="20"/>
              </w:rPr>
            </w:pPr>
            <w:r w:rsidRPr="000A6C61">
              <w:rPr>
                <w:rFonts w:ascii="Times New Roman" w:hAnsi="Times New Roman" w:cs="Times New Roman"/>
                <w:sz w:val="20"/>
                <w:szCs w:val="20"/>
              </w:rPr>
              <w:t>(</w:t>
            </w:r>
            <w:r w:rsidR="00BD5D46" w:rsidRPr="000A6C61">
              <w:rPr>
                <w:rFonts w:ascii="Times New Roman" w:hAnsi="Times New Roman" w:cs="Times New Roman"/>
                <w:sz w:val="20"/>
                <w:szCs w:val="20"/>
              </w:rPr>
              <w:t>f)</w:t>
            </w:r>
            <w:r w:rsidRPr="000A6C61">
              <w:rPr>
                <w:rFonts w:ascii="Times New Roman" w:hAnsi="Times New Roman" w:cs="Times New Roman"/>
                <w:sz w:val="20"/>
                <w:szCs w:val="20"/>
              </w:rPr>
              <w:t xml:space="preserve"> </w:t>
            </w:r>
            <w:r w:rsidR="006C47F0" w:rsidRPr="000A6C61">
              <w:rPr>
                <w:rFonts w:ascii="Times New Roman" w:hAnsi="Times New Roman" w:cs="Times New Roman"/>
                <w:sz w:val="20"/>
                <w:szCs w:val="20"/>
              </w:rPr>
              <w:t>$2.50 for every $100, and for any fractional part of $100, of the part of the value of the interest in the land transferred or agreed to be transferred that exceeds $250,000</w:t>
            </w:r>
          </w:p>
        </w:tc>
      </w:tr>
      <w:tr w:rsidR="00D7046B" w:rsidRPr="000A6C61" w14:paraId="01C21FBF" w14:textId="77777777" w:rsidTr="00B55B6A">
        <w:trPr>
          <w:trHeight w:val="20"/>
        </w:trPr>
        <w:tc>
          <w:tcPr>
            <w:tcW w:w="1705" w:type="pct"/>
          </w:tcPr>
          <w:p w14:paraId="24F3E37A" w14:textId="77777777" w:rsidR="00D7046B" w:rsidRPr="000A6C61" w:rsidRDefault="006C47F0" w:rsidP="00BD5D46">
            <w:pPr>
              <w:widowControl w:val="0"/>
              <w:spacing w:after="0" w:line="240" w:lineRule="auto"/>
              <w:ind w:left="864" w:hanging="432"/>
              <w:jc w:val="both"/>
              <w:rPr>
                <w:rFonts w:ascii="Times New Roman" w:hAnsi="Times New Roman" w:cs="Times New Roman"/>
                <w:sz w:val="20"/>
                <w:szCs w:val="20"/>
              </w:rPr>
            </w:pPr>
            <w:r w:rsidRPr="000A6C61">
              <w:rPr>
                <w:rFonts w:ascii="Times New Roman" w:hAnsi="Times New Roman" w:cs="Times New Roman"/>
                <w:b/>
                <w:sz w:val="20"/>
                <w:szCs w:val="20"/>
              </w:rPr>
              <w:t>5</w:t>
            </w:r>
            <w:r w:rsidRPr="000A6C61">
              <w:rPr>
                <w:rFonts w:ascii="Times New Roman" w:hAnsi="Times New Roman" w:cs="Times New Roman"/>
                <w:sz w:val="20"/>
                <w:szCs w:val="20"/>
              </w:rPr>
              <w:t xml:space="preserve"> Transfer, or an agreement for a transfer, of a Crown lease for a term exceeding 5 years of land situated in the Territory</w:t>
            </w:r>
          </w:p>
        </w:tc>
        <w:tc>
          <w:tcPr>
            <w:tcW w:w="3295" w:type="pct"/>
          </w:tcPr>
          <w:p w14:paraId="3B6A8D79" w14:textId="77777777" w:rsidR="00D7046B" w:rsidRPr="000A6C61" w:rsidRDefault="006C47F0" w:rsidP="00BD5D46">
            <w:pPr>
              <w:widowControl w:val="0"/>
              <w:spacing w:after="0" w:line="240" w:lineRule="auto"/>
              <w:ind w:left="864" w:hanging="432"/>
              <w:jc w:val="both"/>
              <w:rPr>
                <w:rFonts w:ascii="Times New Roman" w:hAnsi="Times New Roman" w:cs="Times New Roman"/>
                <w:sz w:val="20"/>
                <w:szCs w:val="20"/>
              </w:rPr>
            </w:pPr>
            <w:r w:rsidRPr="000A6C61">
              <w:rPr>
                <w:rFonts w:ascii="Times New Roman" w:hAnsi="Times New Roman" w:cs="Times New Roman"/>
                <w:sz w:val="20"/>
                <w:szCs w:val="20"/>
              </w:rPr>
              <w:t>(a) $1.25 for every $100, and for any fractional part of $100, of the part of the value of the interest in the land transferred or agreed to be transferred that does not exceed $14,000;</w:t>
            </w:r>
          </w:p>
        </w:tc>
      </w:tr>
      <w:tr w:rsidR="00D7046B" w:rsidRPr="000A6C61" w14:paraId="0D97B19D" w14:textId="77777777" w:rsidTr="00B55B6A">
        <w:trPr>
          <w:trHeight w:val="20"/>
        </w:trPr>
        <w:tc>
          <w:tcPr>
            <w:tcW w:w="1705" w:type="pct"/>
          </w:tcPr>
          <w:p w14:paraId="0F488C20" w14:textId="77777777" w:rsidR="00D7046B" w:rsidRPr="000A6C61" w:rsidRDefault="00D7046B" w:rsidP="00C01C54">
            <w:pPr>
              <w:spacing w:after="0" w:line="240" w:lineRule="auto"/>
              <w:jc w:val="both"/>
              <w:rPr>
                <w:rFonts w:ascii="Times New Roman" w:hAnsi="Times New Roman" w:cs="Times New Roman"/>
                <w:sz w:val="20"/>
                <w:szCs w:val="20"/>
              </w:rPr>
            </w:pPr>
          </w:p>
        </w:tc>
        <w:tc>
          <w:tcPr>
            <w:tcW w:w="3295" w:type="pct"/>
          </w:tcPr>
          <w:p w14:paraId="6D3461C5" w14:textId="77777777" w:rsidR="00D7046B" w:rsidRPr="000A6C61" w:rsidRDefault="006C47F0" w:rsidP="00BD5D46">
            <w:pPr>
              <w:widowControl w:val="0"/>
              <w:spacing w:after="0" w:line="240" w:lineRule="auto"/>
              <w:ind w:left="864" w:hanging="432"/>
              <w:jc w:val="both"/>
              <w:rPr>
                <w:rFonts w:ascii="Times New Roman" w:hAnsi="Times New Roman" w:cs="Times New Roman"/>
                <w:sz w:val="20"/>
                <w:szCs w:val="20"/>
              </w:rPr>
            </w:pPr>
            <w:r w:rsidRPr="000A6C61">
              <w:rPr>
                <w:rFonts w:ascii="Times New Roman" w:hAnsi="Times New Roman" w:cs="Times New Roman"/>
                <w:sz w:val="20"/>
                <w:szCs w:val="20"/>
              </w:rPr>
              <w:t>(b) $1.50 for every $100, and for any fractional part of $100, of the part of the value of the interest in the land transferred or agreed to be transferred that exceeds $14,000 but does not exceed $30,000;</w:t>
            </w:r>
          </w:p>
        </w:tc>
      </w:tr>
      <w:tr w:rsidR="00D7046B" w:rsidRPr="000A6C61" w14:paraId="57F606CB" w14:textId="77777777" w:rsidTr="00B55B6A">
        <w:trPr>
          <w:trHeight w:val="20"/>
        </w:trPr>
        <w:tc>
          <w:tcPr>
            <w:tcW w:w="1705" w:type="pct"/>
          </w:tcPr>
          <w:p w14:paraId="0F858F02" w14:textId="77777777" w:rsidR="00D7046B" w:rsidRPr="000A6C61" w:rsidRDefault="00D7046B" w:rsidP="00C01C54">
            <w:pPr>
              <w:spacing w:after="0" w:line="240" w:lineRule="auto"/>
              <w:jc w:val="both"/>
              <w:rPr>
                <w:rFonts w:ascii="Times New Roman" w:hAnsi="Times New Roman" w:cs="Times New Roman"/>
                <w:sz w:val="20"/>
                <w:szCs w:val="20"/>
              </w:rPr>
            </w:pPr>
          </w:p>
        </w:tc>
        <w:tc>
          <w:tcPr>
            <w:tcW w:w="3295" w:type="pct"/>
          </w:tcPr>
          <w:p w14:paraId="11CBF155" w14:textId="77777777" w:rsidR="00D7046B" w:rsidRPr="000A6C61" w:rsidRDefault="006C47F0" w:rsidP="00BD5D46">
            <w:pPr>
              <w:widowControl w:val="0"/>
              <w:spacing w:after="0" w:line="240" w:lineRule="auto"/>
              <w:ind w:left="864" w:hanging="432"/>
              <w:jc w:val="both"/>
              <w:rPr>
                <w:rFonts w:ascii="Times New Roman" w:hAnsi="Times New Roman" w:cs="Times New Roman"/>
                <w:sz w:val="20"/>
                <w:szCs w:val="20"/>
              </w:rPr>
            </w:pPr>
            <w:r w:rsidRPr="000A6C61">
              <w:rPr>
                <w:rFonts w:ascii="Times New Roman" w:hAnsi="Times New Roman" w:cs="Times New Roman"/>
                <w:sz w:val="20"/>
                <w:szCs w:val="20"/>
              </w:rPr>
              <w:t>(c) $1.75 for every $100, and for any fractional part of $100, of the part of the value of the interest in the land transferred or agreed to be transferred that exceeds $30,000 but does not exceed $50,000;</w:t>
            </w:r>
          </w:p>
        </w:tc>
      </w:tr>
    </w:tbl>
    <w:p w14:paraId="146F8D70" w14:textId="77777777" w:rsidR="006C4105" w:rsidRPr="00FF2DC5" w:rsidRDefault="006C4105" w:rsidP="00C01C54">
      <w:pPr>
        <w:spacing w:after="0" w:line="240" w:lineRule="auto"/>
        <w:jc w:val="both"/>
        <w:rPr>
          <w:rFonts w:ascii="Times New Roman" w:hAnsi="Times New Roman" w:cs="Times New Roman"/>
        </w:rPr>
      </w:pPr>
      <w:r w:rsidRPr="00FF2DC5">
        <w:rPr>
          <w:rFonts w:ascii="Times New Roman" w:hAnsi="Times New Roman" w:cs="Times New Roman"/>
        </w:rPr>
        <w:br w:type="page"/>
      </w:r>
    </w:p>
    <w:tbl>
      <w:tblPr>
        <w:tblW w:w="5000" w:type="pct"/>
        <w:tblCellMar>
          <w:left w:w="40" w:type="dxa"/>
          <w:right w:w="40" w:type="dxa"/>
        </w:tblCellMar>
        <w:tblLook w:val="04A0" w:firstRow="1" w:lastRow="0" w:firstColumn="1" w:lastColumn="0" w:noHBand="0" w:noVBand="1"/>
      </w:tblPr>
      <w:tblGrid>
        <w:gridCol w:w="2875"/>
        <w:gridCol w:w="5557"/>
      </w:tblGrid>
      <w:tr w:rsidR="00D7046B" w:rsidRPr="00B55B6A" w14:paraId="0D21C37D" w14:textId="77777777" w:rsidTr="00B55B6A">
        <w:trPr>
          <w:trHeight w:val="20"/>
        </w:trPr>
        <w:tc>
          <w:tcPr>
            <w:tcW w:w="1705" w:type="pct"/>
          </w:tcPr>
          <w:p w14:paraId="1691C68D" w14:textId="77777777" w:rsidR="00D7046B" w:rsidRPr="00B55B6A" w:rsidRDefault="00D7046B" w:rsidP="00C01C54">
            <w:pPr>
              <w:spacing w:after="0" w:line="240" w:lineRule="auto"/>
              <w:jc w:val="both"/>
              <w:rPr>
                <w:rFonts w:ascii="Times New Roman" w:hAnsi="Times New Roman" w:cs="Times New Roman"/>
                <w:sz w:val="20"/>
                <w:szCs w:val="20"/>
              </w:rPr>
            </w:pPr>
          </w:p>
        </w:tc>
        <w:tc>
          <w:tcPr>
            <w:tcW w:w="3295" w:type="pct"/>
          </w:tcPr>
          <w:p w14:paraId="717ABFEC" w14:textId="62102E82" w:rsidR="00D7046B" w:rsidRPr="00B55B6A" w:rsidRDefault="006C47F0" w:rsidP="00315B76">
            <w:pPr>
              <w:widowControl w:val="0"/>
              <w:spacing w:after="0" w:line="240" w:lineRule="auto"/>
              <w:ind w:left="864" w:hanging="432"/>
              <w:jc w:val="both"/>
              <w:rPr>
                <w:rFonts w:ascii="Times New Roman" w:hAnsi="Times New Roman" w:cs="Times New Roman"/>
                <w:sz w:val="20"/>
                <w:szCs w:val="20"/>
              </w:rPr>
            </w:pPr>
            <w:r w:rsidRPr="00B55B6A">
              <w:rPr>
                <w:rFonts w:ascii="Times New Roman" w:hAnsi="Times New Roman" w:cs="Times New Roman"/>
                <w:sz w:val="20"/>
                <w:szCs w:val="20"/>
              </w:rPr>
              <w:t>(d) $2.00 for every $100, and for any fractional part of $100, of the part of the value of the interest in the land transferred or agreed to be transferred that exceeds $50,000 but does not exceed $100,000;</w:t>
            </w:r>
          </w:p>
        </w:tc>
      </w:tr>
      <w:tr w:rsidR="00D7046B" w:rsidRPr="00B55B6A" w14:paraId="1ACA9113" w14:textId="77777777" w:rsidTr="00B55B6A">
        <w:trPr>
          <w:trHeight w:val="20"/>
        </w:trPr>
        <w:tc>
          <w:tcPr>
            <w:tcW w:w="1705" w:type="pct"/>
          </w:tcPr>
          <w:p w14:paraId="63554489" w14:textId="77777777" w:rsidR="00D7046B" w:rsidRPr="00B55B6A" w:rsidRDefault="00D7046B" w:rsidP="00C01C54">
            <w:pPr>
              <w:spacing w:after="0" w:line="240" w:lineRule="auto"/>
              <w:jc w:val="both"/>
              <w:rPr>
                <w:rFonts w:ascii="Times New Roman" w:hAnsi="Times New Roman" w:cs="Times New Roman"/>
                <w:sz w:val="20"/>
                <w:szCs w:val="20"/>
              </w:rPr>
            </w:pPr>
          </w:p>
        </w:tc>
        <w:tc>
          <w:tcPr>
            <w:tcW w:w="3295" w:type="pct"/>
          </w:tcPr>
          <w:p w14:paraId="59332977" w14:textId="77777777" w:rsidR="00D7046B" w:rsidRPr="00B55B6A" w:rsidRDefault="006C47F0" w:rsidP="00BD5D46">
            <w:pPr>
              <w:widowControl w:val="0"/>
              <w:spacing w:after="0" w:line="240" w:lineRule="auto"/>
              <w:ind w:left="864" w:hanging="432"/>
              <w:jc w:val="both"/>
              <w:rPr>
                <w:rFonts w:ascii="Times New Roman" w:hAnsi="Times New Roman" w:cs="Times New Roman"/>
                <w:sz w:val="20"/>
                <w:szCs w:val="20"/>
              </w:rPr>
            </w:pPr>
            <w:r w:rsidRPr="00B55B6A">
              <w:rPr>
                <w:rFonts w:ascii="Times New Roman" w:hAnsi="Times New Roman" w:cs="Times New Roman"/>
                <w:sz w:val="20"/>
                <w:szCs w:val="20"/>
              </w:rPr>
              <w:t>(e) $2.25 for every. $100, and for any fractional part of $100, of the part of the value of the interest in the land transferred or agreed to be transferred that exceeds $100,000 but does not exceed $250,000; and</w:t>
            </w:r>
          </w:p>
        </w:tc>
      </w:tr>
      <w:tr w:rsidR="00D7046B" w:rsidRPr="00B55B6A" w14:paraId="7EB9A7D6" w14:textId="77777777" w:rsidTr="00B55B6A">
        <w:trPr>
          <w:trHeight w:val="20"/>
        </w:trPr>
        <w:tc>
          <w:tcPr>
            <w:tcW w:w="1705" w:type="pct"/>
          </w:tcPr>
          <w:p w14:paraId="682C4D62" w14:textId="77777777" w:rsidR="00D7046B" w:rsidRPr="00B55B6A" w:rsidRDefault="00D7046B" w:rsidP="00C01C54">
            <w:pPr>
              <w:spacing w:after="0" w:line="240" w:lineRule="auto"/>
              <w:jc w:val="both"/>
              <w:rPr>
                <w:rFonts w:ascii="Times New Roman" w:hAnsi="Times New Roman" w:cs="Times New Roman"/>
                <w:sz w:val="20"/>
                <w:szCs w:val="20"/>
              </w:rPr>
            </w:pPr>
          </w:p>
        </w:tc>
        <w:tc>
          <w:tcPr>
            <w:tcW w:w="3295" w:type="pct"/>
          </w:tcPr>
          <w:p w14:paraId="06A18D62" w14:textId="77777777" w:rsidR="00D7046B" w:rsidRPr="00B55B6A" w:rsidRDefault="00D7046B" w:rsidP="00BD5D46">
            <w:pPr>
              <w:widowControl w:val="0"/>
              <w:spacing w:after="0" w:line="240" w:lineRule="auto"/>
              <w:ind w:left="864" w:hanging="432"/>
              <w:jc w:val="both"/>
              <w:rPr>
                <w:rFonts w:ascii="Times New Roman" w:hAnsi="Times New Roman" w:cs="Times New Roman"/>
                <w:sz w:val="20"/>
                <w:szCs w:val="20"/>
              </w:rPr>
            </w:pPr>
            <w:r w:rsidRPr="00B55B6A">
              <w:rPr>
                <w:rFonts w:ascii="Times New Roman" w:hAnsi="Times New Roman" w:cs="Times New Roman"/>
                <w:sz w:val="20"/>
                <w:szCs w:val="20"/>
              </w:rPr>
              <w:t xml:space="preserve">(f) </w:t>
            </w:r>
            <w:r w:rsidR="006C47F0" w:rsidRPr="00B55B6A">
              <w:rPr>
                <w:rFonts w:ascii="Times New Roman" w:hAnsi="Times New Roman" w:cs="Times New Roman"/>
                <w:sz w:val="20"/>
                <w:szCs w:val="20"/>
              </w:rPr>
              <w:t>$2.50 for every $100, and for any fractional part of $100, of the part of the value of the interest in the land transferred or agreed to be transferred that exceeds $250,000</w:t>
            </w:r>
          </w:p>
        </w:tc>
      </w:tr>
      <w:tr w:rsidR="00D7046B" w:rsidRPr="00B55B6A" w14:paraId="6C08F7B2" w14:textId="77777777" w:rsidTr="00B55B6A">
        <w:trPr>
          <w:trHeight w:val="20"/>
        </w:trPr>
        <w:tc>
          <w:tcPr>
            <w:tcW w:w="1705" w:type="pct"/>
          </w:tcPr>
          <w:p w14:paraId="3368C8A2" w14:textId="77777777" w:rsidR="00D7046B" w:rsidRPr="00B55B6A" w:rsidRDefault="006C47F0" w:rsidP="00B55B6A">
            <w:pPr>
              <w:widowControl w:val="0"/>
              <w:spacing w:after="0" w:line="240" w:lineRule="auto"/>
              <w:ind w:left="864" w:hanging="432"/>
              <w:rPr>
                <w:rFonts w:ascii="Times New Roman" w:hAnsi="Times New Roman" w:cs="Times New Roman"/>
                <w:sz w:val="20"/>
                <w:szCs w:val="20"/>
              </w:rPr>
            </w:pPr>
            <w:r w:rsidRPr="00B55B6A">
              <w:rPr>
                <w:rFonts w:ascii="Times New Roman" w:hAnsi="Times New Roman" w:cs="Times New Roman"/>
                <w:sz w:val="20"/>
                <w:szCs w:val="20"/>
              </w:rPr>
              <w:t>6 Lease of land situated in the Territory</w:t>
            </w:r>
          </w:p>
        </w:tc>
        <w:tc>
          <w:tcPr>
            <w:tcW w:w="3295" w:type="pct"/>
          </w:tcPr>
          <w:p w14:paraId="55E5CD7C" w14:textId="77777777" w:rsidR="00D7046B" w:rsidRPr="00B55B6A" w:rsidRDefault="006C47F0" w:rsidP="00B55B6A">
            <w:pPr>
              <w:widowControl w:val="0"/>
              <w:spacing w:after="0" w:line="240" w:lineRule="auto"/>
              <w:rPr>
                <w:rFonts w:ascii="Times New Roman" w:hAnsi="Times New Roman" w:cs="Times New Roman"/>
                <w:sz w:val="20"/>
                <w:szCs w:val="20"/>
              </w:rPr>
            </w:pPr>
            <w:r w:rsidRPr="00B55B6A">
              <w:rPr>
                <w:rFonts w:ascii="Times New Roman" w:hAnsi="Times New Roman" w:cs="Times New Roman"/>
                <w:sz w:val="20"/>
                <w:szCs w:val="20"/>
              </w:rPr>
              <w:t>35 cents for every $100, and for any fractional part of $100, of the total amount or value of the consideration by way of rent for the term of the lease specified in the lease plus—</w:t>
            </w:r>
          </w:p>
        </w:tc>
      </w:tr>
      <w:tr w:rsidR="00D7046B" w:rsidRPr="00B55B6A" w14:paraId="638515B0" w14:textId="77777777" w:rsidTr="00B55B6A">
        <w:trPr>
          <w:trHeight w:val="20"/>
        </w:trPr>
        <w:tc>
          <w:tcPr>
            <w:tcW w:w="1705" w:type="pct"/>
          </w:tcPr>
          <w:p w14:paraId="2F1345DA" w14:textId="77777777" w:rsidR="00D7046B" w:rsidRPr="00B55B6A" w:rsidRDefault="00D7046B" w:rsidP="00C01C54">
            <w:pPr>
              <w:spacing w:after="0" w:line="240" w:lineRule="auto"/>
              <w:jc w:val="both"/>
              <w:rPr>
                <w:rFonts w:ascii="Times New Roman" w:hAnsi="Times New Roman" w:cs="Times New Roman"/>
                <w:sz w:val="20"/>
                <w:szCs w:val="20"/>
              </w:rPr>
            </w:pPr>
          </w:p>
        </w:tc>
        <w:tc>
          <w:tcPr>
            <w:tcW w:w="3295" w:type="pct"/>
          </w:tcPr>
          <w:p w14:paraId="116B7C1D" w14:textId="3A9828AE" w:rsidR="00D7046B" w:rsidRPr="00B55B6A" w:rsidRDefault="006C47F0" w:rsidP="00315B76">
            <w:pPr>
              <w:widowControl w:val="0"/>
              <w:spacing w:after="0" w:line="240" w:lineRule="auto"/>
              <w:ind w:left="864" w:hanging="432"/>
              <w:jc w:val="both"/>
              <w:rPr>
                <w:rFonts w:ascii="Times New Roman" w:hAnsi="Times New Roman" w:cs="Times New Roman"/>
                <w:sz w:val="20"/>
                <w:szCs w:val="20"/>
              </w:rPr>
            </w:pPr>
            <w:r w:rsidRPr="00B55B6A">
              <w:rPr>
                <w:rFonts w:ascii="Times New Roman" w:hAnsi="Times New Roman" w:cs="Times New Roman"/>
                <w:sz w:val="20"/>
                <w:szCs w:val="20"/>
              </w:rPr>
              <w:t>(a) $ 1.25 for every $ 100, and for any fractional part of $100, of the part of the total amount or value of any consideration (not being rent) given or agreed to be given in respect of t</w:t>
            </w:r>
            <w:r w:rsidR="00315B76">
              <w:rPr>
                <w:rFonts w:ascii="Times New Roman" w:hAnsi="Times New Roman" w:cs="Times New Roman"/>
                <w:sz w:val="20"/>
                <w:szCs w:val="20"/>
              </w:rPr>
              <w:t>he lease that does not exceed $</w:t>
            </w:r>
            <w:r w:rsidRPr="00B55B6A">
              <w:rPr>
                <w:rFonts w:ascii="Times New Roman" w:hAnsi="Times New Roman" w:cs="Times New Roman"/>
                <w:sz w:val="20"/>
                <w:szCs w:val="20"/>
              </w:rPr>
              <w:t>14,000;</w:t>
            </w:r>
          </w:p>
        </w:tc>
      </w:tr>
      <w:tr w:rsidR="00D7046B" w:rsidRPr="00B55B6A" w14:paraId="4AC4555F" w14:textId="77777777" w:rsidTr="00B55B6A">
        <w:trPr>
          <w:trHeight w:val="20"/>
        </w:trPr>
        <w:tc>
          <w:tcPr>
            <w:tcW w:w="1705" w:type="pct"/>
          </w:tcPr>
          <w:p w14:paraId="039DE0C6" w14:textId="77777777" w:rsidR="00D7046B" w:rsidRPr="00B55B6A" w:rsidRDefault="00D7046B" w:rsidP="00C01C54">
            <w:pPr>
              <w:spacing w:after="0" w:line="240" w:lineRule="auto"/>
              <w:jc w:val="both"/>
              <w:rPr>
                <w:rFonts w:ascii="Times New Roman" w:hAnsi="Times New Roman" w:cs="Times New Roman"/>
                <w:sz w:val="20"/>
                <w:szCs w:val="20"/>
              </w:rPr>
            </w:pPr>
          </w:p>
        </w:tc>
        <w:tc>
          <w:tcPr>
            <w:tcW w:w="3295" w:type="pct"/>
          </w:tcPr>
          <w:p w14:paraId="5AC4CB9E" w14:textId="04CE2B86" w:rsidR="00D7046B" w:rsidRPr="00B55B6A" w:rsidRDefault="00315B76" w:rsidP="00315B76">
            <w:pPr>
              <w:widowControl w:val="0"/>
              <w:spacing w:after="0" w:line="240" w:lineRule="auto"/>
              <w:ind w:left="864" w:hanging="432"/>
              <w:jc w:val="both"/>
              <w:rPr>
                <w:rFonts w:ascii="Times New Roman" w:hAnsi="Times New Roman" w:cs="Times New Roman"/>
                <w:sz w:val="20"/>
                <w:szCs w:val="20"/>
              </w:rPr>
            </w:pPr>
            <w:r>
              <w:rPr>
                <w:rFonts w:ascii="Times New Roman" w:hAnsi="Times New Roman" w:cs="Times New Roman"/>
                <w:sz w:val="20"/>
                <w:szCs w:val="20"/>
              </w:rPr>
              <w:t>(b) $ 1.50 for every $</w:t>
            </w:r>
            <w:r w:rsidR="006C47F0" w:rsidRPr="00B55B6A">
              <w:rPr>
                <w:rFonts w:ascii="Times New Roman" w:hAnsi="Times New Roman" w:cs="Times New Roman"/>
                <w:sz w:val="20"/>
                <w:szCs w:val="20"/>
              </w:rPr>
              <w:t>100, and for any fractional part of $100, of the part of the total amount or value of any consideration (not being rent) giv</w:t>
            </w:r>
            <w:bookmarkStart w:id="0" w:name="_GoBack"/>
            <w:bookmarkEnd w:id="0"/>
            <w:r w:rsidR="006C47F0" w:rsidRPr="00B55B6A">
              <w:rPr>
                <w:rFonts w:ascii="Times New Roman" w:hAnsi="Times New Roman" w:cs="Times New Roman"/>
                <w:sz w:val="20"/>
                <w:szCs w:val="20"/>
              </w:rPr>
              <w:t>en or agreed to be given in respect of the lease that exceeds $14,000 but does not exceed $30,000;</w:t>
            </w:r>
          </w:p>
        </w:tc>
      </w:tr>
      <w:tr w:rsidR="00D7046B" w:rsidRPr="00B55B6A" w14:paraId="7D608BBF" w14:textId="77777777" w:rsidTr="00B55B6A">
        <w:trPr>
          <w:trHeight w:val="20"/>
        </w:trPr>
        <w:tc>
          <w:tcPr>
            <w:tcW w:w="1705" w:type="pct"/>
          </w:tcPr>
          <w:p w14:paraId="690C09B5" w14:textId="77777777" w:rsidR="00D7046B" w:rsidRPr="00B55B6A" w:rsidRDefault="00D7046B" w:rsidP="00C01C54">
            <w:pPr>
              <w:spacing w:after="0" w:line="240" w:lineRule="auto"/>
              <w:jc w:val="both"/>
              <w:rPr>
                <w:rFonts w:ascii="Times New Roman" w:hAnsi="Times New Roman" w:cs="Times New Roman"/>
                <w:sz w:val="20"/>
                <w:szCs w:val="20"/>
              </w:rPr>
            </w:pPr>
          </w:p>
        </w:tc>
        <w:tc>
          <w:tcPr>
            <w:tcW w:w="3295" w:type="pct"/>
          </w:tcPr>
          <w:p w14:paraId="0DDD49B0" w14:textId="77777777" w:rsidR="00D7046B" w:rsidRPr="00B55B6A" w:rsidRDefault="006C47F0" w:rsidP="00BD5D46">
            <w:pPr>
              <w:widowControl w:val="0"/>
              <w:spacing w:after="0" w:line="240" w:lineRule="auto"/>
              <w:ind w:left="864" w:hanging="432"/>
              <w:jc w:val="both"/>
              <w:rPr>
                <w:rFonts w:ascii="Times New Roman" w:hAnsi="Times New Roman" w:cs="Times New Roman"/>
                <w:sz w:val="20"/>
                <w:szCs w:val="20"/>
              </w:rPr>
            </w:pPr>
            <w:r w:rsidRPr="00B55B6A">
              <w:rPr>
                <w:rFonts w:ascii="Times New Roman" w:hAnsi="Times New Roman" w:cs="Times New Roman"/>
                <w:sz w:val="20"/>
                <w:szCs w:val="20"/>
              </w:rPr>
              <w:t>(c) $1.75 for every $100, and for any fractional part of $100, of the part of the total amount or value of any consideration (not being rent) given or agreed to be given in respect of the lease that exceeds $30,000 but does not exceed $50,000;</w:t>
            </w:r>
          </w:p>
        </w:tc>
      </w:tr>
      <w:tr w:rsidR="00D7046B" w:rsidRPr="00B55B6A" w14:paraId="2A22F35A" w14:textId="77777777" w:rsidTr="00B55B6A">
        <w:trPr>
          <w:trHeight w:val="20"/>
        </w:trPr>
        <w:tc>
          <w:tcPr>
            <w:tcW w:w="1705" w:type="pct"/>
          </w:tcPr>
          <w:p w14:paraId="7BDE2208" w14:textId="77777777" w:rsidR="00D7046B" w:rsidRPr="00B55B6A" w:rsidRDefault="00D7046B" w:rsidP="00C01C54">
            <w:pPr>
              <w:spacing w:after="0" w:line="240" w:lineRule="auto"/>
              <w:jc w:val="both"/>
              <w:rPr>
                <w:rFonts w:ascii="Times New Roman" w:hAnsi="Times New Roman" w:cs="Times New Roman"/>
                <w:sz w:val="20"/>
                <w:szCs w:val="20"/>
              </w:rPr>
            </w:pPr>
          </w:p>
        </w:tc>
        <w:tc>
          <w:tcPr>
            <w:tcW w:w="3295" w:type="pct"/>
          </w:tcPr>
          <w:p w14:paraId="13CC92A8" w14:textId="77777777" w:rsidR="00D7046B" w:rsidRPr="00B55B6A" w:rsidRDefault="006C47F0" w:rsidP="00BD5D46">
            <w:pPr>
              <w:widowControl w:val="0"/>
              <w:spacing w:after="0" w:line="240" w:lineRule="auto"/>
              <w:ind w:left="864" w:hanging="432"/>
              <w:jc w:val="both"/>
              <w:rPr>
                <w:rFonts w:ascii="Times New Roman" w:hAnsi="Times New Roman" w:cs="Times New Roman"/>
                <w:sz w:val="20"/>
                <w:szCs w:val="20"/>
              </w:rPr>
            </w:pPr>
            <w:r w:rsidRPr="00B55B6A">
              <w:rPr>
                <w:rFonts w:ascii="Times New Roman" w:hAnsi="Times New Roman" w:cs="Times New Roman"/>
                <w:sz w:val="20"/>
                <w:szCs w:val="20"/>
              </w:rPr>
              <w:t>(d) $2.00 for every $ 100, and for any fractional part of $100, of the part of the total amount or value of any consideration (not being rent) given or agreed to be given in respect of the lease that exceeds $50,000 but does not exceed $100,000;</w:t>
            </w:r>
          </w:p>
        </w:tc>
      </w:tr>
      <w:tr w:rsidR="00D7046B" w:rsidRPr="00B55B6A" w14:paraId="56645811" w14:textId="77777777" w:rsidTr="00B55B6A">
        <w:trPr>
          <w:trHeight w:val="20"/>
        </w:trPr>
        <w:tc>
          <w:tcPr>
            <w:tcW w:w="1705" w:type="pct"/>
          </w:tcPr>
          <w:p w14:paraId="19DE7FA4" w14:textId="77777777" w:rsidR="00D7046B" w:rsidRPr="00B55B6A" w:rsidRDefault="00D7046B" w:rsidP="00C01C54">
            <w:pPr>
              <w:spacing w:after="0" w:line="240" w:lineRule="auto"/>
              <w:jc w:val="both"/>
              <w:rPr>
                <w:rFonts w:ascii="Times New Roman" w:hAnsi="Times New Roman" w:cs="Times New Roman"/>
                <w:sz w:val="20"/>
                <w:szCs w:val="20"/>
              </w:rPr>
            </w:pPr>
          </w:p>
        </w:tc>
        <w:tc>
          <w:tcPr>
            <w:tcW w:w="3295" w:type="pct"/>
          </w:tcPr>
          <w:p w14:paraId="07D3760C" w14:textId="77777777" w:rsidR="00D7046B" w:rsidRPr="00B55B6A" w:rsidRDefault="006C47F0" w:rsidP="00BD5D46">
            <w:pPr>
              <w:widowControl w:val="0"/>
              <w:spacing w:after="0" w:line="240" w:lineRule="auto"/>
              <w:ind w:left="864" w:hanging="432"/>
              <w:jc w:val="both"/>
              <w:rPr>
                <w:rFonts w:ascii="Times New Roman" w:hAnsi="Times New Roman" w:cs="Times New Roman"/>
                <w:sz w:val="20"/>
                <w:szCs w:val="20"/>
              </w:rPr>
            </w:pPr>
            <w:r w:rsidRPr="00B55B6A">
              <w:rPr>
                <w:rFonts w:ascii="Times New Roman" w:hAnsi="Times New Roman" w:cs="Times New Roman"/>
                <w:sz w:val="20"/>
                <w:szCs w:val="20"/>
              </w:rPr>
              <w:t>(e) $2.25 for every $100, and for any fractional part of $100, of the part of the total amount or value of any consideration (not being rent) given or agreed to be given in respect of the lease that exceeds $100,000 but does not exceed $250,000; and</w:t>
            </w:r>
          </w:p>
        </w:tc>
      </w:tr>
      <w:tr w:rsidR="00D7046B" w:rsidRPr="00B55B6A" w14:paraId="50E0212B" w14:textId="77777777" w:rsidTr="00B55B6A">
        <w:trPr>
          <w:trHeight w:val="20"/>
        </w:trPr>
        <w:tc>
          <w:tcPr>
            <w:tcW w:w="1705" w:type="pct"/>
          </w:tcPr>
          <w:p w14:paraId="6293565F" w14:textId="77777777" w:rsidR="00D7046B" w:rsidRPr="00B55B6A" w:rsidRDefault="00D7046B" w:rsidP="00C01C54">
            <w:pPr>
              <w:spacing w:after="0" w:line="240" w:lineRule="auto"/>
              <w:jc w:val="both"/>
              <w:rPr>
                <w:rFonts w:ascii="Times New Roman" w:hAnsi="Times New Roman" w:cs="Times New Roman"/>
                <w:sz w:val="20"/>
                <w:szCs w:val="20"/>
              </w:rPr>
            </w:pPr>
          </w:p>
        </w:tc>
        <w:tc>
          <w:tcPr>
            <w:tcW w:w="3295" w:type="pct"/>
          </w:tcPr>
          <w:p w14:paraId="49655E51" w14:textId="77777777" w:rsidR="00D7046B" w:rsidRPr="00B55B6A" w:rsidRDefault="006C47F0" w:rsidP="00BD5D46">
            <w:pPr>
              <w:widowControl w:val="0"/>
              <w:spacing w:after="0" w:line="240" w:lineRule="auto"/>
              <w:ind w:left="864" w:hanging="432"/>
              <w:jc w:val="both"/>
              <w:rPr>
                <w:rFonts w:ascii="Times New Roman" w:hAnsi="Times New Roman" w:cs="Times New Roman"/>
                <w:sz w:val="20"/>
                <w:szCs w:val="20"/>
              </w:rPr>
            </w:pPr>
            <w:r w:rsidRPr="00B55B6A">
              <w:rPr>
                <w:rFonts w:ascii="Times New Roman" w:hAnsi="Times New Roman" w:cs="Times New Roman"/>
                <w:sz w:val="20"/>
                <w:szCs w:val="20"/>
              </w:rPr>
              <w:t>(f) $2.50 for every $100, and for any fractional part of $100, of the part of the total amount or value of any consideration (not being rent) given or agreed to be given in respect of the lease that exceeds $250,000</w:t>
            </w:r>
          </w:p>
        </w:tc>
      </w:tr>
      <w:tr w:rsidR="00D7046B" w:rsidRPr="00B55B6A" w14:paraId="6ACE4640" w14:textId="77777777" w:rsidTr="00B55B6A">
        <w:trPr>
          <w:trHeight w:val="20"/>
        </w:trPr>
        <w:tc>
          <w:tcPr>
            <w:tcW w:w="1705" w:type="pct"/>
          </w:tcPr>
          <w:p w14:paraId="41653CFF" w14:textId="77777777" w:rsidR="00D7046B" w:rsidRPr="00B55B6A" w:rsidRDefault="006C47F0" w:rsidP="00B55B6A">
            <w:pPr>
              <w:widowControl w:val="0"/>
              <w:spacing w:after="0" w:line="240" w:lineRule="auto"/>
              <w:ind w:left="864" w:hanging="432"/>
              <w:rPr>
                <w:rFonts w:ascii="Times New Roman" w:hAnsi="Times New Roman" w:cs="Times New Roman"/>
                <w:sz w:val="20"/>
                <w:szCs w:val="20"/>
              </w:rPr>
            </w:pPr>
            <w:r w:rsidRPr="00B55B6A">
              <w:rPr>
                <w:rFonts w:ascii="Times New Roman" w:hAnsi="Times New Roman" w:cs="Times New Roman"/>
                <w:sz w:val="20"/>
                <w:szCs w:val="20"/>
              </w:rPr>
              <w:t>7 Transfer or assignment, or an agreement for a transfer or assignment, of a lease, other than a Crown lease for a term exceeding 5 years, of land situated in the Territory</w:t>
            </w:r>
          </w:p>
        </w:tc>
        <w:tc>
          <w:tcPr>
            <w:tcW w:w="3295" w:type="pct"/>
          </w:tcPr>
          <w:p w14:paraId="63E1DC53" w14:textId="77777777" w:rsidR="00D7046B" w:rsidRPr="00B55B6A" w:rsidRDefault="006C47F0" w:rsidP="00BD5D46">
            <w:pPr>
              <w:widowControl w:val="0"/>
              <w:spacing w:after="0" w:line="240" w:lineRule="auto"/>
              <w:ind w:left="864" w:hanging="432"/>
              <w:jc w:val="both"/>
              <w:rPr>
                <w:rFonts w:ascii="Times New Roman" w:hAnsi="Times New Roman" w:cs="Times New Roman"/>
                <w:sz w:val="20"/>
                <w:szCs w:val="20"/>
              </w:rPr>
            </w:pPr>
            <w:r w:rsidRPr="00B55B6A">
              <w:rPr>
                <w:rFonts w:ascii="Times New Roman" w:hAnsi="Times New Roman" w:cs="Times New Roman"/>
                <w:sz w:val="20"/>
                <w:szCs w:val="20"/>
              </w:rPr>
              <w:t>(a) $1.25 for every $100, and for any fractional part of $100, of the part of the total amount or value of any consideration given or agreed to be given in respect of the transfer or assignment that does not exceed $14,000:</w:t>
            </w:r>
          </w:p>
        </w:tc>
      </w:tr>
      <w:tr w:rsidR="00D7046B" w:rsidRPr="00B55B6A" w14:paraId="3A6F956F" w14:textId="77777777" w:rsidTr="00B55B6A">
        <w:trPr>
          <w:trHeight w:val="20"/>
        </w:trPr>
        <w:tc>
          <w:tcPr>
            <w:tcW w:w="1705" w:type="pct"/>
          </w:tcPr>
          <w:p w14:paraId="0669E6E3" w14:textId="77777777" w:rsidR="00D7046B" w:rsidRPr="00B55B6A" w:rsidRDefault="00D7046B" w:rsidP="00C01C54">
            <w:pPr>
              <w:spacing w:after="0" w:line="240" w:lineRule="auto"/>
              <w:jc w:val="both"/>
              <w:rPr>
                <w:rFonts w:ascii="Times New Roman" w:hAnsi="Times New Roman" w:cs="Times New Roman"/>
                <w:sz w:val="20"/>
                <w:szCs w:val="20"/>
              </w:rPr>
            </w:pPr>
          </w:p>
        </w:tc>
        <w:tc>
          <w:tcPr>
            <w:tcW w:w="3295" w:type="pct"/>
          </w:tcPr>
          <w:p w14:paraId="27CB39A7" w14:textId="77777777" w:rsidR="00D7046B" w:rsidRPr="00B55B6A" w:rsidRDefault="006C47F0" w:rsidP="00BD5D46">
            <w:pPr>
              <w:widowControl w:val="0"/>
              <w:spacing w:after="0" w:line="240" w:lineRule="auto"/>
              <w:ind w:left="864" w:hanging="432"/>
              <w:jc w:val="both"/>
              <w:rPr>
                <w:rFonts w:ascii="Times New Roman" w:hAnsi="Times New Roman" w:cs="Times New Roman"/>
                <w:sz w:val="20"/>
                <w:szCs w:val="20"/>
              </w:rPr>
            </w:pPr>
            <w:r w:rsidRPr="00B55B6A">
              <w:rPr>
                <w:rFonts w:ascii="Times New Roman" w:hAnsi="Times New Roman" w:cs="Times New Roman"/>
                <w:sz w:val="20"/>
                <w:szCs w:val="20"/>
              </w:rPr>
              <w:t>(b) $1.50 for every $100, and for any fractional part of $ 100, of the part of the total amount or value of any consideration given or agreed to</w:t>
            </w:r>
          </w:p>
        </w:tc>
      </w:tr>
    </w:tbl>
    <w:p w14:paraId="65C48E07" w14:textId="77777777" w:rsidR="00F71B6D" w:rsidRDefault="00F71B6D">
      <w:pPr>
        <w:rPr>
          <w:rFonts w:ascii="Times New Roman" w:hAnsi="Times New Roman" w:cs="Times New Roman"/>
        </w:rPr>
      </w:pPr>
      <w:r>
        <w:rPr>
          <w:rFonts w:ascii="Times New Roman" w:hAnsi="Times New Roman" w:cs="Times New Roman"/>
        </w:rPr>
        <w:br w:type="page"/>
      </w:r>
    </w:p>
    <w:p w14:paraId="4089800E" w14:textId="77777777" w:rsidR="00F71B6D" w:rsidRDefault="00F71B6D" w:rsidP="00C01C54">
      <w:pPr>
        <w:spacing w:after="0" w:line="240" w:lineRule="auto"/>
        <w:jc w:val="both"/>
        <w:rPr>
          <w:rFonts w:ascii="Times New Roman" w:hAnsi="Times New Roman" w:cs="Times New Roman"/>
        </w:rPr>
      </w:pPr>
    </w:p>
    <w:tbl>
      <w:tblPr>
        <w:tblW w:w="5000" w:type="pct"/>
        <w:tblCellMar>
          <w:left w:w="40" w:type="dxa"/>
          <w:right w:w="40" w:type="dxa"/>
        </w:tblCellMar>
        <w:tblLook w:val="04A0" w:firstRow="1" w:lastRow="0" w:firstColumn="1" w:lastColumn="0" w:noHBand="0" w:noVBand="1"/>
      </w:tblPr>
      <w:tblGrid>
        <w:gridCol w:w="2875"/>
        <w:gridCol w:w="5557"/>
      </w:tblGrid>
      <w:tr w:rsidR="00F71B6D" w:rsidRPr="000A6C61" w14:paraId="406A939A" w14:textId="77777777" w:rsidTr="00B55B6A">
        <w:trPr>
          <w:trHeight w:val="20"/>
        </w:trPr>
        <w:tc>
          <w:tcPr>
            <w:tcW w:w="1705" w:type="pct"/>
          </w:tcPr>
          <w:p w14:paraId="760266EF" w14:textId="77777777" w:rsidR="00F71B6D" w:rsidRPr="000A6C61" w:rsidRDefault="00F71B6D" w:rsidP="002218B6">
            <w:pPr>
              <w:spacing w:after="0" w:line="240" w:lineRule="auto"/>
              <w:jc w:val="both"/>
              <w:rPr>
                <w:rFonts w:ascii="Times New Roman" w:hAnsi="Times New Roman" w:cs="Times New Roman"/>
                <w:sz w:val="20"/>
                <w:szCs w:val="20"/>
              </w:rPr>
            </w:pPr>
          </w:p>
        </w:tc>
        <w:tc>
          <w:tcPr>
            <w:tcW w:w="3295" w:type="pct"/>
          </w:tcPr>
          <w:p w14:paraId="5533D476" w14:textId="77777777" w:rsidR="00F71B6D" w:rsidRPr="000A6C61" w:rsidRDefault="00F71B6D" w:rsidP="00F71B6D">
            <w:pPr>
              <w:spacing w:after="0" w:line="240" w:lineRule="auto"/>
              <w:ind w:left="807"/>
              <w:jc w:val="both"/>
              <w:rPr>
                <w:rFonts w:ascii="Times New Roman" w:hAnsi="Times New Roman" w:cs="Times New Roman"/>
                <w:sz w:val="20"/>
                <w:szCs w:val="20"/>
              </w:rPr>
            </w:pPr>
            <w:r w:rsidRPr="000A6C61">
              <w:rPr>
                <w:rFonts w:ascii="Times New Roman" w:hAnsi="Times New Roman" w:cs="Times New Roman"/>
                <w:sz w:val="20"/>
                <w:szCs w:val="20"/>
              </w:rPr>
              <w:t>be given in respect of the transfer or assignment that exceeds $14,000 but does not exceed $30,000;</w:t>
            </w:r>
          </w:p>
        </w:tc>
      </w:tr>
      <w:tr w:rsidR="00F71B6D" w:rsidRPr="000A6C61" w14:paraId="7ACB35C9" w14:textId="77777777" w:rsidTr="00B55B6A">
        <w:trPr>
          <w:trHeight w:val="20"/>
        </w:trPr>
        <w:tc>
          <w:tcPr>
            <w:tcW w:w="1705" w:type="pct"/>
          </w:tcPr>
          <w:p w14:paraId="53AD4187" w14:textId="77777777" w:rsidR="00F71B6D" w:rsidRPr="000A6C61" w:rsidRDefault="00F71B6D" w:rsidP="002218B6">
            <w:pPr>
              <w:spacing w:after="0" w:line="240" w:lineRule="auto"/>
              <w:jc w:val="both"/>
              <w:rPr>
                <w:rFonts w:ascii="Times New Roman" w:hAnsi="Times New Roman" w:cs="Times New Roman"/>
                <w:sz w:val="20"/>
                <w:szCs w:val="20"/>
              </w:rPr>
            </w:pPr>
          </w:p>
        </w:tc>
        <w:tc>
          <w:tcPr>
            <w:tcW w:w="3295" w:type="pct"/>
          </w:tcPr>
          <w:p w14:paraId="38B7B5EE" w14:textId="77777777" w:rsidR="00F71B6D" w:rsidRPr="000A6C61" w:rsidRDefault="00F71B6D" w:rsidP="00F71B6D">
            <w:pPr>
              <w:widowControl w:val="0"/>
              <w:spacing w:after="0" w:line="240" w:lineRule="auto"/>
              <w:ind w:left="864" w:hanging="432"/>
              <w:jc w:val="both"/>
              <w:rPr>
                <w:rFonts w:ascii="Times New Roman" w:hAnsi="Times New Roman" w:cs="Times New Roman"/>
                <w:sz w:val="20"/>
                <w:szCs w:val="20"/>
              </w:rPr>
            </w:pPr>
            <w:r w:rsidRPr="000A6C61">
              <w:rPr>
                <w:rFonts w:ascii="Times New Roman" w:hAnsi="Times New Roman" w:cs="Times New Roman"/>
                <w:sz w:val="20"/>
                <w:szCs w:val="20"/>
              </w:rPr>
              <w:t>(c) $1.75 for every $100, and for any fractional part of $100, of the part of the total amount or value of any consideration given or agreed to be given in respect of the transfer or assignment that exceeds $30,000 but does not exceed $50,000;</w:t>
            </w:r>
          </w:p>
        </w:tc>
      </w:tr>
      <w:tr w:rsidR="00F71B6D" w:rsidRPr="000A6C61" w14:paraId="1A0EC401" w14:textId="77777777" w:rsidTr="00B55B6A">
        <w:trPr>
          <w:trHeight w:val="20"/>
        </w:trPr>
        <w:tc>
          <w:tcPr>
            <w:tcW w:w="1705" w:type="pct"/>
          </w:tcPr>
          <w:p w14:paraId="60DB676A" w14:textId="77777777" w:rsidR="00F71B6D" w:rsidRPr="000A6C61" w:rsidRDefault="00F71B6D" w:rsidP="002218B6">
            <w:pPr>
              <w:spacing w:after="0" w:line="240" w:lineRule="auto"/>
              <w:jc w:val="both"/>
              <w:rPr>
                <w:rFonts w:ascii="Times New Roman" w:hAnsi="Times New Roman" w:cs="Times New Roman"/>
                <w:sz w:val="20"/>
                <w:szCs w:val="20"/>
              </w:rPr>
            </w:pPr>
          </w:p>
        </w:tc>
        <w:tc>
          <w:tcPr>
            <w:tcW w:w="3295" w:type="pct"/>
          </w:tcPr>
          <w:p w14:paraId="5C1B300A" w14:textId="77777777" w:rsidR="00F71B6D" w:rsidRPr="000A6C61" w:rsidRDefault="00F71B6D" w:rsidP="00F71B6D">
            <w:pPr>
              <w:widowControl w:val="0"/>
              <w:spacing w:after="0" w:line="240" w:lineRule="auto"/>
              <w:ind w:left="864" w:hanging="432"/>
              <w:jc w:val="both"/>
              <w:rPr>
                <w:rFonts w:ascii="Times New Roman" w:hAnsi="Times New Roman" w:cs="Times New Roman"/>
                <w:sz w:val="20"/>
                <w:szCs w:val="20"/>
              </w:rPr>
            </w:pPr>
            <w:r w:rsidRPr="000A6C61">
              <w:rPr>
                <w:rFonts w:ascii="Times New Roman" w:hAnsi="Times New Roman" w:cs="Times New Roman"/>
                <w:sz w:val="20"/>
                <w:szCs w:val="20"/>
              </w:rPr>
              <w:t>(d) $2.00 for every $100, and for any fractional part of $100, of the part of the total amount or value of any consideration given or agreed to be given in respect of the transfer or assignment that exceeds $50,000 but does not exceed $100,000;</w:t>
            </w:r>
          </w:p>
        </w:tc>
      </w:tr>
      <w:tr w:rsidR="00F71B6D" w:rsidRPr="000A6C61" w14:paraId="2FD5D42A" w14:textId="77777777" w:rsidTr="00B55B6A">
        <w:trPr>
          <w:trHeight w:val="20"/>
        </w:trPr>
        <w:tc>
          <w:tcPr>
            <w:tcW w:w="1705" w:type="pct"/>
          </w:tcPr>
          <w:p w14:paraId="43822212" w14:textId="77777777" w:rsidR="00F71B6D" w:rsidRPr="000A6C61" w:rsidRDefault="00F71B6D" w:rsidP="002218B6">
            <w:pPr>
              <w:spacing w:after="0" w:line="240" w:lineRule="auto"/>
              <w:jc w:val="both"/>
              <w:rPr>
                <w:rFonts w:ascii="Times New Roman" w:hAnsi="Times New Roman" w:cs="Times New Roman"/>
                <w:sz w:val="20"/>
                <w:szCs w:val="20"/>
              </w:rPr>
            </w:pPr>
          </w:p>
        </w:tc>
        <w:tc>
          <w:tcPr>
            <w:tcW w:w="3295" w:type="pct"/>
          </w:tcPr>
          <w:p w14:paraId="7261DFDB" w14:textId="77777777" w:rsidR="00F71B6D" w:rsidRPr="000A6C61" w:rsidRDefault="00F71B6D" w:rsidP="00F71B6D">
            <w:pPr>
              <w:widowControl w:val="0"/>
              <w:spacing w:after="0" w:line="240" w:lineRule="auto"/>
              <w:ind w:left="864" w:hanging="432"/>
              <w:jc w:val="both"/>
              <w:rPr>
                <w:rFonts w:ascii="Times New Roman" w:hAnsi="Times New Roman" w:cs="Times New Roman"/>
                <w:sz w:val="20"/>
                <w:szCs w:val="20"/>
              </w:rPr>
            </w:pPr>
            <w:r w:rsidRPr="000A6C61">
              <w:rPr>
                <w:rFonts w:ascii="Times New Roman" w:hAnsi="Times New Roman" w:cs="Times New Roman"/>
                <w:sz w:val="20"/>
                <w:szCs w:val="20"/>
              </w:rPr>
              <w:t>(e) $2.25 for every $100, and for any fractional part of $100, of the part of the total amount or value of any consideration given or agreed to be given in respect of the transfer or assignment that exceeds $100,000 but does not exceed $250,000; and</w:t>
            </w:r>
          </w:p>
        </w:tc>
      </w:tr>
      <w:tr w:rsidR="00F71B6D" w:rsidRPr="000A6C61" w14:paraId="282FA3AE" w14:textId="77777777" w:rsidTr="00B55B6A">
        <w:trPr>
          <w:trHeight w:val="20"/>
        </w:trPr>
        <w:tc>
          <w:tcPr>
            <w:tcW w:w="1705" w:type="pct"/>
          </w:tcPr>
          <w:p w14:paraId="39390F9F" w14:textId="77777777" w:rsidR="00F71B6D" w:rsidRPr="000A6C61" w:rsidRDefault="00F71B6D" w:rsidP="002218B6">
            <w:pPr>
              <w:spacing w:after="0" w:line="240" w:lineRule="auto"/>
              <w:jc w:val="both"/>
              <w:rPr>
                <w:rFonts w:ascii="Times New Roman" w:hAnsi="Times New Roman" w:cs="Times New Roman"/>
                <w:sz w:val="20"/>
                <w:szCs w:val="20"/>
              </w:rPr>
            </w:pPr>
          </w:p>
        </w:tc>
        <w:tc>
          <w:tcPr>
            <w:tcW w:w="3295" w:type="pct"/>
          </w:tcPr>
          <w:p w14:paraId="5D1921B9" w14:textId="77777777" w:rsidR="00F71B6D" w:rsidRPr="000A6C61" w:rsidRDefault="00F71B6D" w:rsidP="00F71B6D">
            <w:pPr>
              <w:widowControl w:val="0"/>
              <w:spacing w:after="0" w:line="240" w:lineRule="auto"/>
              <w:ind w:left="864" w:hanging="432"/>
              <w:jc w:val="both"/>
              <w:rPr>
                <w:rFonts w:ascii="Times New Roman" w:hAnsi="Times New Roman" w:cs="Times New Roman"/>
                <w:sz w:val="20"/>
                <w:szCs w:val="20"/>
              </w:rPr>
            </w:pPr>
            <w:r w:rsidRPr="000A6C61">
              <w:rPr>
                <w:rFonts w:ascii="Times New Roman" w:hAnsi="Times New Roman" w:cs="Times New Roman"/>
                <w:sz w:val="20"/>
                <w:szCs w:val="20"/>
              </w:rPr>
              <w:t>(f) $2.50 for every $100, and for any fractional part of $ 100, of the part of the total amount or value of any consideration given or agreed to be given in respect of the transfer or assignment that exceeds $250,000”.</w:t>
            </w:r>
          </w:p>
        </w:tc>
      </w:tr>
    </w:tbl>
    <w:p w14:paraId="46A70C26" w14:textId="77777777" w:rsidR="00F71B6D" w:rsidRPr="00F71B6D" w:rsidRDefault="00F71B6D" w:rsidP="00F71B6D">
      <w:pPr>
        <w:widowControl w:val="0"/>
        <w:spacing w:before="120" w:after="60" w:line="240" w:lineRule="auto"/>
        <w:jc w:val="both"/>
        <w:rPr>
          <w:rFonts w:ascii="Times New Roman" w:hAnsi="Times New Roman" w:cs="Times New Roman"/>
          <w:b/>
          <w:sz w:val="20"/>
        </w:rPr>
      </w:pPr>
      <w:r w:rsidRPr="00F71B6D">
        <w:rPr>
          <w:rFonts w:ascii="Times New Roman" w:hAnsi="Times New Roman" w:cs="Times New Roman"/>
          <w:b/>
          <w:sz w:val="20"/>
        </w:rPr>
        <w:t>Application of amendments</w:t>
      </w:r>
    </w:p>
    <w:p w14:paraId="1189E1A7" w14:textId="77777777" w:rsidR="00F71B6D" w:rsidRPr="00F71B6D" w:rsidRDefault="00F71B6D" w:rsidP="00F71B6D">
      <w:pPr>
        <w:widowControl w:val="0"/>
        <w:spacing w:after="0" w:line="240" w:lineRule="auto"/>
        <w:ind w:firstLine="432"/>
        <w:jc w:val="both"/>
        <w:rPr>
          <w:rFonts w:ascii="Times New Roman" w:hAnsi="Times New Roman" w:cs="Times New Roman"/>
        </w:rPr>
      </w:pPr>
      <w:r w:rsidRPr="00F71B6D">
        <w:rPr>
          <w:rFonts w:ascii="Times New Roman" w:hAnsi="Times New Roman" w:cs="Times New Roman"/>
          <w:b/>
        </w:rPr>
        <w:t>5. (1)</w:t>
      </w:r>
      <w:r w:rsidRPr="00F71B6D">
        <w:rPr>
          <w:rFonts w:ascii="Times New Roman" w:hAnsi="Times New Roman" w:cs="Times New Roman"/>
        </w:rPr>
        <w:t xml:space="preserve"> The amendments made by sections 3 and 4 have effect in relation to—</w:t>
      </w:r>
    </w:p>
    <w:p w14:paraId="71A280F5" w14:textId="77777777" w:rsidR="00F71B6D" w:rsidRPr="00F71B6D" w:rsidRDefault="00F71B6D" w:rsidP="00F71B6D">
      <w:pPr>
        <w:widowControl w:val="0"/>
        <w:spacing w:after="0" w:line="240" w:lineRule="auto"/>
        <w:ind w:left="864" w:hanging="432"/>
        <w:jc w:val="both"/>
        <w:rPr>
          <w:rFonts w:ascii="Times New Roman" w:hAnsi="Times New Roman" w:cs="Times New Roman"/>
        </w:rPr>
      </w:pPr>
      <w:r w:rsidRPr="00F71B6D">
        <w:rPr>
          <w:rFonts w:ascii="Times New Roman" w:hAnsi="Times New Roman" w:cs="Times New Roman"/>
        </w:rPr>
        <w:t>(a) a cheque drawn or made on or after the day on which this Act comes into operation;</w:t>
      </w:r>
    </w:p>
    <w:p w14:paraId="023A272D" w14:textId="77777777" w:rsidR="00F71B6D" w:rsidRPr="00F71B6D" w:rsidRDefault="00F71B6D" w:rsidP="00F71B6D">
      <w:pPr>
        <w:widowControl w:val="0"/>
        <w:spacing w:after="0" w:line="240" w:lineRule="auto"/>
        <w:ind w:left="864" w:hanging="432"/>
        <w:jc w:val="both"/>
        <w:rPr>
          <w:rFonts w:ascii="Times New Roman" w:hAnsi="Times New Roman" w:cs="Times New Roman"/>
        </w:rPr>
      </w:pPr>
      <w:r w:rsidRPr="00F71B6D">
        <w:rPr>
          <w:rFonts w:ascii="Times New Roman" w:hAnsi="Times New Roman" w:cs="Times New Roman"/>
        </w:rPr>
        <w:t>(b) a bill of exchange or promissory note (not being a cheque), other than a bill of exchange or promissory note that, before the day on which this Act comes into operation, has been duly stamped by reason of its drawing, making, presentment for payment or negotiation; and</w:t>
      </w:r>
    </w:p>
    <w:p w14:paraId="0BFD99AE" w14:textId="77777777" w:rsidR="00F71B6D" w:rsidRPr="00F71B6D" w:rsidRDefault="00F71B6D" w:rsidP="00F71B6D">
      <w:pPr>
        <w:widowControl w:val="0"/>
        <w:spacing w:after="0" w:line="240" w:lineRule="auto"/>
        <w:ind w:left="864" w:hanging="432"/>
        <w:jc w:val="both"/>
        <w:rPr>
          <w:rFonts w:ascii="Times New Roman" w:hAnsi="Times New Roman" w:cs="Times New Roman"/>
        </w:rPr>
      </w:pPr>
      <w:r w:rsidRPr="00F71B6D">
        <w:rPr>
          <w:rFonts w:ascii="Times New Roman" w:hAnsi="Times New Roman" w:cs="Times New Roman"/>
        </w:rPr>
        <w:t>(c) an instrument (not being a bill of exchange or promissory note) executed on or after the day on which this Act comes into operation.</w:t>
      </w:r>
    </w:p>
    <w:p w14:paraId="1AFD61C3" w14:textId="77777777" w:rsidR="00F71B6D" w:rsidRPr="00F71B6D" w:rsidRDefault="00F71B6D" w:rsidP="00F71B6D">
      <w:pPr>
        <w:widowControl w:val="0"/>
        <w:spacing w:after="0" w:line="240" w:lineRule="auto"/>
        <w:ind w:firstLine="432"/>
        <w:jc w:val="both"/>
        <w:rPr>
          <w:rFonts w:ascii="Times New Roman" w:hAnsi="Times New Roman" w:cs="Times New Roman"/>
        </w:rPr>
      </w:pPr>
      <w:r w:rsidRPr="00F71B6D">
        <w:rPr>
          <w:rFonts w:ascii="Times New Roman" w:hAnsi="Times New Roman" w:cs="Times New Roman"/>
          <w:b/>
        </w:rPr>
        <w:t>(2)</w:t>
      </w:r>
      <w:r w:rsidRPr="00F71B6D">
        <w:rPr>
          <w:rFonts w:ascii="Times New Roman" w:hAnsi="Times New Roman" w:cs="Times New Roman"/>
        </w:rPr>
        <w:t xml:space="preserve"> For the purposes of sub-section (1)—</w:t>
      </w:r>
    </w:p>
    <w:p w14:paraId="059C2D22" w14:textId="77777777" w:rsidR="00F71B6D" w:rsidRPr="00F71B6D" w:rsidRDefault="00F71B6D" w:rsidP="00F71B6D">
      <w:pPr>
        <w:widowControl w:val="0"/>
        <w:spacing w:after="0" w:line="240" w:lineRule="auto"/>
        <w:ind w:left="864" w:hanging="432"/>
        <w:jc w:val="both"/>
        <w:rPr>
          <w:rFonts w:ascii="Times New Roman" w:hAnsi="Times New Roman" w:cs="Times New Roman"/>
        </w:rPr>
      </w:pPr>
      <w:r w:rsidRPr="00F71B6D">
        <w:rPr>
          <w:rFonts w:ascii="Times New Roman" w:hAnsi="Times New Roman" w:cs="Times New Roman"/>
        </w:rPr>
        <w:t>(a) where a cheque is dated, the cheque shall, unless the contrary is shown, be deemed to have been drawn or made on that date; and</w:t>
      </w:r>
    </w:p>
    <w:p w14:paraId="537C1787" w14:textId="77777777" w:rsidR="00F71B6D" w:rsidRPr="00F71B6D" w:rsidRDefault="00F71B6D" w:rsidP="00F71B6D">
      <w:pPr>
        <w:widowControl w:val="0"/>
        <w:spacing w:after="0" w:line="240" w:lineRule="auto"/>
        <w:ind w:left="864" w:hanging="432"/>
        <w:jc w:val="both"/>
        <w:rPr>
          <w:rFonts w:ascii="Times New Roman" w:hAnsi="Times New Roman" w:cs="Times New Roman"/>
        </w:rPr>
      </w:pPr>
      <w:r w:rsidRPr="00F71B6D">
        <w:rPr>
          <w:rFonts w:ascii="Times New Roman" w:hAnsi="Times New Roman" w:cs="Times New Roman"/>
        </w:rPr>
        <w:t>(b) an instrument (not being a bill of exchange or promissory note) shall be deemed to have been executed on the date on which the last party to the instrument appears to have executed it.</w:t>
      </w:r>
    </w:p>
    <w:p w14:paraId="5A9F71A4" w14:textId="77777777" w:rsidR="00F71B6D" w:rsidRPr="00F71B6D" w:rsidRDefault="00F71B6D" w:rsidP="00F71B6D">
      <w:pPr>
        <w:widowControl w:val="0"/>
        <w:spacing w:before="120" w:after="60" w:line="240" w:lineRule="auto"/>
        <w:jc w:val="both"/>
        <w:rPr>
          <w:rFonts w:ascii="Times New Roman" w:hAnsi="Times New Roman" w:cs="Times New Roman"/>
          <w:b/>
          <w:sz w:val="20"/>
        </w:rPr>
      </w:pPr>
      <w:r w:rsidRPr="00F71B6D">
        <w:rPr>
          <w:rFonts w:ascii="Times New Roman" w:hAnsi="Times New Roman" w:cs="Times New Roman"/>
          <w:b/>
          <w:sz w:val="20"/>
        </w:rPr>
        <w:t>Formal amendments</w:t>
      </w:r>
    </w:p>
    <w:p w14:paraId="31D78FC6" w14:textId="77777777" w:rsidR="00F71B6D" w:rsidRPr="00F71B6D" w:rsidRDefault="00F71B6D" w:rsidP="006555CE">
      <w:pPr>
        <w:widowControl w:val="0"/>
        <w:spacing w:after="0" w:line="240" w:lineRule="auto"/>
        <w:ind w:firstLine="432"/>
        <w:jc w:val="both"/>
        <w:rPr>
          <w:rFonts w:ascii="Times New Roman" w:hAnsi="Times New Roman" w:cs="Times New Roman"/>
        </w:rPr>
      </w:pPr>
      <w:r w:rsidRPr="00F71B6D">
        <w:rPr>
          <w:rFonts w:ascii="Times New Roman" w:hAnsi="Times New Roman" w:cs="Times New Roman"/>
          <w:b/>
        </w:rPr>
        <w:t>6.</w:t>
      </w:r>
      <w:r w:rsidRPr="00F71B6D">
        <w:rPr>
          <w:rFonts w:ascii="Times New Roman" w:hAnsi="Times New Roman" w:cs="Times New Roman"/>
        </w:rPr>
        <w:t xml:space="preserve"> The Principal Act is amended as set out in the Schedule to this Act.</w:t>
      </w:r>
    </w:p>
    <w:p w14:paraId="35B367B0" w14:textId="77777777" w:rsidR="00A15619" w:rsidRDefault="00A15619" w:rsidP="00A15619">
      <w:pPr>
        <w:spacing w:before="120" w:line="240" w:lineRule="auto"/>
        <w:jc w:val="center"/>
        <w:rPr>
          <w:rFonts w:ascii="Times New Roman" w:hAnsi="Times New Roman" w:cs="Times New Roman"/>
        </w:rPr>
      </w:pPr>
      <w:r>
        <w:rPr>
          <w:rFonts w:ascii="Times New Roman" w:hAnsi="Times New Roman" w:cs="Times New Roman"/>
        </w:rPr>
        <w:t>—————</w:t>
      </w:r>
    </w:p>
    <w:p w14:paraId="3E9D8CBA" w14:textId="77777777" w:rsidR="00F71B6D" w:rsidRDefault="00F71B6D">
      <w:pPr>
        <w:rPr>
          <w:rFonts w:ascii="Times New Roman" w:hAnsi="Times New Roman" w:cs="Times New Roman"/>
        </w:rPr>
      </w:pPr>
      <w:r>
        <w:rPr>
          <w:rFonts w:ascii="Times New Roman" w:hAnsi="Times New Roman" w:cs="Times New Roman"/>
        </w:rPr>
        <w:br w:type="page"/>
      </w:r>
    </w:p>
    <w:p w14:paraId="3D2C817B" w14:textId="77777777" w:rsidR="00A15619" w:rsidRPr="00A15619" w:rsidRDefault="00A15619" w:rsidP="00C6412D">
      <w:pPr>
        <w:tabs>
          <w:tab w:val="left" w:pos="7470"/>
        </w:tabs>
        <w:spacing w:after="0" w:line="240" w:lineRule="auto"/>
        <w:ind w:left="4590" w:hanging="990"/>
        <w:rPr>
          <w:rFonts w:ascii="Times New Roman" w:hAnsi="Times New Roman" w:cs="Times New Roman"/>
        </w:rPr>
      </w:pPr>
      <w:r w:rsidRPr="00A15619">
        <w:rPr>
          <w:rFonts w:ascii="Times New Roman" w:hAnsi="Times New Roman" w:cs="Times New Roman"/>
          <w:b/>
        </w:rPr>
        <w:lastRenderedPageBreak/>
        <w:t>SCHEDULE</w:t>
      </w:r>
      <w:r w:rsidR="00C6412D">
        <w:rPr>
          <w:rFonts w:ascii="Times New Roman" w:hAnsi="Times New Roman" w:cs="Times New Roman"/>
          <w:b/>
        </w:rPr>
        <w:tab/>
      </w:r>
      <w:r w:rsidRPr="00A15619">
        <w:rPr>
          <w:rFonts w:ascii="Times New Roman" w:hAnsi="Times New Roman" w:cs="Times New Roman"/>
        </w:rPr>
        <w:t>Section 6</w:t>
      </w:r>
    </w:p>
    <w:p w14:paraId="6F701137" w14:textId="77777777" w:rsidR="00A15619" w:rsidRPr="00A15619" w:rsidRDefault="00A15619" w:rsidP="00A15619">
      <w:pPr>
        <w:spacing w:after="0" w:line="240" w:lineRule="auto"/>
        <w:jc w:val="center"/>
        <w:rPr>
          <w:rFonts w:ascii="Times New Roman" w:hAnsi="Times New Roman" w:cs="Times New Roman"/>
        </w:rPr>
      </w:pPr>
      <w:r w:rsidRPr="00A15619">
        <w:rPr>
          <w:rFonts w:ascii="Times New Roman" w:hAnsi="Times New Roman" w:cs="Times New Roman"/>
        </w:rPr>
        <w:t>FORMAL AMENDMENTS</w:t>
      </w:r>
    </w:p>
    <w:tbl>
      <w:tblPr>
        <w:tblW w:w="5000" w:type="pct"/>
        <w:tblCellMar>
          <w:left w:w="40" w:type="dxa"/>
          <w:right w:w="40" w:type="dxa"/>
        </w:tblCellMar>
        <w:tblLook w:val="04A0" w:firstRow="1" w:lastRow="0" w:firstColumn="1" w:lastColumn="0" w:noHBand="0" w:noVBand="1"/>
      </w:tblPr>
      <w:tblGrid>
        <w:gridCol w:w="2992"/>
        <w:gridCol w:w="2661"/>
        <w:gridCol w:w="2779"/>
      </w:tblGrid>
      <w:tr w:rsidR="00F71B6D" w:rsidRPr="00A15619" w14:paraId="27BE47FE" w14:textId="77777777" w:rsidTr="00CE3DF5">
        <w:trPr>
          <w:trHeight w:val="20"/>
        </w:trPr>
        <w:tc>
          <w:tcPr>
            <w:tcW w:w="1774" w:type="pct"/>
            <w:tcBorders>
              <w:top w:val="single" w:sz="6" w:space="0" w:color="auto"/>
              <w:bottom w:val="single" w:sz="6" w:space="0" w:color="auto"/>
            </w:tcBorders>
          </w:tcPr>
          <w:p w14:paraId="39515A66" w14:textId="77F09787" w:rsidR="00F71B6D" w:rsidRPr="00B55B6A" w:rsidRDefault="00F71B6D" w:rsidP="00315B76">
            <w:pPr>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Provision Amended</w:t>
            </w:r>
          </w:p>
        </w:tc>
        <w:tc>
          <w:tcPr>
            <w:tcW w:w="1578" w:type="pct"/>
            <w:tcBorders>
              <w:top w:val="single" w:sz="6" w:space="0" w:color="auto"/>
              <w:bottom w:val="single" w:sz="6" w:space="0" w:color="auto"/>
            </w:tcBorders>
          </w:tcPr>
          <w:p w14:paraId="0105D8CB" w14:textId="77777777" w:rsidR="00F71B6D" w:rsidRPr="00B55B6A" w:rsidRDefault="00F71B6D" w:rsidP="002218B6">
            <w:pPr>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Omit</w:t>
            </w:r>
          </w:p>
        </w:tc>
        <w:tc>
          <w:tcPr>
            <w:tcW w:w="1648" w:type="pct"/>
            <w:tcBorders>
              <w:top w:val="single" w:sz="6" w:space="0" w:color="auto"/>
              <w:bottom w:val="single" w:sz="6" w:space="0" w:color="auto"/>
            </w:tcBorders>
          </w:tcPr>
          <w:p w14:paraId="585AA023" w14:textId="77777777" w:rsidR="00F71B6D" w:rsidRPr="00B55B6A" w:rsidRDefault="00F71B6D" w:rsidP="002218B6">
            <w:pPr>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Substitute</w:t>
            </w:r>
          </w:p>
        </w:tc>
      </w:tr>
      <w:tr w:rsidR="00F71B6D" w:rsidRPr="00A15619" w14:paraId="122AD9AB" w14:textId="77777777" w:rsidTr="00CE3DF5">
        <w:trPr>
          <w:trHeight w:val="20"/>
        </w:trPr>
        <w:tc>
          <w:tcPr>
            <w:tcW w:w="1774" w:type="pct"/>
            <w:tcBorders>
              <w:top w:val="single" w:sz="6" w:space="0" w:color="auto"/>
            </w:tcBorders>
          </w:tcPr>
          <w:p w14:paraId="49DCA215" w14:textId="77777777" w:rsidR="00F71B6D" w:rsidRPr="00B55B6A" w:rsidRDefault="00A15619" w:rsidP="0011707D">
            <w:pPr>
              <w:tabs>
                <w:tab w:val="left" w:leader="dot" w:pos="3420"/>
              </w:tabs>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Section 4</w:t>
            </w:r>
            <w:r w:rsidR="0011707D" w:rsidRPr="00B55B6A">
              <w:rPr>
                <w:rFonts w:ascii="Times New Roman" w:hAnsi="Times New Roman" w:cs="Times New Roman"/>
                <w:sz w:val="20"/>
                <w:szCs w:val="20"/>
              </w:rPr>
              <w:tab/>
            </w:r>
          </w:p>
        </w:tc>
        <w:tc>
          <w:tcPr>
            <w:tcW w:w="1578" w:type="pct"/>
            <w:tcBorders>
              <w:top w:val="single" w:sz="6" w:space="0" w:color="auto"/>
            </w:tcBorders>
          </w:tcPr>
          <w:p w14:paraId="3042CC0F" w14:textId="77777777" w:rsidR="00F71B6D" w:rsidRPr="00B55B6A" w:rsidRDefault="00F71B6D" w:rsidP="00A15619">
            <w:pPr>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“the First Schedule to this Act”</w:t>
            </w:r>
          </w:p>
        </w:tc>
        <w:tc>
          <w:tcPr>
            <w:tcW w:w="1648" w:type="pct"/>
            <w:tcBorders>
              <w:top w:val="single" w:sz="6" w:space="0" w:color="auto"/>
            </w:tcBorders>
          </w:tcPr>
          <w:p w14:paraId="0D9B196B" w14:textId="77777777" w:rsidR="00F71B6D" w:rsidRPr="00B55B6A" w:rsidRDefault="00F71B6D" w:rsidP="00A15619">
            <w:pPr>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“Schedule 1”</w:t>
            </w:r>
          </w:p>
        </w:tc>
      </w:tr>
      <w:tr w:rsidR="00A15619" w:rsidRPr="00A15619" w14:paraId="3EE16964" w14:textId="77777777" w:rsidTr="00CE3DF5">
        <w:trPr>
          <w:trHeight w:val="20"/>
        </w:trPr>
        <w:tc>
          <w:tcPr>
            <w:tcW w:w="1774" w:type="pct"/>
          </w:tcPr>
          <w:p w14:paraId="10ED26A7" w14:textId="77777777" w:rsidR="00A15619" w:rsidRPr="00B55B6A" w:rsidRDefault="00A15619" w:rsidP="0011707D">
            <w:pPr>
              <w:tabs>
                <w:tab w:val="left" w:leader="dot" w:pos="3420"/>
              </w:tabs>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Section 6</w:t>
            </w:r>
            <w:r w:rsidR="0011707D" w:rsidRPr="00B55B6A">
              <w:rPr>
                <w:rFonts w:ascii="Times New Roman" w:hAnsi="Times New Roman" w:cs="Times New Roman"/>
                <w:sz w:val="20"/>
                <w:szCs w:val="20"/>
              </w:rPr>
              <w:tab/>
            </w:r>
          </w:p>
        </w:tc>
        <w:tc>
          <w:tcPr>
            <w:tcW w:w="1578" w:type="pct"/>
          </w:tcPr>
          <w:p w14:paraId="74F08A9D" w14:textId="77777777" w:rsidR="00A15619" w:rsidRPr="00B55B6A" w:rsidRDefault="00A15619" w:rsidP="002218B6">
            <w:pPr>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“the Second Schedule to this Act”</w:t>
            </w:r>
          </w:p>
        </w:tc>
        <w:tc>
          <w:tcPr>
            <w:tcW w:w="1648" w:type="pct"/>
          </w:tcPr>
          <w:p w14:paraId="4B02A0D8" w14:textId="77777777" w:rsidR="00A15619" w:rsidRPr="00B55B6A" w:rsidRDefault="00A15619" w:rsidP="002218B6">
            <w:pPr>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“Schedule 2”</w:t>
            </w:r>
          </w:p>
        </w:tc>
      </w:tr>
      <w:tr w:rsidR="00F71B6D" w:rsidRPr="00A15619" w14:paraId="21750054" w14:textId="77777777" w:rsidTr="00CE3DF5">
        <w:trPr>
          <w:trHeight w:val="20"/>
        </w:trPr>
        <w:tc>
          <w:tcPr>
            <w:tcW w:w="1774" w:type="pct"/>
          </w:tcPr>
          <w:p w14:paraId="689502E2" w14:textId="77777777" w:rsidR="00F71B6D" w:rsidRPr="00B55B6A" w:rsidRDefault="00F71B6D" w:rsidP="0011707D">
            <w:pPr>
              <w:tabs>
                <w:tab w:val="left" w:leader="dot" w:pos="3420"/>
              </w:tabs>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Section 7</w:t>
            </w:r>
            <w:r w:rsidR="0011707D" w:rsidRPr="00B55B6A">
              <w:rPr>
                <w:rFonts w:ascii="Times New Roman" w:hAnsi="Times New Roman" w:cs="Times New Roman"/>
                <w:sz w:val="20"/>
                <w:szCs w:val="20"/>
              </w:rPr>
              <w:tab/>
            </w:r>
          </w:p>
        </w:tc>
        <w:tc>
          <w:tcPr>
            <w:tcW w:w="1578" w:type="pct"/>
          </w:tcPr>
          <w:p w14:paraId="379C84F9" w14:textId="77777777" w:rsidR="00F71B6D" w:rsidRPr="00B55B6A" w:rsidRDefault="00F71B6D" w:rsidP="002218B6">
            <w:pPr>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“Five cents” (wherever occurring)</w:t>
            </w:r>
          </w:p>
        </w:tc>
        <w:tc>
          <w:tcPr>
            <w:tcW w:w="1648" w:type="pct"/>
          </w:tcPr>
          <w:p w14:paraId="0AA61B61" w14:textId="77777777" w:rsidR="00F71B6D" w:rsidRPr="00B55B6A" w:rsidRDefault="00F71B6D" w:rsidP="002218B6">
            <w:pPr>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“5 cents”</w:t>
            </w:r>
          </w:p>
        </w:tc>
      </w:tr>
      <w:tr w:rsidR="00F71B6D" w:rsidRPr="00A15619" w14:paraId="1379A004" w14:textId="77777777" w:rsidTr="00CE3DF5">
        <w:trPr>
          <w:trHeight w:val="20"/>
        </w:trPr>
        <w:tc>
          <w:tcPr>
            <w:tcW w:w="1774" w:type="pct"/>
          </w:tcPr>
          <w:p w14:paraId="209A50D0" w14:textId="77777777" w:rsidR="00F71B6D" w:rsidRPr="00B55B6A" w:rsidRDefault="00F71B6D" w:rsidP="002218B6">
            <w:pPr>
              <w:spacing w:after="0" w:line="240" w:lineRule="auto"/>
              <w:jc w:val="both"/>
              <w:rPr>
                <w:rFonts w:ascii="Times New Roman" w:hAnsi="Times New Roman" w:cs="Times New Roman"/>
                <w:sz w:val="20"/>
                <w:szCs w:val="20"/>
              </w:rPr>
            </w:pPr>
          </w:p>
        </w:tc>
        <w:tc>
          <w:tcPr>
            <w:tcW w:w="1578" w:type="pct"/>
          </w:tcPr>
          <w:p w14:paraId="5B1AFB2D" w14:textId="77777777" w:rsidR="00F71B6D" w:rsidRPr="00B55B6A" w:rsidRDefault="00A15619" w:rsidP="0011707D">
            <w:pPr>
              <w:tabs>
                <w:tab w:val="left" w:leader="dot" w:pos="3019"/>
              </w:tabs>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“two”</w:t>
            </w:r>
            <w:r w:rsidR="0011707D" w:rsidRPr="00B55B6A">
              <w:rPr>
                <w:rFonts w:ascii="Times New Roman" w:hAnsi="Times New Roman" w:cs="Times New Roman"/>
                <w:sz w:val="20"/>
                <w:szCs w:val="20"/>
              </w:rPr>
              <w:tab/>
            </w:r>
          </w:p>
        </w:tc>
        <w:tc>
          <w:tcPr>
            <w:tcW w:w="1648" w:type="pct"/>
          </w:tcPr>
          <w:p w14:paraId="3522CF5B" w14:textId="77777777" w:rsidR="00F71B6D" w:rsidRPr="00B55B6A" w:rsidRDefault="00F71B6D" w:rsidP="002218B6">
            <w:pPr>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“2”</w:t>
            </w:r>
          </w:p>
        </w:tc>
      </w:tr>
      <w:tr w:rsidR="00F71B6D" w:rsidRPr="00A15619" w14:paraId="7F00193E" w14:textId="77777777" w:rsidTr="00CE3DF5">
        <w:trPr>
          <w:trHeight w:val="20"/>
        </w:trPr>
        <w:tc>
          <w:tcPr>
            <w:tcW w:w="1774" w:type="pct"/>
          </w:tcPr>
          <w:p w14:paraId="3BFC77A5" w14:textId="77777777" w:rsidR="00F71B6D" w:rsidRPr="00B55B6A" w:rsidRDefault="00F71B6D" w:rsidP="0011707D">
            <w:pPr>
              <w:tabs>
                <w:tab w:val="left" w:leader="dot" w:pos="3420"/>
              </w:tabs>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First Schedule</w:t>
            </w:r>
            <w:r w:rsidR="0011707D" w:rsidRPr="00B55B6A">
              <w:rPr>
                <w:rFonts w:ascii="Times New Roman" w:hAnsi="Times New Roman" w:cs="Times New Roman"/>
                <w:sz w:val="20"/>
                <w:szCs w:val="20"/>
              </w:rPr>
              <w:tab/>
            </w:r>
          </w:p>
        </w:tc>
        <w:tc>
          <w:tcPr>
            <w:tcW w:w="1578" w:type="pct"/>
          </w:tcPr>
          <w:p w14:paraId="5F86C5A3" w14:textId="77777777" w:rsidR="00F71B6D" w:rsidRPr="00B55B6A" w:rsidRDefault="00F71B6D" w:rsidP="0011707D">
            <w:pPr>
              <w:tabs>
                <w:tab w:val="left" w:leader="dot" w:pos="3019"/>
              </w:tabs>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“FIRST SCHEDULE”</w:t>
            </w:r>
            <w:r w:rsidR="0011707D" w:rsidRPr="00B55B6A">
              <w:rPr>
                <w:rFonts w:ascii="Times New Roman" w:hAnsi="Times New Roman" w:cs="Times New Roman"/>
                <w:sz w:val="20"/>
                <w:szCs w:val="20"/>
              </w:rPr>
              <w:tab/>
            </w:r>
          </w:p>
        </w:tc>
        <w:tc>
          <w:tcPr>
            <w:tcW w:w="1648" w:type="pct"/>
          </w:tcPr>
          <w:p w14:paraId="5058F01B" w14:textId="77777777" w:rsidR="00F71B6D" w:rsidRPr="00B55B6A" w:rsidRDefault="00F71B6D" w:rsidP="002218B6">
            <w:pPr>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“SCHEDULE 1”</w:t>
            </w:r>
          </w:p>
        </w:tc>
      </w:tr>
      <w:tr w:rsidR="00F71B6D" w:rsidRPr="00A15619" w14:paraId="0A90FAB8" w14:textId="77777777" w:rsidTr="00A15619">
        <w:trPr>
          <w:trHeight w:val="20"/>
        </w:trPr>
        <w:tc>
          <w:tcPr>
            <w:tcW w:w="1774" w:type="pct"/>
          </w:tcPr>
          <w:p w14:paraId="41D54CC5" w14:textId="77777777" w:rsidR="00F71B6D" w:rsidRPr="00B55B6A" w:rsidRDefault="00F71B6D" w:rsidP="002218B6">
            <w:pPr>
              <w:spacing w:after="0" w:line="240" w:lineRule="auto"/>
              <w:jc w:val="both"/>
              <w:rPr>
                <w:rFonts w:ascii="Times New Roman" w:hAnsi="Times New Roman" w:cs="Times New Roman"/>
                <w:sz w:val="20"/>
                <w:szCs w:val="20"/>
              </w:rPr>
            </w:pPr>
          </w:p>
        </w:tc>
        <w:tc>
          <w:tcPr>
            <w:tcW w:w="1578" w:type="pct"/>
          </w:tcPr>
          <w:p w14:paraId="2EEEF51D" w14:textId="77777777" w:rsidR="00F71B6D" w:rsidRPr="00B55B6A" w:rsidRDefault="00F71B6D" w:rsidP="0011707D">
            <w:pPr>
              <w:tabs>
                <w:tab w:val="left" w:leader="dot" w:pos="3019"/>
              </w:tabs>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“RATES OF STAMP DUTY”</w:t>
            </w:r>
            <w:r w:rsidR="0011707D" w:rsidRPr="00B55B6A">
              <w:rPr>
                <w:rFonts w:ascii="Times New Roman" w:hAnsi="Times New Roman" w:cs="Times New Roman"/>
                <w:sz w:val="20"/>
                <w:szCs w:val="20"/>
              </w:rPr>
              <w:tab/>
            </w:r>
          </w:p>
        </w:tc>
        <w:tc>
          <w:tcPr>
            <w:tcW w:w="1648" w:type="pct"/>
          </w:tcPr>
          <w:p w14:paraId="203E2152" w14:textId="77777777" w:rsidR="00F71B6D" w:rsidRPr="00B55B6A" w:rsidRDefault="00F71B6D" w:rsidP="002218B6">
            <w:pPr>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“AMOUNT OF STAMP DUTY”</w:t>
            </w:r>
          </w:p>
        </w:tc>
      </w:tr>
      <w:tr w:rsidR="00F71B6D" w:rsidRPr="00A15619" w14:paraId="07A9E84D" w14:textId="77777777" w:rsidTr="00CE3DF5">
        <w:trPr>
          <w:trHeight w:val="20"/>
        </w:trPr>
        <w:tc>
          <w:tcPr>
            <w:tcW w:w="1774" w:type="pct"/>
          </w:tcPr>
          <w:p w14:paraId="76EF1399" w14:textId="77777777" w:rsidR="00F71B6D" w:rsidRPr="00B55B6A" w:rsidRDefault="00F71B6D" w:rsidP="002218B6">
            <w:pPr>
              <w:spacing w:after="0" w:line="240" w:lineRule="auto"/>
              <w:jc w:val="both"/>
              <w:rPr>
                <w:rFonts w:ascii="Times New Roman" w:hAnsi="Times New Roman" w:cs="Times New Roman"/>
                <w:sz w:val="20"/>
                <w:szCs w:val="20"/>
              </w:rPr>
            </w:pPr>
          </w:p>
        </w:tc>
        <w:tc>
          <w:tcPr>
            <w:tcW w:w="1578" w:type="pct"/>
          </w:tcPr>
          <w:p w14:paraId="4CCFBB9C" w14:textId="77777777" w:rsidR="00F71B6D" w:rsidRPr="00B55B6A" w:rsidRDefault="00F71B6D" w:rsidP="0011707D">
            <w:pPr>
              <w:tabs>
                <w:tab w:val="left" w:leader="dot" w:pos="3019"/>
              </w:tabs>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“First Column”</w:t>
            </w:r>
            <w:r w:rsidR="0011707D" w:rsidRPr="00B55B6A">
              <w:rPr>
                <w:rFonts w:ascii="Times New Roman" w:hAnsi="Times New Roman" w:cs="Times New Roman"/>
                <w:sz w:val="20"/>
                <w:szCs w:val="20"/>
              </w:rPr>
              <w:tab/>
            </w:r>
          </w:p>
        </w:tc>
        <w:tc>
          <w:tcPr>
            <w:tcW w:w="1648" w:type="pct"/>
          </w:tcPr>
          <w:p w14:paraId="585D2038" w14:textId="77777777" w:rsidR="00F71B6D" w:rsidRPr="00B55B6A" w:rsidRDefault="00F71B6D" w:rsidP="002218B6">
            <w:pPr>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“Column 1”</w:t>
            </w:r>
          </w:p>
        </w:tc>
      </w:tr>
      <w:tr w:rsidR="00F71B6D" w:rsidRPr="00A15619" w14:paraId="7E992EE1" w14:textId="77777777" w:rsidTr="00CE3DF5">
        <w:trPr>
          <w:trHeight w:val="20"/>
        </w:trPr>
        <w:tc>
          <w:tcPr>
            <w:tcW w:w="1774" w:type="pct"/>
          </w:tcPr>
          <w:p w14:paraId="1C41914A" w14:textId="77777777" w:rsidR="00F71B6D" w:rsidRPr="00B55B6A" w:rsidRDefault="00F71B6D" w:rsidP="002218B6">
            <w:pPr>
              <w:spacing w:after="0" w:line="240" w:lineRule="auto"/>
              <w:jc w:val="both"/>
              <w:rPr>
                <w:rFonts w:ascii="Times New Roman" w:hAnsi="Times New Roman" w:cs="Times New Roman"/>
                <w:sz w:val="20"/>
                <w:szCs w:val="20"/>
              </w:rPr>
            </w:pPr>
          </w:p>
        </w:tc>
        <w:tc>
          <w:tcPr>
            <w:tcW w:w="1578" w:type="pct"/>
          </w:tcPr>
          <w:p w14:paraId="1A6F8A05" w14:textId="77777777" w:rsidR="00F71B6D" w:rsidRPr="00B55B6A" w:rsidRDefault="0011707D" w:rsidP="0011707D">
            <w:pPr>
              <w:tabs>
                <w:tab w:val="left" w:leader="dot" w:pos="3019"/>
              </w:tabs>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“Second Column”</w:t>
            </w:r>
            <w:r w:rsidRPr="00B55B6A">
              <w:rPr>
                <w:rFonts w:ascii="Times New Roman" w:hAnsi="Times New Roman" w:cs="Times New Roman"/>
                <w:sz w:val="20"/>
                <w:szCs w:val="20"/>
              </w:rPr>
              <w:tab/>
            </w:r>
          </w:p>
        </w:tc>
        <w:tc>
          <w:tcPr>
            <w:tcW w:w="1648" w:type="pct"/>
          </w:tcPr>
          <w:p w14:paraId="440E95E4" w14:textId="77777777" w:rsidR="00F71B6D" w:rsidRPr="00B55B6A" w:rsidRDefault="00F71B6D" w:rsidP="002218B6">
            <w:pPr>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“Column 2”</w:t>
            </w:r>
          </w:p>
        </w:tc>
      </w:tr>
      <w:tr w:rsidR="00F71B6D" w:rsidRPr="00A15619" w14:paraId="49F1C095" w14:textId="77777777" w:rsidTr="00CE3DF5">
        <w:trPr>
          <w:trHeight w:val="20"/>
        </w:trPr>
        <w:tc>
          <w:tcPr>
            <w:tcW w:w="1774" w:type="pct"/>
          </w:tcPr>
          <w:p w14:paraId="55A872E3" w14:textId="77777777" w:rsidR="00F71B6D" w:rsidRPr="00B55B6A" w:rsidRDefault="00F71B6D" w:rsidP="002218B6">
            <w:pPr>
              <w:spacing w:after="0" w:line="240" w:lineRule="auto"/>
              <w:jc w:val="both"/>
              <w:rPr>
                <w:rFonts w:ascii="Times New Roman" w:hAnsi="Times New Roman" w:cs="Times New Roman"/>
                <w:sz w:val="20"/>
                <w:szCs w:val="20"/>
              </w:rPr>
            </w:pPr>
          </w:p>
        </w:tc>
        <w:tc>
          <w:tcPr>
            <w:tcW w:w="1578" w:type="pct"/>
          </w:tcPr>
          <w:p w14:paraId="3A4C3FC3" w14:textId="77777777" w:rsidR="00F71B6D" w:rsidRPr="00B55B6A" w:rsidRDefault="00F71B6D" w:rsidP="0011707D">
            <w:pPr>
              <w:tabs>
                <w:tab w:val="left" w:leader="dot" w:pos="3019"/>
              </w:tabs>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“Third Column”</w:t>
            </w:r>
            <w:r w:rsidR="0011707D" w:rsidRPr="00B55B6A">
              <w:rPr>
                <w:rFonts w:ascii="Times New Roman" w:hAnsi="Times New Roman" w:cs="Times New Roman"/>
                <w:sz w:val="20"/>
                <w:szCs w:val="20"/>
              </w:rPr>
              <w:tab/>
            </w:r>
          </w:p>
        </w:tc>
        <w:tc>
          <w:tcPr>
            <w:tcW w:w="1648" w:type="pct"/>
          </w:tcPr>
          <w:p w14:paraId="1A36F8C1" w14:textId="77777777" w:rsidR="00F71B6D" w:rsidRPr="00B55B6A" w:rsidRDefault="00F71B6D" w:rsidP="002218B6">
            <w:pPr>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“Column 3”</w:t>
            </w:r>
          </w:p>
        </w:tc>
      </w:tr>
      <w:tr w:rsidR="00F71B6D" w:rsidRPr="00A15619" w14:paraId="414DE641" w14:textId="77777777" w:rsidTr="00CE3DF5">
        <w:trPr>
          <w:trHeight w:val="20"/>
        </w:trPr>
        <w:tc>
          <w:tcPr>
            <w:tcW w:w="1774" w:type="pct"/>
          </w:tcPr>
          <w:p w14:paraId="5A75DE02" w14:textId="77777777" w:rsidR="00F71B6D" w:rsidRPr="00B55B6A" w:rsidRDefault="00F71B6D" w:rsidP="002218B6">
            <w:pPr>
              <w:spacing w:after="0" w:line="240" w:lineRule="auto"/>
              <w:jc w:val="both"/>
              <w:rPr>
                <w:rFonts w:ascii="Times New Roman" w:hAnsi="Times New Roman" w:cs="Times New Roman"/>
                <w:sz w:val="20"/>
                <w:szCs w:val="20"/>
              </w:rPr>
            </w:pPr>
          </w:p>
        </w:tc>
        <w:tc>
          <w:tcPr>
            <w:tcW w:w="1578" w:type="pct"/>
          </w:tcPr>
          <w:p w14:paraId="76D2D04F" w14:textId="77777777" w:rsidR="00F71B6D" w:rsidRPr="00B55B6A" w:rsidRDefault="00F71B6D" w:rsidP="0011707D">
            <w:pPr>
              <w:tabs>
                <w:tab w:val="left" w:leader="dot" w:pos="3019"/>
              </w:tabs>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“Rate of Stamp Duty”</w:t>
            </w:r>
            <w:r w:rsidR="0011707D" w:rsidRPr="00B55B6A">
              <w:rPr>
                <w:rFonts w:ascii="Times New Roman" w:hAnsi="Times New Roman" w:cs="Times New Roman"/>
                <w:sz w:val="20"/>
                <w:szCs w:val="20"/>
              </w:rPr>
              <w:tab/>
            </w:r>
          </w:p>
        </w:tc>
        <w:tc>
          <w:tcPr>
            <w:tcW w:w="1648" w:type="pct"/>
          </w:tcPr>
          <w:p w14:paraId="108E61E2" w14:textId="77777777" w:rsidR="00F71B6D" w:rsidRPr="00B55B6A" w:rsidRDefault="00F71B6D" w:rsidP="002218B6">
            <w:pPr>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“Amount of Stamp Duty”</w:t>
            </w:r>
          </w:p>
        </w:tc>
      </w:tr>
      <w:tr w:rsidR="00F71B6D" w:rsidRPr="00A15619" w14:paraId="6A015A20" w14:textId="77777777" w:rsidTr="00CE3DF5">
        <w:trPr>
          <w:trHeight w:val="20"/>
        </w:trPr>
        <w:tc>
          <w:tcPr>
            <w:tcW w:w="1774" w:type="pct"/>
          </w:tcPr>
          <w:p w14:paraId="64872C92" w14:textId="77777777" w:rsidR="00F71B6D" w:rsidRPr="00B55B6A" w:rsidRDefault="00F71B6D" w:rsidP="002218B6">
            <w:pPr>
              <w:spacing w:after="0" w:line="240" w:lineRule="auto"/>
              <w:jc w:val="both"/>
              <w:rPr>
                <w:rFonts w:ascii="Times New Roman" w:hAnsi="Times New Roman" w:cs="Times New Roman"/>
                <w:sz w:val="20"/>
                <w:szCs w:val="20"/>
              </w:rPr>
            </w:pPr>
          </w:p>
        </w:tc>
        <w:tc>
          <w:tcPr>
            <w:tcW w:w="1578" w:type="pct"/>
          </w:tcPr>
          <w:p w14:paraId="30C5B887" w14:textId="77777777" w:rsidR="00F71B6D" w:rsidRPr="00B55B6A" w:rsidRDefault="00F71B6D" w:rsidP="0011707D">
            <w:pPr>
              <w:tabs>
                <w:tab w:val="left" w:leader="dot" w:pos="3019"/>
              </w:tabs>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“1</w:t>
            </w:r>
            <w:r w:rsidR="0011707D" w:rsidRPr="00B55B6A">
              <w:rPr>
                <w:rFonts w:ascii="Times New Roman" w:hAnsi="Times New Roman" w:cs="Times New Roman"/>
                <w:sz w:val="20"/>
                <w:szCs w:val="20"/>
              </w:rPr>
              <w:t>¼</w:t>
            </w:r>
            <w:r w:rsidRPr="00B55B6A">
              <w:rPr>
                <w:rFonts w:ascii="Times New Roman" w:hAnsi="Times New Roman" w:cs="Times New Roman"/>
                <w:sz w:val="20"/>
                <w:szCs w:val="20"/>
              </w:rPr>
              <w:t xml:space="preserve"> per centum”</w:t>
            </w:r>
            <w:r w:rsidR="0011707D" w:rsidRPr="00B55B6A">
              <w:rPr>
                <w:rFonts w:ascii="Times New Roman" w:hAnsi="Times New Roman" w:cs="Times New Roman"/>
                <w:sz w:val="20"/>
                <w:szCs w:val="20"/>
              </w:rPr>
              <w:tab/>
            </w:r>
          </w:p>
        </w:tc>
        <w:tc>
          <w:tcPr>
            <w:tcW w:w="1648" w:type="pct"/>
          </w:tcPr>
          <w:p w14:paraId="2C44E491" w14:textId="77777777" w:rsidR="00F71B6D" w:rsidRPr="00B55B6A" w:rsidRDefault="00F71B6D" w:rsidP="0011707D">
            <w:pPr>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“1</w:t>
            </w:r>
            <w:r w:rsidR="0011707D" w:rsidRPr="00B55B6A">
              <w:rPr>
                <w:rFonts w:ascii="Times New Roman" w:hAnsi="Times New Roman" w:cs="Times New Roman"/>
                <w:sz w:val="20"/>
                <w:szCs w:val="20"/>
              </w:rPr>
              <w:t>¼</w:t>
            </w:r>
            <w:r w:rsidRPr="00B55B6A">
              <w:rPr>
                <w:rFonts w:ascii="Times New Roman" w:hAnsi="Times New Roman" w:cs="Times New Roman"/>
                <w:sz w:val="20"/>
                <w:szCs w:val="20"/>
              </w:rPr>
              <w:t>%”</w:t>
            </w:r>
          </w:p>
        </w:tc>
      </w:tr>
      <w:tr w:rsidR="00F71B6D" w:rsidRPr="00A15619" w14:paraId="7666379D" w14:textId="77777777" w:rsidTr="00CE3DF5">
        <w:trPr>
          <w:trHeight w:val="20"/>
        </w:trPr>
        <w:tc>
          <w:tcPr>
            <w:tcW w:w="1774" w:type="pct"/>
            <w:tcBorders>
              <w:bottom w:val="single" w:sz="6" w:space="0" w:color="auto"/>
            </w:tcBorders>
          </w:tcPr>
          <w:p w14:paraId="50EB7A74" w14:textId="77777777" w:rsidR="00F71B6D" w:rsidRPr="00B55B6A" w:rsidRDefault="00F71B6D" w:rsidP="0011707D">
            <w:pPr>
              <w:tabs>
                <w:tab w:val="left" w:leader="dot" w:pos="3420"/>
              </w:tabs>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Second Schedule</w:t>
            </w:r>
            <w:r w:rsidR="0011707D" w:rsidRPr="00B55B6A">
              <w:rPr>
                <w:rFonts w:ascii="Times New Roman" w:hAnsi="Times New Roman" w:cs="Times New Roman"/>
                <w:sz w:val="20"/>
                <w:szCs w:val="20"/>
              </w:rPr>
              <w:tab/>
            </w:r>
          </w:p>
        </w:tc>
        <w:tc>
          <w:tcPr>
            <w:tcW w:w="1578" w:type="pct"/>
            <w:tcBorders>
              <w:bottom w:val="single" w:sz="6" w:space="0" w:color="auto"/>
            </w:tcBorders>
          </w:tcPr>
          <w:p w14:paraId="74C5A581" w14:textId="77777777" w:rsidR="00F71B6D" w:rsidRPr="00B55B6A" w:rsidRDefault="00F71B6D" w:rsidP="0011707D">
            <w:pPr>
              <w:tabs>
                <w:tab w:val="left" w:leader="dot" w:pos="3019"/>
              </w:tabs>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“SECOND SCHEDULE”</w:t>
            </w:r>
            <w:r w:rsidR="0011707D" w:rsidRPr="00B55B6A">
              <w:rPr>
                <w:rFonts w:ascii="Times New Roman" w:hAnsi="Times New Roman" w:cs="Times New Roman"/>
                <w:sz w:val="20"/>
                <w:szCs w:val="20"/>
              </w:rPr>
              <w:tab/>
            </w:r>
          </w:p>
        </w:tc>
        <w:tc>
          <w:tcPr>
            <w:tcW w:w="1648" w:type="pct"/>
            <w:tcBorders>
              <w:bottom w:val="single" w:sz="6" w:space="0" w:color="auto"/>
            </w:tcBorders>
          </w:tcPr>
          <w:p w14:paraId="5D6B3F3F" w14:textId="77777777" w:rsidR="00F71B6D" w:rsidRPr="00B55B6A" w:rsidRDefault="00F71B6D" w:rsidP="002218B6">
            <w:pPr>
              <w:spacing w:after="0" w:line="240" w:lineRule="auto"/>
              <w:jc w:val="both"/>
              <w:rPr>
                <w:rFonts w:ascii="Times New Roman" w:hAnsi="Times New Roman" w:cs="Times New Roman"/>
                <w:sz w:val="20"/>
                <w:szCs w:val="20"/>
              </w:rPr>
            </w:pPr>
            <w:r w:rsidRPr="00B55B6A">
              <w:rPr>
                <w:rFonts w:ascii="Times New Roman" w:hAnsi="Times New Roman" w:cs="Times New Roman"/>
                <w:sz w:val="20"/>
                <w:szCs w:val="20"/>
              </w:rPr>
              <w:t>“SCHEDULE 2”</w:t>
            </w:r>
          </w:p>
        </w:tc>
      </w:tr>
    </w:tbl>
    <w:p w14:paraId="4A70792C" w14:textId="77777777" w:rsidR="00F71B6D" w:rsidRPr="00B35F10" w:rsidRDefault="00F71B6D" w:rsidP="00B35F10">
      <w:pPr>
        <w:spacing w:before="120" w:after="120" w:line="240" w:lineRule="auto"/>
        <w:jc w:val="center"/>
        <w:rPr>
          <w:rFonts w:ascii="Times New Roman" w:hAnsi="Times New Roman" w:cs="Times New Roman"/>
          <w:b/>
        </w:rPr>
      </w:pPr>
      <w:r w:rsidRPr="00B35F10">
        <w:rPr>
          <w:rFonts w:ascii="Times New Roman" w:hAnsi="Times New Roman" w:cs="Times New Roman"/>
          <w:b/>
        </w:rPr>
        <w:t>NOTE</w:t>
      </w:r>
    </w:p>
    <w:p w14:paraId="57E55FA1" w14:textId="77777777" w:rsidR="00F71B6D" w:rsidRPr="00B35F10" w:rsidRDefault="00F71B6D" w:rsidP="00F71B6D">
      <w:pPr>
        <w:spacing w:after="0" w:line="240" w:lineRule="auto"/>
        <w:jc w:val="both"/>
        <w:rPr>
          <w:rFonts w:ascii="Times New Roman" w:hAnsi="Times New Roman" w:cs="Times New Roman"/>
          <w:sz w:val="20"/>
        </w:rPr>
      </w:pPr>
      <w:r w:rsidRPr="00B35F10">
        <w:rPr>
          <w:rFonts w:ascii="Times New Roman" w:hAnsi="Times New Roman" w:cs="Times New Roman"/>
          <w:sz w:val="20"/>
        </w:rPr>
        <w:t>1. No. 48, 1969, as amended. For previous amendments, see Nos. 68 and 94, 1972 and No. 216,</w:t>
      </w:r>
      <w:r w:rsidR="000E13B7">
        <w:rPr>
          <w:rFonts w:ascii="Times New Roman" w:hAnsi="Times New Roman" w:cs="Times New Roman"/>
          <w:sz w:val="20"/>
        </w:rPr>
        <w:t xml:space="preserve"> </w:t>
      </w:r>
      <w:r w:rsidRPr="00B35F10">
        <w:rPr>
          <w:rFonts w:ascii="Times New Roman" w:hAnsi="Times New Roman" w:cs="Times New Roman"/>
          <w:sz w:val="20"/>
        </w:rPr>
        <w:t>1973.</w:t>
      </w:r>
    </w:p>
    <w:sectPr w:rsidR="00F71B6D" w:rsidRPr="00B35F10" w:rsidSect="009B5282">
      <w:headerReference w:type="even" r:id="rId8"/>
      <w:headerReference w:type="default" r:id="rId9"/>
      <w:footerReference w:type="even" r:id="rId10"/>
      <w:footerReference w:type="default" r:id="rId11"/>
      <w:headerReference w:type="first" r:id="rId12"/>
      <w:footerReference w:type="first" r:id="rId13"/>
      <w:pgSz w:w="10080" w:h="14400" w:code="138"/>
      <w:pgMar w:top="864" w:right="864" w:bottom="288" w:left="864" w:header="432" w:footer="43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63244A" w15:done="0"/>
  <w15:commentEx w15:paraId="51E72F22" w15:done="0"/>
  <w15:commentEx w15:paraId="11B3AD7A" w15:done="0"/>
  <w15:commentEx w15:paraId="41D02F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63244A" w16cid:durableId="1FA94D79"/>
  <w16cid:commentId w16cid:paraId="51E72F22" w16cid:durableId="1FA94DBA"/>
  <w16cid:commentId w16cid:paraId="11B3AD7A" w16cid:durableId="1FA94DC2"/>
  <w16cid:commentId w16cid:paraId="41D02FC8" w16cid:durableId="1FA94D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B54B3" w14:textId="77777777" w:rsidR="0093689B" w:rsidRDefault="0093689B" w:rsidP="00E516E8">
      <w:pPr>
        <w:spacing w:after="0" w:line="240" w:lineRule="auto"/>
      </w:pPr>
      <w:r>
        <w:separator/>
      </w:r>
    </w:p>
  </w:endnote>
  <w:endnote w:type="continuationSeparator" w:id="0">
    <w:p w14:paraId="1CA36251" w14:textId="77777777" w:rsidR="0093689B" w:rsidRDefault="0093689B" w:rsidP="00E51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BE744" w14:textId="77777777" w:rsidR="00B83777" w:rsidRDefault="00B83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97180" w14:textId="77777777" w:rsidR="00B83777" w:rsidRDefault="00B83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68E02" w14:textId="77777777" w:rsidR="00B83777" w:rsidRDefault="00B83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6C2E8" w14:textId="77777777" w:rsidR="0093689B" w:rsidRDefault="0093689B" w:rsidP="00E516E8">
      <w:pPr>
        <w:spacing w:after="0" w:line="240" w:lineRule="auto"/>
      </w:pPr>
      <w:r>
        <w:separator/>
      </w:r>
    </w:p>
  </w:footnote>
  <w:footnote w:type="continuationSeparator" w:id="0">
    <w:p w14:paraId="376FD3B8" w14:textId="77777777" w:rsidR="0093689B" w:rsidRDefault="0093689B" w:rsidP="00E51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C6A22" w14:textId="77777777" w:rsidR="00B83777" w:rsidRPr="00B83777" w:rsidRDefault="00B83777" w:rsidP="00B83777">
    <w:pPr>
      <w:pStyle w:val="Header"/>
      <w:tabs>
        <w:tab w:val="clear" w:pos="4680"/>
        <w:tab w:val="center" w:pos="5220"/>
      </w:tabs>
      <w:jc w:val="center"/>
      <w:rPr>
        <w:rFonts w:ascii="Times New Roman" w:hAnsi="Times New Roman" w:cs="Times New Roman"/>
        <w:i/>
      </w:rPr>
    </w:pPr>
    <w:r w:rsidRPr="00B83777">
      <w:rPr>
        <w:rFonts w:ascii="Times New Roman" w:hAnsi="Times New Roman" w:cs="Times New Roman"/>
        <w:i/>
        <w:sz w:val="20"/>
        <w:szCs w:val="20"/>
      </w:rPr>
      <w:t>Australian Capital Territory Stamp Duty Amendment</w:t>
    </w:r>
    <w:r>
      <w:rPr>
        <w:rFonts w:ascii="Times New Roman" w:hAnsi="Times New Roman" w:cs="Times New Roman"/>
        <w:i/>
        <w:sz w:val="20"/>
        <w:szCs w:val="20"/>
      </w:rPr>
      <w:tab/>
    </w:r>
    <w:r w:rsidRPr="00B83777">
      <w:rPr>
        <w:rFonts w:ascii="Times New Roman" w:hAnsi="Times New Roman" w:cs="Times New Roman"/>
        <w:i/>
        <w:sz w:val="20"/>
        <w:szCs w:val="20"/>
      </w:rPr>
      <w:t>No. 124, 1981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8B71D" w14:textId="77777777" w:rsidR="00B83777" w:rsidRPr="00B83777" w:rsidRDefault="00B83777" w:rsidP="00B83777">
    <w:pPr>
      <w:pStyle w:val="Header"/>
      <w:tabs>
        <w:tab w:val="clear" w:pos="4680"/>
        <w:tab w:val="center" w:pos="5220"/>
      </w:tabs>
      <w:jc w:val="center"/>
      <w:rPr>
        <w:rFonts w:ascii="Times New Roman" w:hAnsi="Times New Roman" w:cs="Times New Roman"/>
        <w:i/>
      </w:rPr>
    </w:pPr>
    <w:r w:rsidRPr="00B83777">
      <w:rPr>
        <w:rFonts w:ascii="Times New Roman" w:hAnsi="Times New Roman" w:cs="Times New Roman"/>
        <w:i/>
        <w:sz w:val="20"/>
        <w:szCs w:val="20"/>
      </w:rPr>
      <w:t>Australian Capital Territory Stamp Duty Amendment</w:t>
    </w:r>
    <w:r>
      <w:rPr>
        <w:rFonts w:ascii="Times New Roman" w:hAnsi="Times New Roman" w:cs="Times New Roman"/>
        <w:i/>
        <w:sz w:val="20"/>
        <w:szCs w:val="20"/>
      </w:rPr>
      <w:tab/>
    </w:r>
    <w:r w:rsidRPr="00B83777">
      <w:rPr>
        <w:rFonts w:ascii="Times New Roman" w:hAnsi="Times New Roman" w:cs="Times New Roman"/>
        <w:i/>
        <w:sz w:val="20"/>
        <w:szCs w:val="20"/>
      </w:rPr>
      <w:t>No. 124, 1981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12F7E" w14:textId="77777777" w:rsidR="00B83777" w:rsidRDefault="00B83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D7046B"/>
    <w:rsid w:val="000A6C61"/>
    <w:rsid w:val="000E13B7"/>
    <w:rsid w:val="000F3D24"/>
    <w:rsid w:val="0011707D"/>
    <w:rsid w:val="00146A7C"/>
    <w:rsid w:val="001E19E6"/>
    <w:rsid w:val="00293808"/>
    <w:rsid w:val="002E2EE5"/>
    <w:rsid w:val="00315B76"/>
    <w:rsid w:val="00436344"/>
    <w:rsid w:val="00522691"/>
    <w:rsid w:val="005311F1"/>
    <w:rsid w:val="00604C07"/>
    <w:rsid w:val="006555CE"/>
    <w:rsid w:val="00656D3E"/>
    <w:rsid w:val="00663536"/>
    <w:rsid w:val="006851FF"/>
    <w:rsid w:val="006C4105"/>
    <w:rsid w:val="006C47F0"/>
    <w:rsid w:val="00721A7A"/>
    <w:rsid w:val="0088349A"/>
    <w:rsid w:val="008A26BF"/>
    <w:rsid w:val="008F3118"/>
    <w:rsid w:val="00935D88"/>
    <w:rsid w:val="0093689B"/>
    <w:rsid w:val="0095210F"/>
    <w:rsid w:val="0098549E"/>
    <w:rsid w:val="009931B6"/>
    <w:rsid w:val="009B5282"/>
    <w:rsid w:val="009E7F00"/>
    <w:rsid w:val="00A15619"/>
    <w:rsid w:val="00A631AC"/>
    <w:rsid w:val="00B159FC"/>
    <w:rsid w:val="00B35F10"/>
    <w:rsid w:val="00B55B6A"/>
    <w:rsid w:val="00B83777"/>
    <w:rsid w:val="00BD5D46"/>
    <w:rsid w:val="00C01C54"/>
    <w:rsid w:val="00C41F63"/>
    <w:rsid w:val="00C6412D"/>
    <w:rsid w:val="00CE3DF5"/>
    <w:rsid w:val="00D7046B"/>
    <w:rsid w:val="00DC17D8"/>
    <w:rsid w:val="00E10CA8"/>
    <w:rsid w:val="00E37DEF"/>
    <w:rsid w:val="00E516E8"/>
    <w:rsid w:val="00EB655F"/>
    <w:rsid w:val="00F6085C"/>
    <w:rsid w:val="00F71B6D"/>
    <w:rsid w:val="00FF2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C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D7046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7046B"/>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D7046B"/>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D7046B"/>
    <w:pPr>
      <w:spacing w:after="0" w:line="240" w:lineRule="auto"/>
    </w:pPr>
    <w:rPr>
      <w:rFonts w:ascii="Times New Roman" w:eastAsia="Times New Roman" w:hAnsi="Times New Roman" w:cs="Times New Roman"/>
      <w:sz w:val="20"/>
      <w:szCs w:val="20"/>
    </w:rPr>
  </w:style>
  <w:style w:type="paragraph" w:customStyle="1" w:styleId="Style908">
    <w:name w:val="Style908"/>
    <w:basedOn w:val="Normal"/>
    <w:rsid w:val="00D7046B"/>
    <w:pPr>
      <w:spacing w:after="0" w:line="240" w:lineRule="auto"/>
    </w:pPr>
    <w:rPr>
      <w:rFonts w:ascii="Times New Roman" w:eastAsia="Times New Roman" w:hAnsi="Times New Roman" w:cs="Times New Roman"/>
      <w:sz w:val="20"/>
      <w:szCs w:val="20"/>
    </w:rPr>
  </w:style>
  <w:style w:type="paragraph" w:customStyle="1" w:styleId="Style824">
    <w:name w:val="Style824"/>
    <w:basedOn w:val="Normal"/>
    <w:rsid w:val="00D7046B"/>
    <w:pPr>
      <w:spacing w:after="0" w:line="240" w:lineRule="auto"/>
    </w:pPr>
    <w:rPr>
      <w:rFonts w:ascii="Times New Roman" w:eastAsia="Times New Roman" w:hAnsi="Times New Roman" w:cs="Times New Roman"/>
      <w:sz w:val="20"/>
      <w:szCs w:val="20"/>
    </w:rPr>
  </w:style>
  <w:style w:type="paragraph" w:customStyle="1" w:styleId="Style977">
    <w:name w:val="Style977"/>
    <w:basedOn w:val="Normal"/>
    <w:rsid w:val="00D7046B"/>
    <w:pPr>
      <w:spacing w:after="0" w:line="240" w:lineRule="auto"/>
    </w:pPr>
    <w:rPr>
      <w:rFonts w:ascii="Times New Roman" w:eastAsia="Times New Roman" w:hAnsi="Times New Roman" w:cs="Times New Roman"/>
      <w:sz w:val="20"/>
      <w:szCs w:val="20"/>
    </w:rPr>
  </w:style>
  <w:style w:type="paragraph" w:customStyle="1" w:styleId="Style996">
    <w:name w:val="Style996"/>
    <w:basedOn w:val="Normal"/>
    <w:rsid w:val="00D7046B"/>
    <w:pPr>
      <w:spacing w:after="0" w:line="240" w:lineRule="auto"/>
    </w:pPr>
    <w:rPr>
      <w:rFonts w:ascii="Times New Roman" w:eastAsia="Times New Roman" w:hAnsi="Times New Roman" w:cs="Times New Roman"/>
      <w:sz w:val="20"/>
      <w:szCs w:val="20"/>
    </w:rPr>
  </w:style>
  <w:style w:type="paragraph" w:customStyle="1" w:styleId="Style832">
    <w:name w:val="Style832"/>
    <w:basedOn w:val="Normal"/>
    <w:rsid w:val="00D7046B"/>
    <w:pPr>
      <w:spacing w:after="0" w:line="240" w:lineRule="auto"/>
    </w:pPr>
    <w:rPr>
      <w:rFonts w:ascii="Times New Roman" w:eastAsia="Times New Roman" w:hAnsi="Times New Roman" w:cs="Times New Roman"/>
      <w:sz w:val="20"/>
      <w:szCs w:val="20"/>
    </w:rPr>
  </w:style>
  <w:style w:type="paragraph" w:customStyle="1" w:styleId="Style1047">
    <w:name w:val="Style1047"/>
    <w:basedOn w:val="Normal"/>
    <w:rsid w:val="00D7046B"/>
    <w:pPr>
      <w:spacing w:after="0" w:line="240" w:lineRule="auto"/>
    </w:pPr>
    <w:rPr>
      <w:rFonts w:ascii="Times New Roman" w:eastAsia="Times New Roman" w:hAnsi="Times New Roman" w:cs="Times New Roman"/>
      <w:sz w:val="20"/>
      <w:szCs w:val="20"/>
    </w:rPr>
  </w:style>
  <w:style w:type="paragraph" w:customStyle="1" w:styleId="Style1016">
    <w:name w:val="Style1016"/>
    <w:basedOn w:val="Normal"/>
    <w:rsid w:val="00D7046B"/>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D7046B"/>
    <w:pPr>
      <w:spacing w:after="0" w:line="240" w:lineRule="auto"/>
    </w:pPr>
    <w:rPr>
      <w:rFonts w:ascii="Times New Roman" w:eastAsia="Times New Roman" w:hAnsi="Times New Roman" w:cs="Times New Roman"/>
      <w:sz w:val="20"/>
      <w:szCs w:val="20"/>
    </w:rPr>
  </w:style>
  <w:style w:type="paragraph" w:customStyle="1" w:styleId="Style252">
    <w:name w:val="Style252"/>
    <w:basedOn w:val="Normal"/>
    <w:rsid w:val="00D7046B"/>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rsid w:val="00D7046B"/>
    <w:pPr>
      <w:spacing w:after="0" w:line="240" w:lineRule="auto"/>
    </w:pPr>
    <w:rPr>
      <w:rFonts w:ascii="Times New Roman" w:eastAsia="Times New Roman" w:hAnsi="Times New Roman" w:cs="Times New Roman"/>
      <w:sz w:val="20"/>
      <w:szCs w:val="20"/>
    </w:rPr>
  </w:style>
  <w:style w:type="paragraph" w:customStyle="1" w:styleId="Style995">
    <w:name w:val="Style995"/>
    <w:basedOn w:val="Normal"/>
    <w:rsid w:val="00D7046B"/>
    <w:pPr>
      <w:spacing w:after="0" w:line="240" w:lineRule="auto"/>
    </w:pPr>
    <w:rPr>
      <w:rFonts w:ascii="Times New Roman" w:eastAsia="Times New Roman" w:hAnsi="Times New Roman" w:cs="Times New Roman"/>
      <w:sz w:val="20"/>
      <w:szCs w:val="20"/>
    </w:rPr>
  </w:style>
  <w:style w:type="paragraph" w:customStyle="1" w:styleId="Style1012">
    <w:name w:val="Style1012"/>
    <w:basedOn w:val="Normal"/>
    <w:rsid w:val="00D7046B"/>
    <w:pPr>
      <w:spacing w:after="0" w:line="240" w:lineRule="auto"/>
    </w:pPr>
    <w:rPr>
      <w:rFonts w:ascii="Times New Roman" w:eastAsia="Times New Roman" w:hAnsi="Times New Roman" w:cs="Times New Roman"/>
      <w:sz w:val="20"/>
      <w:szCs w:val="20"/>
    </w:rPr>
  </w:style>
  <w:style w:type="paragraph" w:customStyle="1" w:styleId="Style688">
    <w:name w:val="Style688"/>
    <w:basedOn w:val="Normal"/>
    <w:rsid w:val="00D7046B"/>
    <w:pPr>
      <w:spacing w:after="0" w:line="240" w:lineRule="auto"/>
    </w:pPr>
    <w:rPr>
      <w:rFonts w:ascii="Times New Roman" w:eastAsia="Times New Roman" w:hAnsi="Times New Roman" w:cs="Times New Roman"/>
      <w:sz w:val="20"/>
      <w:szCs w:val="20"/>
    </w:rPr>
  </w:style>
  <w:style w:type="paragraph" w:customStyle="1" w:styleId="Style980">
    <w:name w:val="Style980"/>
    <w:basedOn w:val="Normal"/>
    <w:rsid w:val="00D7046B"/>
    <w:pPr>
      <w:spacing w:after="0" w:line="240" w:lineRule="auto"/>
    </w:pPr>
    <w:rPr>
      <w:rFonts w:ascii="Times New Roman" w:eastAsia="Times New Roman" w:hAnsi="Times New Roman" w:cs="Times New Roman"/>
      <w:sz w:val="20"/>
      <w:szCs w:val="20"/>
    </w:rPr>
  </w:style>
  <w:style w:type="paragraph" w:customStyle="1" w:styleId="Style1045">
    <w:name w:val="Style1045"/>
    <w:basedOn w:val="Normal"/>
    <w:rsid w:val="00D7046B"/>
    <w:pPr>
      <w:spacing w:after="0" w:line="240" w:lineRule="auto"/>
    </w:pPr>
    <w:rPr>
      <w:rFonts w:ascii="Times New Roman" w:eastAsia="Times New Roman" w:hAnsi="Times New Roman" w:cs="Times New Roman"/>
      <w:sz w:val="20"/>
      <w:szCs w:val="20"/>
    </w:rPr>
  </w:style>
  <w:style w:type="paragraph" w:customStyle="1" w:styleId="Style982">
    <w:name w:val="Style982"/>
    <w:basedOn w:val="Normal"/>
    <w:rsid w:val="00D7046B"/>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D7046B"/>
    <w:rPr>
      <w:rFonts w:ascii="Times New Roman" w:eastAsia="Times New Roman" w:hAnsi="Times New Roman" w:cs="Times New Roman"/>
      <w:b/>
      <w:bCs/>
      <w:i w:val="0"/>
      <w:iCs w:val="0"/>
      <w:smallCaps w:val="0"/>
      <w:sz w:val="20"/>
      <w:szCs w:val="20"/>
    </w:rPr>
  </w:style>
  <w:style w:type="character" w:customStyle="1" w:styleId="CharStyle10">
    <w:name w:val="CharStyle10"/>
    <w:basedOn w:val="DefaultParagraphFont"/>
    <w:rsid w:val="00D7046B"/>
    <w:rPr>
      <w:rFonts w:ascii="Times New Roman" w:eastAsia="Times New Roman" w:hAnsi="Times New Roman" w:cs="Times New Roman"/>
      <w:b w:val="0"/>
      <w:bCs w:val="0"/>
      <w:i w:val="0"/>
      <w:iCs w:val="0"/>
      <w:smallCaps w:val="0"/>
      <w:sz w:val="20"/>
      <w:szCs w:val="20"/>
    </w:rPr>
  </w:style>
  <w:style w:type="character" w:customStyle="1" w:styleId="CharStyle23">
    <w:name w:val="CharStyle23"/>
    <w:basedOn w:val="DefaultParagraphFont"/>
    <w:rsid w:val="00D7046B"/>
    <w:rPr>
      <w:rFonts w:ascii="Times New Roman" w:eastAsia="Times New Roman" w:hAnsi="Times New Roman" w:cs="Times New Roman"/>
      <w:b w:val="0"/>
      <w:bCs w:val="0"/>
      <w:i/>
      <w:iCs/>
      <w:smallCaps w:val="0"/>
      <w:sz w:val="20"/>
      <w:szCs w:val="20"/>
    </w:rPr>
  </w:style>
  <w:style w:type="character" w:customStyle="1" w:styleId="CharStyle32">
    <w:name w:val="CharStyle32"/>
    <w:basedOn w:val="DefaultParagraphFont"/>
    <w:rsid w:val="00D7046B"/>
    <w:rPr>
      <w:rFonts w:ascii="Times New Roman" w:eastAsia="Times New Roman" w:hAnsi="Times New Roman" w:cs="Times New Roman"/>
      <w:b/>
      <w:bCs/>
      <w:i w:val="0"/>
      <w:iCs w:val="0"/>
      <w:smallCaps w:val="0"/>
      <w:sz w:val="34"/>
      <w:szCs w:val="34"/>
    </w:rPr>
  </w:style>
  <w:style w:type="character" w:customStyle="1" w:styleId="CharStyle75">
    <w:name w:val="CharStyle75"/>
    <w:basedOn w:val="DefaultParagraphFont"/>
    <w:rsid w:val="00D7046B"/>
    <w:rPr>
      <w:rFonts w:ascii="Times New Roman" w:eastAsia="Times New Roman" w:hAnsi="Times New Roman" w:cs="Times New Roman"/>
      <w:b/>
      <w:bCs/>
      <w:i w:val="0"/>
      <w:iCs w:val="0"/>
      <w:smallCaps w:val="0"/>
      <w:sz w:val="14"/>
      <w:szCs w:val="14"/>
    </w:rPr>
  </w:style>
  <w:style w:type="character" w:customStyle="1" w:styleId="CharStyle325">
    <w:name w:val="CharStyle325"/>
    <w:basedOn w:val="DefaultParagraphFont"/>
    <w:rsid w:val="00D7046B"/>
    <w:rPr>
      <w:rFonts w:ascii="Times New Roman" w:eastAsia="Times New Roman" w:hAnsi="Times New Roman" w:cs="Times New Roman"/>
      <w:b/>
      <w:bCs/>
      <w:i/>
      <w:iCs/>
      <w:smallCaps w:val="0"/>
      <w:sz w:val="24"/>
      <w:szCs w:val="24"/>
    </w:rPr>
  </w:style>
  <w:style w:type="character" w:customStyle="1" w:styleId="CharStyle625">
    <w:name w:val="CharStyle625"/>
    <w:basedOn w:val="DefaultParagraphFont"/>
    <w:rsid w:val="00D7046B"/>
    <w:rPr>
      <w:rFonts w:ascii="Times New Roman" w:eastAsia="Times New Roman" w:hAnsi="Times New Roman" w:cs="Times New Roman"/>
      <w:b/>
      <w:bCs/>
      <w:i w:val="0"/>
      <w:iCs w:val="0"/>
      <w:smallCaps w:val="0"/>
      <w:sz w:val="24"/>
      <w:szCs w:val="24"/>
    </w:rPr>
  </w:style>
  <w:style w:type="character" w:customStyle="1" w:styleId="CharStyle965">
    <w:name w:val="CharStyle965"/>
    <w:basedOn w:val="DefaultParagraphFont"/>
    <w:rsid w:val="00D7046B"/>
    <w:rPr>
      <w:rFonts w:ascii="Times New Roman" w:eastAsia="Times New Roman" w:hAnsi="Times New Roman" w:cs="Times New Roman"/>
      <w:b w:val="0"/>
      <w:bCs w:val="0"/>
      <w:i w:val="0"/>
      <w:iCs w:val="0"/>
      <w:smallCaps w:val="0"/>
      <w:sz w:val="14"/>
      <w:szCs w:val="14"/>
    </w:rPr>
  </w:style>
  <w:style w:type="paragraph" w:styleId="BalloonText">
    <w:name w:val="Balloon Text"/>
    <w:basedOn w:val="Normal"/>
    <w:link w:val="BalloonTextChar"/>
    <w:uiPriority w:val="99"/>
    <w:semiHidden/>
    <w:unhideWhenUsed/>
    <w:rsid w:val="000F3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D24"/>
    <w:rPr>
      <w:rFonts w:ascii="Tahoma" w:hAnsi="Tahoma" w:cs="Tahoma"/>
      <w:sz w:val="16"/>
      <w:szCs w:val="16"/>
    </w:rPr>
  </w:style>
  <w:style w:type="paragraph" w:styleId="Header">
    <w:name w:val="header"/>
    <w:basedOn w:val="Normal"/>
    <w:link w:val="HeaderChar"/>
    <w:uiPriority w:val="99"/>
    <w:unhideWhenUsed/>
    <w:rsid w:val="00E51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6E8"/>
  </w:style>
  <w:style w:type="paragraph" w:styleId="Footer">
    <w:name w:val="footer"/>
    <w:basedOn w:val="Normal"/>
    <w:link w:val="FooterChar"/>
    <w:uiPriority w:val="99"/>
    <w:semiHidden/>
    <w:unhideWhenUsed/>
    <w:rsid w:val="00E516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16E8"/>
  </w:style>
  <w:style w:type="character" w:styleId="CommentReference">
    <w:name w:val="annotation reference"/>
    <w:basedOn w:val="DefaultParagraphFont"/>
    <w:uiPriority w:val="99"/>
    <w:semiHidden/>
    <w:unhideWhenUsed/>
    <w:rsid w:val="00522691"/>
    <w:rPr>
      <w:sz w:val="16"/>
      <w:szCs w:val="16"/>
    </w:rPr>
  </w:style>
  <w:style w:type="paragraph" w:styleId="CommentText">
    <w:name w:val="annotation text"/>
    <w:basedOn w:val="Normal"/>
    <w:link w:val="CommentTextChar"/>
    <w:uiPriority w:val="99"/>
    <w:semiHidden/>
    <w:unhideWhenUsed/>
    <w:rsid w:val="00522691"/>
    <w:pPr>
      <w:spacing w:line="240" w:lineRule="auto"/>
    </w:pPr>
    <w:rPr>
      <w:sz w:val="20"/>
      <w:szCs w:val="20"/>
    </w:rPr>
  </w:style>
  <w:style w:type="character" w:customStyle="1" w:styleId="CommentTextChar">
    <w:name w:val="Comment Text Char"/>
    <w:basedOn w:val="DefaultParagraphFont"/>
    <w:link w:val="CommentText"/>
    <w:uiPriority w:val="99"/>
    <w:semiHidden/>
    <w:rsid w:val="00522691"/>
    <w:rPr>
      <w:sz w:val="20"/>
      <w:szCs w:val="20"/>
    </w:rPr>
  </w:style>
  <w:style w:type="paragraph" w:styleId="CommentSubject">
    <w:name w:val="annotation subject"/>
    <w:basedOn w:val="CommentText"/>
    <w:next w:val="CommentText"/>
    <w:link w:val="CommentSubjectChar"/>
    <w:uiPriority w:val="99"/>
    <w:semiHidden/>
    <w:unhideWhenUsed/>
    <w:rsid w:val="00522691"/>
    <w:rPr>
      <w:b/>
      <w:bCs/>
    </w:rPr>
  </w:style>
  <w:style w:type="character" w:customStyle="1" w:styleId="CommentSubjectChar">
    <w:name w:val="Comment Subject Char"/>
    <w:basedOn w:val="CommentTextChar"/>
    <w:link w:val="CommentSubject"/>
    <w:uiPriority w:val="99"/>
    <w:semiHidden/>
    <w:rsid w:val="00522691"/>
    <w:rPr>
      <w:b/>
      <w:bCs/>
      <w:sz w:val="20"/>
      <w:szCs w:val="20"/>
    </w:rPr>
  </w:style>
  <w:style w:type="paragraph" w:styleId="Revision">
    <w:name w:val="Revision"/>
    <w:hidden/>
    <w:uiPriority w:val="99"/>
    <w:semiHidden/>
    <w:rsid w:val="00B55B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73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microsoft.com/office/2011/relationships/people" Target="people.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1542</Words>
  <Characters>7422</Characters>
  <Application>Microsoft Office Word</Application>
  <DocSecurity>0</DocSecurity>
  <Lines>927</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5</cp:revision>
  <dcterms:created xsi:type="dcterms:W3CDTF">2018-11-28T07:25:00Z</dcterms:created>
  <dcterms:modified xsi:type="dcterms:W3CDTF">2019-09-12T04:33:00Z</dcterms:modified>
</cp:coreProperties>
</file>