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CF" w:rsidRPr="00654F44" w:rsidRDefault="00BF69CF" w:rsidP="00E73430">
      <w:r w:rsidRPr="00654F44">
        <w:rPr>
          <w:noProof/>
          <w:lang w:eastAsia="en-AU"/>
        </w:rPr>
        <w:drawing>
          <wp:inline distT="0" distB="0" distL="0" distR="0" wp14:anchorId="2785127A" wp14:editId="37229263">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bookmarkStart w:id="0" w:name="_GoBack"/>
      <w:bookmarkEnd w:id="0"/>
    </w:p>
    <w:p w:rsidR="00BF69CF" w:rsidRPr="00654F44" w:rsidRDefault="00BF69CF" w:rsidP="00E73430">
      <w:pPr>
        <w:pStyle w:val="ShortT"/>
        <w:spacing w:before="240"/>
      </w:pPr>
      <w:r w:rsidRPr="00654F44">
        <w:t>High Court of Australia Act 1979</w:t>
      </w:r>
    </w:p>
    <w:p w:rsidR="00BF69CF" w:rsidRPr="00654F44" w:rsidRDefault="00BF69CF" w:rsidP="00E73430">
      <w:pPr>
        <w:pStyle w:val="CompiledActNo"/>
        <w:spacing w:before="240"/>
      </w:pPr>
      <w:r w:rsidRPr="00654F44">
        <w:t>No.</w:t>
      </w:r>
      <w:r w:rsidR="00654F44">
        <w:t> </w:t>
      </w:r>
      <w:r w:rsidRPr="00654F44">
        <w:t>137, 1979 as amended</w:t>
      </w:r>
    </w:p>
    <w:p w:rsidR="00BF69CF" w:rsidRPr="00654F44" w:rsidRDefault="00BF69CF" w:rsidP="00E73430">
      <w:pPr>
        <w:spacing w:before="1000"/>
        <w:rPr>
          <w:rFonts w:cs="Arial"/>
          <w:sz w:val="24"/>
        </w:rPr>
      </w:pPr>
      <w:r w:rsidRPr="00654F44">
        <w:rPr>
          <w:rFonts w:cs="Arial"/>
          <w:b/>
          <w:sz w:val="24"/>
        </w:rPr>
        <w:t xml:space="preserve">Compilation start date: </w:t>
      </w:r>
      <w:r w:rsidRPr="00654F44">
        <w:rPr>
          <w:rFonts w:cs="Arial"/>
          <w:b/>
          <w:sz w:val="24"/>
        </w:rPr>
        <w:tab/>
      </w:r>
      <w:r w:rsidRPr="00654F44">
        <w:rPr>
          <w:rFonts w:cs="Arial"/>
          <w:b/>
          <w:sz w:val="24"/>
        </w:rPr>
        <w:tab/>
      </w:r>
      <w:r w:rsidR="00E73430" w:rsidRPr="00654F44">
        <w:rPr>
          <w:rFonts w:cs="Arial"/>
          <w:sz w:val="24"/>
        </w:rPr>
        <w:t>1</w:t>
      </w:r>
      <w:r w:rsidR="00654F44">
        <w:rPr>
          <w:rFonts w:cs="Arial"/>
          <w:sz w:val="24"/>
        </w:rPr>
        <w:t> </w:t>
      </w:r>
      <w:r w:rsidR="00E73430" w:rsidRPr="00654F44">
        <w:rPr>
          <w:rFonts w:cs="Arial"/>
          <w:sz w:val="24"/>
        </w:rPr>
        <w:t>July 2014</w:t>
      </w:r>
    </w:p>
    <w:p w:rsidR="00BF69CF" w:rsidRPr="00654F44" w:rsidRDefault="00BF69CF" w:rsidP="00E73430">
      <w:pPr>
        <w:spacing w:before="240"/>
        <w:rPr>
          <w:rFonts w:cs="Arial"/>
          <w:sz w:val="24"/>
        </w:rPr>
      </w:pPr>
      <w:r w:rsidRPr="00654F44">
        <w:rPr>
          <w:rFonts w:cs="Arial"/>
          <w:b/>
          <w:sz w:val="24"/>
        </w:rPr>
        <w:t>Includes amendments up to:</w:t>
      </w:r>
      <w:r w:rsidRPr="00654F44">
        <w:rPr>
          <w:rFonts w:cs="Arial"/>
          <w:b/>
          <w:sz w:val="24"/>
        </w:rPr>
        <w:tab/>
      </w:r>
      <w:r w:rsidR="00E73430" w:rsidRPr="00654F44">
        <w:rPr>
          <w:rFonts w:cs="Arial"/>
          <w:sz w:val="24"/>
        </w:rPr>
        <w:t>Act No.</w:t>
      </w:r>
      <w:r w:rsidR="00654F44">
        <w:rPr>
          <w:rFonts w:cs="Arial"/>
          <w:sz w:val="24"/>
        </w:rPr>
        <w:t> </w:t>
      </w:r>
      <w:r w:rsidR="00E73430" w:rsidRPr="00654F44">
        <w:rPr>
          <w:rFonts w:cs="Arial"/>
          <w:sz w:val="24"/>
        </w:rPr>
        <w:t>62, 2014</w:t>
      </w:r>
    </w:p>
    <w:p w:rsidR="00BF69CF" w:rsidRPr="00654F44" w:rsidRDefault="00BF69CF" w:rsidP="00E73430">
      <w:pPr>
        <w:rPr>
          <w:b/>
          <w:szCs w:val="22"/>
        </w:rPr>
      </w:pPr>
    </w:p>
    <w:p w:rsidR="00BF69CF" w:rsidRPr="00654F44" w:rsidRDefault="00BF69CF" w:rsidP="00E73430">
      <w:pPr>
        <w:pageBreakBefore/>
        <w:rPr>
          <w:rFonts w:cs="Arial"/>
          <w:b/>
          <w:sz w:val="32"/>
          <w:szCs w:val="32"/>
        </w:rPr>
      </w:pPr>
      <w:r w:rsidRPr="00654F44">
        <w:rPr>
          <w:rFonts w:cs="Arial"/>
          <w:b/>
          <w:sz w:val="32"/>
          <w:szCs w:val="32"/>
        </w:rPr>
        <w:lastRenderedPageBreak/>
        <w:t>About this compilation</w:t>
      </w:r>
    </w:p>
    <w:p w:rsidR="00BF69CF" w:rsidRPr="00654F44" w:rsidRDefault="00BF69CF" w:rsidP="00E73430">
      <w:pPr>
        <w:spacing w:before="240"/>
        <w:rPr>
          <w:rFonts w:cs="Arial"/>
        </w:rPr>
      </w:pPr>
      <w:r w:rsidRPr="00654F44">
        <w:rPr>
          <w:rFonts w:cs="Arial"/>
          <w:b/>
          <w:szCs w:val="22"/>
        </w:rPr>
        <w:t>This compilation</w:t>
      </w:r>
    </w:p>
    <w:p w:rsidR="00BF69CF" w:rsidRPr="00654F44" w:rsidRDefault="00BF69CF" w:rsidP="00E73430">
      <w:pPr>
        <w:spacing w:before="120" w:after="120"/>
        <w:rPr>
          <w:rFonts w:cs="Arial"/>
          <w:szCs w:val="22"/>
        </w:rPr>
      </w:pPr>
      <w:r w:rsidRPr="00654F44">
        <w:rPr>
          <w:rFonts w:cs="Arial"/>
          <w:szCs w:val="22"/>
        </w:rPr>
        <w:t xml:space="preserve">This is a compilation of the </w:t>
      </w:r>
      <w:r w:rsidRPr="00654F44">
        <w:rPr>
          <w:rFonts w:cs="Arial"/>
          <w:i/>
          <w:szCs w:val="22"/>
        </w:rPr>
        <w:fldChar w:fldCharType="begin"/>
      </w:r>
      <w:r w:rsidRPr="00654F44">
        <w:rPr>
          <w:rFonts w:cs="Arial"/>
          <w:i/>
          <w:szCs w:val="22"/>
        </w:rPr>
        <w:instrText xml:space="preserve"> STYLEREF  ShortT </w:instrText>
      </w:r>
      <w:r w:rsidRPr="00654F44">
        <w:rPr>
          <w:rFonts w:cs="Arial"/>
          <w:i/>
          <w:szCs w:val="22"/>
        </w:rPr>
        <w:fldChar w:fldCharType="separate"/>
      </w:r>
      <w:r w:rsidR="00654F44">
        <w:rPr>
          <w:rFonts w:cs="Arial"/>
          <w:i/>
          <w:noProof/>
          <w:szCs w:val="22"/>
        </w:rPr>
        <w:t>High Court of Australia Act 1979</w:t>
      </w:r>
      <w:r w:rsidRPr="00654F44">
        <w:rPr>
          <w:rFonts w:cs="Arial"/>
          <w:i/>
          <w:szCs w:val="22"/>
        </w:rPr>
        <w:fldChar w:fldCharType="end"/>
      </w:r>
      <w:r w:rsidRPr="00654F44">
        <w:rPr>
          <w:rFonts w:cs="Arial"/>
          <w:szCs w:val="22"/>
        </w:rPr>
        <w:t xml:space="preserve"> as in force on </w:t>
      </w:r>
      <w:r w:rsidR="004F1DCF" w:rsidRPr="00654F44">
        <w:rPr>
          <w:rFonts w:cs="Arial"/>
          <w:szCs w:val="22"/>
        </w:rPr>
        <w:t>1</w:t>
      </w:r>
      <w:r w:rsidR="00654F44">
        <w:rPr>
          <w:rFonts w:cs="Arial"/>
          <w:szCs w:val="22"/>
        </w:rPr>
        <w:t> </w:t>
      </w:r>
      <w:r w:rsidR="004F1DCF" w:rsidRPr="00654F44">
        <w:rPr>
          <w:rFonts w:cs="Arial"/>
          <w:szCs w:val="22"/>
        </w:rPr>
        <w:t>July 2014</w:t>
      </w:r>
      <w:r w:rsidRPr="00654F44">
        <w:rPr>
          <w:rFonts w:cs="Arial"/>
          <w:szCs w:val="22"/>
        </w:rPr>
        <w:t>. It includes any commenced amendment affecting the legislation to that date.</w:t>
      </w:r>
    </w:p>
    <w:p w:rsidR="00BF69CF" w:rsidRPr="00654F44" w:rsidRDefault="00BF69CF" w:rsidP="00E73430">
      <w:pPr>
        <w:spacing w:after="120"/>
        <w:rPr>
          <w:rFonts w:cs="Arial"/>
          <w:szCs w:val="22"/>
        </w:rPr>
      </w:pPr>
      <w:r w:rsidRPr="00654F44">
        <w:rPr>
          <w:rFonts w:cs="Arial"/>
          <w:szCs w:val="22"/>
        </w:rPr>
        <w:t xml:space="preserve">This compilation was prepared on </w:t>
      </w:r>
      <w:r w:rsidR="004F1DCF" w:rsidRPr="00654F44">
        <w:rPr>
          <w:rFonts w:cs="Arial"/>
          <w:szCs w:val="22"/>
        </w:rPr>
        <w:t>3</w:t>
      </w:r>
      <w:r w:rsidR="00654F44">
        <w:rPr>
          <w:rFonts w:cs="Arial"/>
          <w:szCs w:val="22"/>
        </w:rPr>
        <w:t> </w:t>
      </w:r>
      <w:r w:rsidR="004F1DCF" w:rsidRPr="00654F44">
        <w:rPr>
          <w:rFonts w:cs="Arial"/>
          <w:szCs w:val="22"/>
        </w:rPr>
        <w:t>July 2014</w:t>
      </w:r>
      <w:r w:rsidRPr="00654F44">
        <w:rPr>
          <w:rFonts w:cs="Arial"/>
          <w:szCs w:val="22"/>
        </w:rPr>
        <w:t>.</w:t>
      </w:r>
    </w:p>
    <w:p w:rsidR="00BF69CF" w:rsidRPr="00654F44" w:rsidRDefault="00BF69CF" w:rsidP="00E73430">
      <w:pPr>
        <w:spacing w:after="120"/>
        <w:rPr>
          <w:rFonts w:cs="Arial"/>
          <w:szCs w:val="22"/>
        </w:rPr>
      </w:pPr>
      <w:r w:rsidRPr="00654F44">
        <w:rPr>
          <w:rFonts w:cs="Arial"/>
          <w:szCs w:val="22"/>
        </w:rPr>
        <w:t xml:space="preserve">The notes at the end of this compilation (the </w:t>
      </w:r>
      <w:r w:rsidRPr="00654F44">
        <w:rPr>
          <w:rFonts w:cs="Arial"/>
          <w:b/>
          <w:i/>
          <w:szCs w:val="22"/>
        </w:rPr>
        <w:t>endnotes</w:t>
      </w:r>
      <w:r w:rsidRPr="00654F44">
        <w:rPr>
          <w:rFonts w:cs="Arial"/>
          <w:szCs w:val="22"/>
        </w:rPr>
        <w:t>) include information about amending laws and the amendment history of each amended provision.</w:t>
      </w:r>
    </w:p>
    <w:p w:rsidR="00BF69CF" w:rsidRPr="00654F44" w:rsidRDefault="00BF69CF" w:rsidP="00E73430">
      <w:pPr>
        <w:tabs>
          <w:tab w:val="left" w:pos="5640"/>
        </w:tabs>
        <w:spacing w:before="120" w:after="120"/>
        <w:rPr>
          <w:rFonts w:cs="Arial"/>
          <w:b/>
          <w:szCs w:val="22"/>
        </w:rPr>
      </w:pPr>
      <w:r w:rsidRPr="00654F44">
        <w:rPr>
          <w:rFonts w:cs="Arial"/>
          <w:b/>
          <w:szCs w:val="22"/>
        </w:rPr>
        <w:t>Uncommenced amendments</w:t>
      </w:r>
    </w:p>
    <w:p w:rsidR="00BF69CF" w:rsidRPr="00654F44" w:rsidRDefault="00BF69CF" w:rsidP="00E73430">
      <w:pPr>
        <w:spacing w:after="120"/>
        <w:rPr>
          <w:rFonts w:cs="Arial"/>
          <w:szCs w:val="22"/>
        </w:rPr>
      </w:pPr>
      <w:r w:rsidRPr="00654F44">
        <w:rPr>
          <w:rFonts w:cs="Arial"/>
          <w:szCs w:val="22"/>
        </w:rPr>
        <w:t>The effect of uncommenced amendments is not reflected in the text of the compiled law but the text of the amendments is included in the endnotes.</w:t>
      </w:r>
    </w:p>
    <w:p w:rsidR="00BF69CF" w:rsidRPr="00654F44" w:rsidRDefault="00BF69CF" w:rsidP="00E73430">
      <w:pPr>
        <w:spacing w:before="120" w:after="120"/>
        <w:rPr>
          <w:rFonts w:cs="Arial"/>
          <w:b/>
          <w:szCs w:val="22"/>
        </w:rPr>
      </w:pPr>
      <w:r w:rsidRPr="00654F44">
        <w:rPr>
          <w:rFonts w:cs="Arial"/>
          <w:b/>
          <w:szCs w:val="22"/>
        </w:rPr>
        <w:t>Application, saving and transitional provisions for provisions and amendments</w:t>
      </w:r>
    </w:p>
    <w:p w:rsidR="00BF69CF" w:rsidRPr="00654F44" w:rsidRDefault="00BF69CF" w:rsidP="00E73430">
      <w:pPr>
        <w:spacing w:after="120"/>
        <w:rPr>
          <w:rFonts w:cs="Arial"/>
          <w:szCs w:val="22"/>
        </w:rPr>
      </w:pPr>
      <w:r w:rsidRPr="00654F44">
        <w:rPr>
          <w:rFonts w:cs="Arial"/>
          <w:szCs w:val="22"/>
        </w:rPr>
        <w:t>If the operation of a provision or amendment is affected by an application, saving or transitional provision that is not included in this compilation, details are included in the endnotes.</w:t>
      </w:r>
    </w:p>
    <w:p w:rsidR="00BF69CF" w:rsidRPr="00654F44" w:rsidRDefault="00BF69CF" w:rsidP="00E73430">
      <w:pPr>
        <w:spacing w:before="120" w:after="120"/>
        <w:rPr>
          <w:rFonts w:cs="Arial"/>
          <w:b/>
          <w:szCs w:val="22"/>
        </w:rPr>
      </w:pPr>
      <w:r w:rsidRPr="00654F44">
        <w:rPr>
          <w:rFonts w:cs="Arial"/>
          <w:b/>
          <w:szCs w:val="22"/>
        </w:rPr>
        <w:t>Modifications</w:t>
      </w:r>
    </w:p>
    <w:p w:rsidR="00BF69CF" w:rsidRPr="00654F44" w:rsidRDefault="00BF69CF" w:rsidP="00E73430">
      <w:pPr>
        <w:spacing w:after="120"/>
        <w:rPr>
          <w:rFonts w:cs="Arial"/>
          <w:szCs w:val="22"/>
        </w:rPr>
      </w:pPr>
      <w:r w:rsidRPr="00654F44">
        <w:rPr>
          <w:rFonts w:cs="Arial"/>
          <w:szCs w:val="22"/>
        </w:rPr>
        <w:t xml:space="preserve">If a provision of the compiled law is affected by a modification that is in force, details are included in the endnotes. </w:t>
      </w:r>
    </w:p>
    <w:p w:rsidR="00BF69CF" w:rsidRPr="00654F44" w:rsidRDefault="00BF69CF" w:rsidP="00E73430">
      <w:pPr>
        <w:spacing w:before="80" w:after="120"/>
        <w:rPr>
          <w:rFonts w:cs="Arial"/>
          <w:b/>
          <w:szCs w:val="22"/>
        </w:rPr>
      </w:pPr>
      <w:r w:rsidRPr="00654F44">
        <w:rPr>
          <w:rFonts w:cs="Arial"/>
          <w:b/>
          <w:szCs w:val="22"/>
        </w:rPr>
        <w:t>Provisions ceasing to have effect</w:t>
      </w:r>
    </w:p>
    <w:p w:rsidR="00BF69CF" w:rsidRPr="00654F44" w:rsidRDefault="00BF69CF" w:rsidP="00E73430">
      <w:pPr>
        <w:spacing w:after="120"/>
        <w:rPr>
          <w:rFonts w:cs="Arial"/>
        </w:rPr>
      </w:pPr>
      <w:r w:rsidRPr="00654F44">
        <w:rPr>
          <w:rFonts w:cs="Arial"/>
          <w:szCs w:val="22"/>
        </w:rPr>
        <w:t>If a provision of the compiled law has expired or otherwise ceased to have effect in accordance with a provision of the law, details are included in the endnotes.</w:t>
      </w:r>
    </w:p>
    <w:p w:rsidR="00BF69CF" w:rsidRPr="00654F44" w:rsidRDefault="00BF69CF" w:rsidP="00E73430">
      <w:pPr>
        <w:pStyle w:val="Header"/>
        <w:tabs>
          <w:tab w:val="clear" w:pos="4150"/>
          <w:tab w:val="clear" w:pos="8307"/>
        </w:tabs>
      </w:pPr>
      <w:r w:rsidRPr="00654F44">
        <w:rPr>
          <w:rStyle w:val="CharChapNo"/>
        </w:rPr>
        <w:t xml:space="preserve"> </w:t>
      </w:r>
      <w:r w:rsidRPr="00654F44">
        <w:rPr>
          <w:rStyle w:val="CharChapText"/>
        </w:rPr>
        <w:t xml:space="preserve"> </w:t>
      </w:r>
    </w:p>
    <w:p w:rsidR="00BF69CF" w:rsidRPr="00654F44" w:rsidRDefault="00BF69CF" w:rsidP="00E73430">
      <w:pPr>
        <w:pStyle w:val="Header"/>
        <w:tabs>
          <w:tab w:val="clear" w:pos="4150"/>
          <w:tab w:val="clear" w:pos="8307"/>
        </w:tabs>
      </w:pPr>
      <w:r w:rsidRPr="00654F44">
        <w:rPr>
          <w:rStyle w:val="CharPartNo"/>
        </w:rPr>
        <w:t xml:space="preserve"> </w:t>
      </w:r>
      <w:r w:rsidRPr="00654F44">
        <w:rPr>
          <w:rStyle w:val="CharPartText"/>
        </w:rPr>
        <w:t xml:space="preserve"> </w:t>
      </w:r>
    </w:p>
    <w:p w:rsidR="00BF69CF" w:rsidRPr="00654F44" w:rsidRDefault="00BF69CF" w:rsidP="00E73430">
      <w:pPr>
        <w:pStyle w:val="Header"/>
        <w:tabs>
          <w:tab w:val="clear" w:pos="4150"/>
          <w:tab w:val="clear" w:pos="8307"/>
        </w:tabs>
      </w:pPr>
      <w:r w:rsidRPr="00654F44">
        <w:rPr>
          <w:rStyle w:val="CharDivNo"/>
        </w:rPr>
        <w:t xml:space="preserve"> </w:t>
      </w:r>
      <w:r w:rsidRPr="00654F44">
        <w:rPr>
          <w:rStyle w:val="CharDivText"/>
        </w:rPr>
        <w:t xml:space="preserve"> </w:t>
      </w:r>
    </w:p>
    <w:p w:rsidR="00BF69CF" w:rsidRPr="00654F44" w:rsidRDefault="00BF69CF" w:rsidP="00E73430">
      <w:pPr>
        <w:sectPr w:rsidR="00BF69CF" w:rsidRPr="00654F44" w:rsidSect="00132F6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910679" w:rsidRPr="00654F44" w:rsidRDefault="00910679" w:rsidP="00BF69CF">
      <w:r w:rsidRPr="00654F44">
        <w:rPr>
          <w:rFonts w:cs="Times New Roman"/>
          <w:sz w:val="36"/>
        </w:rPr>
        <w:lastRenderedPageBreak/>
        <w:t>Contents</w:t>
      </w:r>
    </w:p>
    <w:p w:rsidR="00654F44" w:rsidRDefault="00A52AE8">
      <w:pPr>
        <w:pStyle w:val="TOC2"/>
        <w:rPr>
          <w:rFonts w:asciiTheme="minorHAnsi" w:eastAsiaTheme="minorEastAsia" w:hAnsiTheme="minorHAnsi" w:cstheme="minorBidi"/>
          <w:b w:val="0"/>
          <w:noProof/>
          <w:kern w:val="0"/>
          <w:sz w:val="22"/>
          <w:szCs w:val="22"/>
        </w:rPr>
      </w:pPr>
      <w:r w:rsidRPr="00654F44">
        <w:rPr>
          <w:rFonts w:cs="Arial"/>
          <w:iCs/>
          <w:szCs w:val="28"/>
        </w:rPr>
        <w:fldChar w:fldCharType="begin"/>
      </w:r>
      <w:r w:rsidRPr="00654F44">
        <w:instrText xml:space="preserve"> TOC \o "1-9" \t "Heading 1,2,Heading 2,2,Heading 3,3,Heading 4,4,Heading 5,5, Schedule,2, Schedule Text,3, NotesSection,6" </w:instrText>
      </w:r>
      <w:r w:rsidRPr="00654F44">
        <w:rPr>
          <w:rFonts w:cs="Arial"/>
          <w:iCs/>
          <w:szCs w:val="28"/>
        </w:rPr>
        <w:fldChar w:fldCharType="separate"/>
      </w:r>
      <w:r w:rsidR="00654F44">
        <w:rPr>
          <w:noProof/>
        </w:rPr>
        <w:t>Part I—Preliminary</w:t>
      </w:r>
      <w:r w:rsidR="00654F44" w:rsidRPr="00654F44">
        <w:rPr>
          <w:b w:val="0"/>
          <w:noProof/>
          <w:sz w:val="18"/>
        </w:rPr>
        <w:tab/>
      </w:r>
      <w:r w:rsidR="00654F44" w:rsidRPr="00654F44">
        <w:rPr>
          <w:b w:val="0"/>
          <w:noProof/>
          <w:sz w:val="18"/>
        </w:rPr>
        <w:fldChar w:fldCharType="begin"/>
      </w:r>
      <w:r w:rsidR="00654F44" w:rsidRPr="00654F44">
        <w:rPr>
          <w:b w:val="0"/>
          <w:noProof/>
          <w:sz w:val="18"/>
        </w:rPr>
        <w:instrText xml:space="preserve"> PAGEREF _Toc392593226 \h </w:instrText>
      </w:r>
      <w:r w:rsidR="00654F44" w:rsidRPr="00654F44">
        <w:rPr>
          <w:b w:val="0"/>
          <w:noProof/>
          <w:sz w:val="18"/>
        </w:rPr>
      </w:r>
      <w:r w:rsidR="00654F44" w:rsidRPr="00654F44">
        <w:rPr>
          <w:b w:val="0"/>
          <w:noProof/>
          <w:sz w:val="18"/>
        </w:rPr>
        <w:fldChar w:fldCharType="separate"/>
      </w:r>
      <w:r w:rsidR="00654F44" w:rsidRPr="00654F44">
        <w:rPr>
          <w:b w:val="0"/>
          <w:noProof/>
          <w:sz w:val="18"/>
        </w:rPr>
        <w:t>1</w:t>
      </w:r>
      <w:r w:rsidR="00654F44"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w:t>
      </w:r>
      <w:r>
        <w:rPr>
          <w:noProof/>
        </w:rPr>
        <w:tab/>
        <w:t>Short title</w:t>
      </w:r>
      <w:r w:rsidRPr="00654F44">
        <w:rPr>
          <w:noProof/>
        </w:rPr>
        <w:tab/>
      </w:r>
      <w:r w:rsidRPr="00654F44">
        <w:rPr>
          <w:noProof/>
        </w:rPr>
        <w:fldChar w:fldCharType="begin"/>
      </w:r>
      <w:r w:rsidRPr="00654F44">
        <w:rPr>
          <w:noProof/>
        </w:rPr>
        <w:instrText xml:space="preserve"> PAGEREF _Toc392593227 \h </w:instrText>
      </w:r>
      <w:r w:rsidRPr="00654F44">
        <w:rPr>
          <w:noProof/>
        </w:rPr>
      </w:r>
      <w:r w:rsidRPr="00654F44">
        <w:rPr>
          <w:noProof/>
        </w:rPr>
        <w:fldChar w:fldCharType="separate"/>
      </w:r>
      <w:r w:rsidRPr="00654F44">
        <w:rPr>
          <w:noProof/>
        </w:rPr>
        <w:t>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w:t>
      </w:r>
      <w:r>
        <w:rPr>
          <w:noProof/>
        </w:rPr>
        <w:tab/>
        <w:t>Commencement</w:t>
      </w:r>
      <w:r w:rsidRPr="00654F44">
        <w:rPr>
          <w:noProof/>
        </w:rPr>
        <w:tab/>
      </w:r>
      <w:r w:rsidRPr="00654F44">
        <w:rPr>
          <w:noProof/>
        </w:rPr>
        <w:fldChar w:fldCharType="begin"/>
      </w:r>
      <w:r w:rsidRPr="00654F44">
        <w:rPr>
          <w:noProof/>
        </w:rPr>
        <w:instrText xml:space="preserve"> PAGEREF _Toc392593228 \h </w:instrText>
      </w:r>
      <w:r w:rsidRPr="00654F44">
        <w:rPr>
          <w:noProof/>
        </w:rPr>
      </w:r>
      <w:r w:rsidRPr="00654F44">
        <w:rPr>
          <w:noProof/>
        </w:rPr>
        <w:fldChar w:fldCharType="separate"/>
      </w:r>
      <w:r w:rsidRPr="00654F44">
        <w:rPr>
          <w:noProof/>
        </w:rPr>
        <w:t>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w:t>
      </w:r>
      <w:r>
        <w:rPr>
          <w:noProof/>
        </w:rPr>
        <w:tab/>
        <w:t>Repeal</w:t>
      </w:r>
      <w:r w:rsidRPr="00654F44">
        <w:rPr>
          <w:noProof/>
        </w:rPr>
        <w:tab/>
      </w:r>
      <w:r w:rsidRPr="00654F44">
        <w:rPr>
          <w:noProof/>
        </w:rPr>
        <w:fldChar w:fldCharType="begin"/>
      </w:r>
      <w:r w:rsidRPr="00654F44">
        <w:rPr>
          <w:noProof/>
        </w:rPr>
        <w:instrText xml:space="preserve"> PAGEREF _Toc392593229 \h </w:instrText>
      </w:r>
      <w:r w:rsidRPr="00654F44">
        <w:rPr>
          <w:noProof/>
        </w:rPr>
      </w:r>
      <w:r w:rsidRPr="00654F44">
        <w:rPr>
          <w:noProof/>
        </w:rPr>
        <w:fldChar w:fldCharType="separate"/>
      </w:r>
      <w:r w:rsidRPr="00654F44">
        <w:rPr>
          <w:noProof/>
        </w:rPr>
        <w:t>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w:t>
      </w:r>
      <w:r>
        <w:rPr>
          <w:noProof/>
        </w:rPr>
        <w:tab/>
        <w:t>Interpretation</w:t>
      </w:r>
      <w:r w:rsidRPr="00654F44">
        <w:rPr>
          <w:noProof/>
        </w:rPr>
        <w:tab/>
      </w:r>
      <w:r w:rsidRPr="00654F44">
        <w:rPr>
          <w:noProof/>
        </w:rPr>
        <w:fldChar w:fldCharType="begin"/>
      </w:r>
      <w:r w:rsidRPr="00654F44">
        <w:rPr>
          <w:noProof/>
        </w:rPr>
        <w:instrText xml:space="preserve"> PAGEREF _Toc392593230 \h </w:instrText>
      </w:r>
      <w:r w:rsidRPr="00654F44">
        <w:rPr>
          <w:noProof/>
        </w:rPr>
      </w:r>
      <w:r w:rsidRPr="00654F44">
        <w:rPr>
          <w:noProof/>
        </w:rPr>
        <w:fldChar w:fldCharType="separate"/>
      </w:r>
      <w:r w:rsidRPr="00654F44">
        <w:rPr>
          <w:noProof/>
        </w:rPr>
        <w:t>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7B4481">
        <w:rPr>
          <w:i/>
          <w:noProof/>
        </w:rPr>
        <w:t>Criminal Code</w:t>
      </w:r>
      <w:r w:rsidRPr="00654F44">
        <w:rPr>
          <w:noProof/>
        </w:rPr>
        <w:tab/>
      </w:r>
      <w:r w:rsidRPr="00654F44">
        <w:rPr>
          <w:noProof/>
        </w:rPr>
        <w:fldChar w:fldCharType="begin"/>
      </w:r>
      <w:r w:rsidRPr="00654F44">
        <w:rPr>
          <w:noProof/>
        </w:rPr>
        <w:instrText xml:space="preserve"> PAGEREF _Toc392593231 \h </w:instrText>
      </w:r>
      <w:r w:rsidRPr="00654F44">
        <w:rPr>
          <w:noProof/>
        </w:rPr>
      </w:r>
      <w:r w:rsidRPr="00654F44">
        <w:rPr>
          <w:noProof/>
        </w:rPr>
        <w:fldChar w:fldCharType="separate"/>
      </w:r>
      <w:r w:rsidRPr="00654F44">
        <w:rPr>
          <w:noProof/>
        </w:rPr>
        <w:t>3</w:t>
      </w:r>
      <w:r w:rsidRPr="00654F44">
        <w:rPr>
          <w:noProof/>
        </w:rPr>
        <w:fldChar w:fldCharType="end"/>
      </w:r>
    </w:p>
    <w:p w:rsidR="00654F44" w:rsidRDefault="00654F44">
      <w:pPr>
        <w:pStyle w:val="TOC2"/>
        <w:rPr>
          <w:rFonts w:asciiTheme="minorHAnsi" w:eastAsiaTheme="minorEastAsia" w:hAnsiTheme="minorHAnsi" w:cstheme="minorBidi"/>
          <w:b w:val="0"/>
          <w:noProof/>
          <w:kern w:val="0"/>
          <w:sz w:val="22"/>
          <w:szCs w:val="22"/>
        </w:rPr>
      </w:pPr>
      <w:r>
        <w:rPr>
          <w:noProof/>
        </w:rPr>
        <w:t>Part II—Constitution and seat of the High Court</w:t>
      </w:r>
      <w:r w:rsidRPr="00654F44">
        <w:rPr>
          <w:b w:val="0"/>
          <w:noProof/>
          <w:sz w:val="18"/>
        </w:rPr>
        <w:tab/>
      </w:r>
      <w:r w:rsidRPr="00654F44">
        <w:rPr>
          <w:b w:val="0"/>
          <w:noProof/>
          <w:sz w:val="18"/>
        </w:rPr>
        <w:fldChar w:fldCharType="begin"/>
      </w:r>
      <w:r w:rsidRPr="00654F44">
        <w:rPr>
          <w:b w:val="0"/>
          <w:noProof/>
          <w:sz w:val="18"/>
        </w:rPr>
        <w:instrText xml:space="preserve"> PAGEREF _Toc392593232 \h </w:instrText>
      </w:r>
      <w:r w:rsidRPr="00654F44">
        <w:rPr>
          <w:b w:val="0"/>
          <w:noProof/>
          <w:sz w:val="18"/>
        </w:rPr>
      </w:r>
      <w:r w:rsidRPr="00654F44">
        <w:rPr>
          <w:b w:val="0"/>
          <w:noProof/>
          <w:sz w:val="18"/>
        </w:rPr>
        <w:fldChar w:fldCharType="separate"/>
      </w:r>
      <w:r w:rsidRPr="00654F44">
        <w:rPr>
          <w:b w:val="0"/>
          <w:noProof/>
          <w:sz w:val="18"/>
        </w:rPr>
        <w:t>4</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Division 1—Justices of the High Court</w:t>
      </w:r>
      <w:r w:rsidRPr="00654F44">
        <w:rPr>
          <w:b w:val="0"/>
          <w:noProof/>
          <w:sz w:val="18"/>
        </w:rPr>
        <w:tab/>
      </w:r>
      <w:r w:rsidRPr="00654F44">
        <w:rPr>
          <w:b w:val="0"/>
          <w:noProof/>
          <w:sz w:val="18"/>
        </w:rPr>
        <w:fldChar w:fldCharType="begin"/>
      </w:r>
      <w:r w:rsidRPr="00654F44">
        <w:rPr>
          <w:b w:val="0"/>
          <w:noProof/>
          <w:sz w:val="18"/>
        </w:rPr>
        <w:instrText xml:space="preserve"> PAGEREF _Toc392593233 \h </w:instrText>
      </w:r>
      <w:r w:rsidRPr="00654F44">
        <w:rPr>
          <w:b w:val="0"/>
          <w:noProof/>
          <w:sz w:val="18"/>
        </w:rPr>
      </w:r>
      <w:r w:rsidRPr="00654F44">
        <w:rPr>
          <w:b w:val="0"/>
          <w:noProof/>
          <w:sz w:val="18"/>
        </w:rPr>
        <w:fldChar w:fldCharType="separate"/>
      </w:r>
      <w:r w:rsidRPr="00654F44">
        <w:rPr>
          <w:b w:val="0"/>
          <w:noProof/>
          <w:sz w:val="18"/>
        </w:rPr>
        <w:t>4</w:t>
      </w:r>
      <w:r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5</w:t>
      </w:r>
      <w:r>
        <w:rPr>
          <w:noProof/>
        </w:rPr>
        <w:tab/>
        <w:t>The High Court</w:t>
      </w:r>
      <w:r w:rsidRPr="00654F44">
        <w:rPr>
          <w:noProof/>
        </w:rPr>
        <w:tab/>
      </w:r>
      <w:r w:rsidRPr="00654F44">
        <w:rPr>
          <w:noProof/>
        </w:rPr>
        <w:fldChar w:fldCharType="begin"/>
      </w:r>
      <w:r w:rsidRPr="00654F44">
        <w:rPr>
          <w:noProof/>
        </w:rPr>
        <w:instrText xml:space="preserve"> PAGEREF _Toc392593234 \h </w:instrText>
      </w:r>
      <w:r w:rsidRPr="00654F44">
        <w:rPr>
          <w:noProof/>
        </w:rPr>
      </w:r>
      <w:r w:rsidRPr="00654F44">
        <w:rPr>
          <w:noProof/>
        </w:rPr>
        <w:fldChar w:fldCharType="separate"/>
      </w:r>
      <w:r w:rsidRPr="00654F44">
        <w:rPr>
          <w:noProof/>
        </w:rPr>
        <w:t>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6</w:t>
      </w:r>
      <w:r>
        <w:rPr>
          <w:noProof/>
        </w:rPr>
        <w:tab/>
        <w:t>Consultation with State Attorneys</w:t>
      </w:r>
      <w:r>
        <w:rPr>
          <w:noProof/>
        </w:rPr>
        <w:noBreakHyphen/>
        <w:t>General on appointment of Justices</w:t>
      </w:r>
      <w:r w:rsidRPr="00654F44">
        <w:rPr>
          <w:noProof/>
        </w:rPr>
        <w:tab/>
      </w:r>
      <w:r w:rsidRPr="00654F44">
        <w:rPr>
          <w:noProof/>
        </w:rPr>
        <w:fldChar w:fldCharType="begin"/>
      </w:r>
      <w:r w:rsidRPr="00654F44">
        <w:rPr>
          <w:noProof/>
        </w:rPr>
        <w:instrText xml:space="preserve"> PAGEREF _Toc392593235 \h </w:instrText>
      </w:r>
      <w:r w:rsidRPr="00654F44">
        <w:rPr>
          <w:noProof/>
        </w:rPr>
      </w:r>
      <w:r w:rsidRPr="00654F44">
        <w:rPr>
          <w:noProof/>
        </w:rPr>
        <w:fldChar w:fldCharType="separate"/>
      </w:r>
      <w:r w:rsidRPr="00654F44">
        <w:rPr>
          <w:noProof/>
        </w:rPr>
        <w:t>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7</w:t>
      </w:r>
      <w:r>
        <w:rPr>
          <w:noProof/>
        </w:rPr>
        <w:tab/>
        <w:t>Qualification of Justices</w:t>
      </w:r>
      <w:r w:rsidRPr="00654F44">
        <w:rPr>
          <w:noProof/>
        </w:rPr>
        <w:tab/>
      </w:r>
      <w:r w:rsidRPr="00654F44">
        <w:rPr>
          <w:noProof/>
        </w:rPr>
        <w:fldChar w:fldCharType="begin"/>
      </w:r>
      <w:r w:rsidRPr="00654F44">
        <w:rPr>
          <w:noProof/>
        </w:rPr>
        <w:instrText xml:space="preserve"> PAGEREF _Toc392593236 \h </w:instrText>
      </w:r>
      <w:r w:rsidRPr="00654F44">
        <w:rPr>
          <w:noProof/>
        </w:rPr>
      </w:r>
      <w:r w:rsidRPr="00654F44">
        <w:rPr>
          <w:noProof/>
        </w:rPr>
        <w:fldChar w:fldCharType="separate"/>
      </w:r>
      <w:r w:rsidRPr="00654F44">
        <w:rPr>
          <w:noProof/>
        </w:rPr>
        <w:t>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8</w:t>
      </w:r>
      <w:r>
        <w:rPr>
          <w:noProof/>
        </w:rPr>
        <w:tab/>
        <w:t>Seniority</w:t>
      </w:r>
      <w:r w:rsidRPr="00654F44">
        <w:rPr>
          <w:noProof/>
        </w:rPr>
        <w:tab/>
      </w:r>
      <w:r w:rsidRPr="00654F44">
        <w:rPr>
          <w:noProof/>
        </w:rPr>
        <w:fldChar w:fldCharType="begin"/>
      </w:r>
      <w:r w:rsidRPr="00654F44">
        <w:rPr>
          <w:noProof/>
        </w:rPr>
        <w:instrText xml:space="preserve"> PAGEREF _Toc392593237 \h </w:instrText>
      </w:r>
      <w:r w:rsidRPr="00654F44">
        <w:rPr>
          <w:noProof/>
        </w:rPr>
      </w:r>
      <w:r w:rsidRPr="00654F44">
        <w:rPr>
          <w:noProof/>
        </w:rPr>
        <w:fldChar w:fldCharType="separate"/>
      </w:r>
      <w:r w:rsidRPr="00654F44">
        <w:rPr>
          <w:noProof/>
        </w:rPr>
        <w:t>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9</w:t>
      </w:r>
      <w:r>
        <w:rPr>
          <w:noProof/>
        </w:rPr>
        <w:tab/>
        <w:t>Acting Chief Justice</w:t>
      </w:r>
      <w:r w:rsidRPr="00654F44">
        <w:rPr>
          <w:noProof/>
        </w:rPr>
        <w:tab/>
      </w:r>
      <w:r w:rsidRPr="00654F44">
        <w:rPr>
          <w:noProof/>
        </w:rPr>
        <w:fldChar w:fldCharType="begin"/>
      </w:r>
      <w:r w:rsidRPr="00654F44">
        <w:rPr>
          <w:noProof/>
        </w:rPr>
        <w:instrText xml:space="preserve"> PAGEREF _Toc392593238 \h </w:instrText>
      </w:r>
      <w:r w:rsidRPr="00654F44">
        <w:rPr>
          <w:noProof/>
        </w:rPr>
      </w:r>
      <w:r w:rsidRPr="00654F44">
        <w:rPr>
          <w:noProof/>
        </w:rPr>
        <w:fldChar w:fldCharType="separate"/>
      </w:r>
      <w:r w:rsidRPr="00654F44">
        <w:rPr>
          <w:noProof/>
        </w:rPr>
        <w:t>5</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10</w:t>
      </w:r>
      <w:r>
        <w:rPr>
          <w:noProof/>
        </w:rPr>
        <w:tab/>
        <w:t>Justices not to hold other office</w:t>
      </w:r>
      <w:r w:rsidRPr="00654F44">
        <w:rPr>
          <w:noProof/>
        </w:rPr>
        <w:tab/>
      </w:r>
      <w:r w:rsidRPr="00654F44">
        <w:rPr>
          <w:noProof/>
        </w:rPr>
        <w:fldChar w:fldCharType="begin"/>
      </w:r>
      <w:r w:rsidRPr="00654F44">
        <w:rPr>
          <w:noProof/>
        </w:rPr>
        <w:instrText xml:space="preserve"> PAGEREF _Toc392593239 \h </w:instrText>
      </w:r>
      <w:r w:rsidRPr="00654F44">
        <w:rPr>
          <w:noProof/>
        </w:rPr>
      </w:r>
      <w:r w:rsidRPr="00654F44">
        <w:rPr>
          <w:noProof/>
        </w:rPr>
        <w:fldChar w:fldCharType="separate"/>
      </w:r>
      <w:r w:rsidRPr="00654F44">
        <w:rPr>
          <w:noProof/>
        </w:rPr>
        <w:t>5</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11</w:t>
      </w:r>
      <w:r>
        <w:rPr>
          <w:noProof/>
        </w:rPr>
        <w:tab/>
        <w:t>Oath or affirmation of allegiance and of office</w:t>
      </w:r>
      <w:r w:rsidRPr="00654F44">
        <w:rPr>
          <w:noProof/>
        </w:rPr>
        <w:tab/>
      </w:r>
      <w:r w:rsidRPr="00654F44">
        <w:rPr>
          <w:noProof/>
        </w:rPr>
        <w:fldChar w:fldCharType="begin"/>
      </w:r>
      <w:r w:rsidRPr="00654F44">
        <w:rPr>
          <w:noProof/>
        </w:rPr>
        <w:instrText xml:space="preserve"> PAGEREF _Toc392593240 \h </w:instrText>
      </w:r>
      <w:r w:rsidRPr="00654F44">
        <w:rPr>
          <w:noProof/>
        </w:rPr>
      </w:r>
      <w:r w:rsidRPr="00654F44">
        <w:rPr>
          <w:noProof/>
        </w:rPr>
        <w:fldChar w:fldCharType="separate"/>
      </w:r>
      <w:r w:rsidRPr="00654F44">
        <w:rPr>
          <w:noProof/>
        </w:rPr>
        <w:t>5</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12</w:t>
      </w:r>
      <w:r>
        <w:rPr>
          <w:noProof/>
        </w:rPr>
        <w:tab/>
        <w:t>Salary and allowances</w:t>
      </w:r>
      <w:r w:rsidRPr="00654F44">
        <w:rPr>
          <w:noProof/>
        </w:rPr>
        <w:tab/>
      </w:r>
      <w:r w:rsidRPr="00654F44">
        <w:rPr>
          <w:noProof/>
        </w:rPr>
        <w:fldChar w:fldCharType="begin"/>
      </w:r>
      <w:r w:rsidRPr="00654F44">
        <w:rPr>
          <w:noProof/>
        </w:rPr>
        <w:instrText xml:space="preserve"> PAGEREF _Toc392593241 \h </w:instrText>
      </w:r>
      <w:r w:rsidRPr="00654F44">
        <w:rPr>
          <w:noProof/>
        </w:rPr>
      </w:r>
      <w:r w:rsidRPr="00654F44">
        <w:rPr>
          <w:noProof/>
        </w:rPr>
        <w:fldChar w:fldCharType="separate"/>
      </w:r>
      <w:r w:rsidRPr="00654F44">
        <w:rPr>
          <w:noProof/>
        </w:rPr>
        <w:t>5</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13</w:t>
      </w:r>
      <w:r>
        <w:rPr>
          <w:noProof/>
        </w:rPr>
        <w:tab/>
        <w:t xml:space="preserve"> Appropriation</w:t>
      </w:r>
      <w:r w:rsidRPr="00654F44">
        <w:rPr>
          <w:noProof/>
        </w:rPr>
        <w:tab/>
      </w:r>
      <w:r w:rsidRPr="00654F44">
        <w:rPr>
          <w:noProof/>
        </w:rPr>
        <w:fldChar w:fldCharType="begin"/>
      </w:r>
      <w:r w:rsidRPr="00654F44">
        <w:rPr>
          <w:noProof/>
        </w:rPr>
        <w:instrText xml:space="preserve"> PAGEREF _Toc392593242 \h </w:instrText>
      </w:r>
      <w:r w:rsidRPr="00654F44">
        <w:rPr>
          <w:noProof/>
        </w:rPr>
      </w:r>
      <w:r w:rsidRPr="00654F44">
        <w:rPr>
          <w:noProof/>
        </w:rPr>
        <w:fldChar w:fldCharType="separate"/>
      </w:r>
      <w:r w:rsidRPr="00654F44">
        <w:rPr>
          <w:noProof/>
        </w:rPr>
        <w:t>6</w:t>
      </w:r>
      <w:r w:rsidRPr="00654F44">
        <w:rPr>
          <w:noProof/>
        </w:rPr>
        <w:fldChar w:fldCharType="end"/>
      </w:r>
    </w:p>
    <w:p w:rsidR="00654F44" w:rsidRDefault="00654F44">
      <w:pPr>
        <w:pStyle w:val="TOC3"/>
        <w:rPr>
          <w:rFonts w:asciiTheme="minorHAnsi" w:eastAsiaTheme="minorEastAsia" w:hAnsiTheme="minorHAnsi" w:cstheme="minorBidi"/>
          <w:b w:val="0"/>
          <w:noProof/>
          <w:kern w:val="0"/>
          <w:szCs w:val="22"/>
        </w:rPr>
      </w:pPr>
      <w:r>
        <w:rPr>
          <w:noProof/>
        </w:rPr>
        <w:t>Division 2—Seat of the High Court</w:t>
      </w:r>
      <w:r w:rsidRPr="00654F44">
        <w:rPr>
          <w:b w:val="0"/>
          <w:noProof/>
          <w:sz w:val="18"/>
        </w:rPr>
        <w:tab/>
      </w:r>
      <w:r w:rsidRPr="00654F44">
        <w:rPr>
          <w:b w:val="0"/>
          <w:noProof/>
          <w:sz w:val="18"/>
        </w:rPr>
        <w:fldChar w:fldCharType="begin"/>
      </w:r>
      <w:r w:rsidRPr="00654F44">
        <w:rPr>
          <w:b w:val="0"/>
          <w:noProof/>
          <w:sz w:val="18"/>
        </w:rPr>
        <w:instrText xml:space="preserve"> PAGEREF _Toc392593243 \h </w:instrText>
      </w:r>
      <w:r w:rsidRPr="00654F44">
        <w:rPr>
          <w:b w:val="0"/>
          <w:noProof/>
          <w:sz w:val="18"/>
        </w:rPr>
      </w:r>
      <w:r w:rsidRPr="00654F44">
        <w:rPr>
          <w:b w:val="0"/>
          <w:noProof/>
          <w:sz w:val="18"/>
        </w:rPr>
        <w:fldChar w:fldCharType="separate"/>
      </w:r>
      <w:r w:rsidRPr="00654F44">
        <w:rPr>
          <w:b w:val="0"/>
          <w:noProof/>
          <w:sz w:val="18"/>
        </w:rPr>
        <w:t>7</w:t>
      </w:r>
      <w:r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14</w:t>
      </w:r>
      <w:r>
        <w:rPr>
          <w:noProof/>
        </w:rPr>
        <w:tab/>
        <w:t>Seat</w:t>
      </w:r>
      <w:r w:rsidRPr="00654F44">
        <w:rPr>
          <w:noProof/>
        </w:rPr>
        <w:tab/>
      </w:r>
      <w:r w:rsidRPr="00654F44">
        <w:rPr>
          <w:noProof/>
        </w:rPr>
        <w:fldChar w:fldCharType="begin"/>
      </w:r>
      <w:r w:rsidRPr="00654F44">
        <w:rPr>
          <w:noProof/>
        </w:rPr>
        <w:instrText xml:space="preserve"> PAGEREF _Toc392593244 \h </w:instrText>
      </w:r>
      <w:r w:rsidRPr="00654F44">
        <w:rPr>
          <w:noProof/>
        </w:rPr>
      </w:r>
      <w:r w:rsidRPr="00654F44">
        <w:rPr>
          <w:noProof/>
        </w:rPr>
        <w:fldChar w:fldCharType="separate"/>
      </w:r>
      <w:r w:rsidRPr="00654F44">
        <w:rPr>
          <w:noProof/>
        </w:rPr>
        <w:t>7</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15</w:t>
      </w:r>
      <w:r>
        <w:rPr>
          <w:noProof/>
        </w:rPr>
        <w:tab/>
        <w:t>Places of sittings</w:t>
      </w:r>
      <w:r w:rsidRPr="00654F44">
        <w:rPr>
          <w:noProof/>
        </w:rPr>
        <w:tab/>
      </w:r>
      <w:r w:rsidRPr="00654F44">
        <w:rPr>
          <w:noProof/>
        </w:rPr>
        <w:fldChar w:fldCharType="begin"/>
      </w:r>
      <w:r w:rsidRPr="00654F44">
        <w:rPr>
          <w:noProof/>
        </w:rPr>
        <w:instrText xml:space="preserve"> PAGEREF _Toc392593245 \h </w:instrText>
      </w:r>
      <w:r w:rsidRPr="00654F44">
        <w:rPr>
          <w:noProof/>
        </w:rPr>
      </w:r>
      <w:r w:rsidRPr="00654F44">
        <w:rPr>
          <w:noProof/>
        </w:rPr>
        <w:fldChar w:fldCharType="separate"/>
      </w:r>
      <w:r w:rsidRPr="00654F44">
        <w:rPr>
          <w:noProof/>
        </w:rPr>
        <w:t>7</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16</w:t>
      </w:r>
      <w:r>
        <w:rPr>
          <w:noProof/>
        </w:rPr>
        <w:tab/>
        <w:t>Judgment may be pronounced at any sitting</w:t>
      </w:r>
      <w:r w:rsidRPr="00654F44">
        <w:rPr>
          <w:noProof/>
        </w:rPr>
        <w:tab/>
      </w:r>
      <w:r w:rsidRPr="00654F44">
        <w:rPr>
          <w:noProof/>
        </w:rPr>
        <w:fldChar w:fldCharType="begin"/>
      </w:r>
      <w:r w:rsidRPr="00654F44">
        <w:rPr>
          <w:noProof/>
        </w:rPr>
        <w:instrText xml:space="preserve"> PAGEREF _Toc392593246 \h </w:instrText>
      </w:r>
      <w:r w:rsidRPr="00654F44">
        <w:rPr>
          <w:noProof/>
        </w:rPr>
      </w:r>
      <w:r w:rsidRPr="00654F44">
        <w:rPr>
          <w:noProof/>
        </w:rPr>
        <w:fldChar w:fldCharType="separate"/>
      </w:r>
      <w:r w:rsidRPr="00654F44">
        <w:rPr>
          <w:noProof/>
        </w:rPr>
        <w:t>7</w:t>
      </w:r>
      <w:r w:rsidRPr="00654F44">
        <w:rPr>
          <w:noProof/>
        </w:rPr>
        <w:fldChar w:fldCharType="end"/>
      </w:r>
    </w:p>
    <w:p w:rsidR="00654F44" w:rsidRDefault="00654F44">
      <w:pPr>
        <w:pStyle w:val="TOC2"/>
        <w:rPr>
          <w:rFonts w:asciiTheme="minorHAnsi" w:eastAsiaTheme="minorEastAsia" w:hAnsiTheme="minorHAnsi" w:cstheme="minorBidi"/>
          <w:b w:val="0"/>
          <w:noProof/>
          <w:kern w:val="0"/>
          <w:sz w:val="22"/>
          <w:szCs w:val="22"/>
        </w:rPr>
      </w:pPr>
      <w:r>
        <w:rPr>
          <w:noProof/>
        </w:rPr>
        <w:t>Part III—Administration of the High Court</w:t>
      </w:r>
      <w:r w:rsidRPr="00654F44">
        <w:rPr>
          <w:b w:val="0"/>
          <w:noProof/>
          <w:sz w:val="18"/>
        </w:rPr>
        <w:tab/>
      </w:r>
      <w:r w:rsidRPr="00654F44">
        <w:rPr>
          <w:b w:val="0"/>
          <w:noProof/>
          <w:sz w:val="18"/>
        </w:rPr>
        <w:fldChar w:fldCharType="begin"/>
      </w:r>
      <w:r w:rsidRPr="00654F44">
        <w:rPr>
          <w:b w:val="0"/>
          <w:noProof/>
          <w:sz w:val="18"/>
        </w:rPr>
        <w:instrText xml:space="preserve"> PAGEREF _Toc392593247 \h </w:instrText>
      </w:r>
      <w:r w:rsidRPr="00654F44">
        <w:rPr>
          <w:b w:val="0"/>
          <w:noProof/>
          <w:sz w:val="18"/>
        </w:rPr>
      </w:r>
      <w:r w:rsidRPr="00654F44">
        <w:rPr>
          <w:b w:val="0"/>
          <w:noProof/>
          <w:sz w:val="18"/>
        </w:rPr>
        <w:fldChar w:fldCharType="separate"/>
      </w:r>
      <w:r w:rsidRPr="00654F44">
        <w:rPr>
          <w:b w:val="0"/>
          <w:noProof/>
          <w:sz w:val="18"/>
        </w:rPr>
        <w:t>8</w:t>
      </w:r>
      <w:r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17</w:t>
      </w:r>
      <w:r>
        <w:rPr>
          <w:noProof/>
        </w:rPr>
        <w:tab/>
        <w:t>Administration of the Court</w:t>
      </w:r>
      <w:r w:rsidRPr="00654F44">
        <w:rPr>
          <w:noProof/>
        </w:rPr>
        <w:tab/>
      </w:r>
      <w:r w:rsidRPr="00654F44">
        <w:rPr>
          <w:noProof/>
        </w:rPr>
        <w:fldChar w:fldCharType="begin"/>
      </w:r>
      <w:r w:rsidRPr="00654F44">
        <w:rPr>
          <w:noProof/>
        </w:rPr>
        <w:instrText xml:space="preserve"> PAGEREF _Toc392593248 \h </w:instrText>
      </w:r>
      <w:r w:rsidRPr="00654F44">
        <w:rPr>
          <w:noProof/>
        </w:rPr>
      </w:r>
      <w:r w:rsidRPr="00654F44">
        <w:rPr>
          <w:noProof/>
        </w:rPr>
        <w:fldChar w:fldCharType="separate"/>
      </w:r>
      <w:r w:rsidRPr="00654F44">
        <w:rPr>
          <w:noProof/>
        </w:rPr>
        <w:t>8</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18</w:t>
      </w:r>
      <w:r>
        <w:rPr>
          <w:noProof/>
        </w:rPr>
        <w:tab/>
        <w:t>Chief Executive and Principal Registrar of the Court</w:t>
      </w:r>
      <w:r w:rsidRPr="00654F44">
        <w:rPr>
          <w:noProof/>
        </w:rPr>
        <w:tab/>
      </w:r>
      <w:r w:rsidRPr="00654F44">
        <w:rPr>
          <w:noProof/>
        </w:rPr>
        <w:fldChar w:fldCharType="begin"/>
      </w:r>
      <w:r w:rsidRPr="00654F44">
        <w:rPr>
          <w:noProof/>
        </w:rPr>
        <w:instrText xml:space="preserve"> PAGEREF _Toc392593249 \h </w:instrText>
      </w:r>
      <w:r w:rsidRPr="00654F44">
        <w:rPr>
          <w:noProof/>
        </w:rPr>
      </w:r>
      <w:r w:rsidRPr="00654F44">
        <w:rPr>
          <w:noProof/>
        </w:rPr>
        <w:fldChar w:fldCharType="separate"/>
      </w:r>
      <w:r w:rsidRPr="00654F44">
        <w:rPr>
          <w:noProof/>
        </w:rPr>
        <w:t>9</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19</w:t>
      </w:r>
      <w:r>
        <w:rPr>
          <w:noProof/>
        </w:rPr>
        <w:tab/>
        <w:t>Functions and powers of the Chief Executive and Principal Registrar</w:t>
      </w:r>
      <w:r w:rsidRPr="00654F44">
        <w:rPr>
          <w:noProof/>
        </w:rPr>
        <w:tab/>
      </w:r>
      <w:r w:rsidRPr="00654F44">
        <w:rPr>
          <w:noProof/>
        </w:rPr>
        <w:fldChar w:fldCharType="begin"/>
      </w:r>
      <w:r w:rsidRPr="00654F44">
        <w:rPr>
          <w:noProof/>
        </w:rPr>
        <w:instrText xml:space="preserve"> PAGEREF _Toc392593250 \h </w:instrText>
      </w:r>
      <w:r w:rsidRPr="00654F44">
        <w:rPr>
          <w:noProof/>
        </w:rPr>
      </w:r>
      <w:r w:rsidRPr="00654F44">
        <w:rPr>
          <w:noProof/>
        </w:rPr>
        <w:fldChar w:fldCharType="separate"/>
      </w:r>
      <w:r w:rsidRPr="00654F44">
        <w:rPr>
          <w:noProof/>
        </w:rPr>
        <w:t>9</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20</w:t>
      </w:r>
      <w:r>
        <w:rPr>
          <w:noProof/>
        </w:rPr>
        <w:tab/>
        <w:t>Terms and conditions of appointment</w:t>
      </w:r>
      <w:r w:rsidRPr="00654F44">
        <w:rPr>
          <w:noProof/>
        </w:rPr>
        <w:tab/>
      </w:r>
      <w:r w:rsidRPr="00654F44">
        <w:rPr>
          <w:noProof/>
        </w:rPr>
        <w:fldChar w:fldCharType="begin"/>
      </w:r>
      <w:r w:rsidRPr="00654F44">
        <w:rPr>
          <w:noProof/>
        </w:rPr>
        <w:instrText xml:space="preserve"> PAGEREF _Toc392593251 \h </w:instrText>
      </w:r>
      <w:r w:rsidRPr="00654F44">
        <w:rPr>
          <w:noProof/>
        </w:rPr>
      </w:r>
      <w:r w:rsidRPr="00654F44">
        <w:rPr>
          <w:noProof/>
        </w:rPr>
        <w:fldChar w:fldCharType="separate"/>
      </w:r>
      <w:r w:rsidRPr="00654F44">
        <w:rPr>
          <w:noProof/>
        </w:rPr>
        <w:t>10</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21</w:t>
      </w:r>
      <w:r>
        <w:rPr>
          <w:noProof/>
        </w:rPr>
        <w:tab/>
        <w:t>Remuneration and allowances</w:t>
      </w:r>
      <w:r w:rsidRPr="00654F44">
        <w:rPr>
          <w:noProof/>
        </w:rPr>
        <w:tab/>
      </w:r>
      <w:r w:rsidRPr="00654F44">
        <w:rPr>
          <w:noProof/>
        </w:rPr>
        <w:fldChar w:fldCharType="begin"/>
      </w:r>
      <w:r w:rsidRPr="00654F44">
        <w:rPr>
          <w:noProof/>
        </w:rPr>
        <w:instrText xml:space="preserve"> PAGEREF _Toc392593252 \h </w:instrText>
      </w:r>
      <w:r w:rsidRPr="00654F44">
        <w:rPr>
          <w:noProof/>
        </w:rPr>
      </w:r>
      <w:r w:rsidRPr="00654F44">
        <w:rPr>
          <w:noProof/>
        </w:rPr>
        <w:fldChar w:fldCharType="separate"/>
      </w:r>
      <w:r w:rsidRPr="00654F44">
        <w:rPr>
          <w:noProof/>
        </w:rPr>
        <w:t>10</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22</w:t>
      </w:r>
      <w:r>
        <w:rPr>
          <w:noProof/>
        </w:rPr>
        <w:tab/>
        <w:t>Leave of absence</w:t>
      </w:r>
      <w:r w:rsidRPr="00654F44">
        <w:rPr>
          <w:noProof/>
        </w:rPr>
        <w:tab/>
      </w:r>
      <w:r w:rsidRPr="00654F44">
        <w:rPr>
          <w:noProof/>
        </w:rPr>
        <w:fldChar w:fldCharType="begin"/>
      </w:r>
      <w:r w:rsidRPr="00654F44">
        <w:rPr>
          <w:noProof/>
        </w:rPr>
        <w:instrText xml:space="preserve"> PAGEREF _Toc392593253 \h </w:instrText>
      </w:r>
      <w:r w:rsidRPr="00654F44">
        <w:rPr>
          <w:noProof/>
        </w:rPr>
      </w:r>
      <w:r w:rsidRPr="00654F44">
        <w:rPr>
          <w:noProof/>
        </w:rPr>
        <w:fldChar w:fldCharType="separate"/>
      </w:r>
      <w:r w:rsidRPr="00654F44">
        <w:rPr>
          <w:noProof/>
        </w:rPr>
        <w:t>11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23</w:t>
      </w:r>
      <w:r>
        <w:rPr>
          <w:noProof/>
        </w:rPr>
        <w:tab/>
        <w:t>Resignation</w:t>
      </w:r>
      <w:r w:rsidRPr="00654F44">
        <w:rPr>
          <w:noProof/>
        </w:rPr>
        <w:tab/>
      </w:r>
      <w:r w:rsidRPr="00654F44">
        <w:rPr>
          <w:noProof/>
        </w:rPr>
        <w:fldChar w:fldCharType="begin"/>
      </w:r>
      <w:r w:rsidRPr="00654F44">
        <w:rPr>
          <w:noProof/>
        </w:rPr>
        <w:instrText xml:space="preserve"> PAGEREF _Toc392593254 \h </w:instrText>
      </w:r>
      <w:r w:rsidRPr="00654F44">
        <w:rPr>
          <w:noProof/>
        </w:rPr>
      </w:r>
      <w:r w:rsidRPr="00654F44">
        <w:rPr>
          <w:noProof/>
        </w:rPr>
        <w:fldChar w:fldCharType="separate"/>
      </w:r>
      <w:r w:rsidRPr="00654F44">
        <w:rPr>
          <w:noProof/>
        </w:rPr>
        <w:t>11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24</w:t>
      </w:r>
      <w:r>
        <w:rPr>
          <w:noProof/>
        </w:rPr>
        <w:tab/>
        <w:t>Termination of appointment</w:t>
      </w:r>
      <w:r w:rsidRPr="00654F44">
        <w:rPr>
          <w:noProof/>
        </w:rPr>
        <w:tab/>
      </w:r>
      <w:r w:rsidRPr="00654F44">
        <w:rPr>
          <w:noProof/>
        </w:rPr>
        <w:fldChar w:fldCharType="begin"/>
      </w:r>
      <w:r w:rsidRPr="00654F44">
        <w:rPr>
          <w:noProof/>
        </w:rPr>
        <w:instrText xml:space="preserve"> PAGEREF _Toc392593255 \h </w:instrText>
      </w:r>
      <w:r w:rsidRPr="00654F44">
        <w:rPr>
          <w:noProof/>
        </w:rPr>
      </w:r>
      <w:r w:rsidRPr="00654F44">
        <w:rPr>
          <w:noProof/>
        </w:rPr>
        <w:fldChar w:fldCharType="separate"/>
      </w:r>
      <w:r w:rsidRPr="00654F44">
        <w:rPr>
          <w:noProof/>
        </w:rPr>
        <w:t>11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25</w:t>
      </w:r>
      <w:r>
        <w:rPr>
          <w:noProof/>
        </w:rPr>
        <w:tab/>
        <w:t>Acting Chief Executive and Principal Registrar</w:t>
      </w:r>
      <w:r w:rsidRPr="00654F44">
        <w:rPr>
          <w:noProof/>
        </w:rPr>
        <w:tab/>
      </w:r>
      <w:r w:rsidRPr="00654F44">
        <w:rPr>
          <w:noProof/>
        </w:rPr>
        <w:fldChar w:fldCharType="begin"/>
      </w:r>
      <w:r w:rsidRPr="00654F44">
        <w:rPr>
          <w:noProof/>
        </w:rPr>
        <w:instrText xml:space="preserve"> PAGEREF _Toc392593256 \h </w:instrText>
      </w:r>
      <w:r w:rsidRPr="00654F44">
        <w:rPr>
          <w:noProof/>
        </w:rPr>
      </w:r>
      <w:r w:rsidRPr="00654F44">
        <w:rPr>
          <w:noProof/>
        </w:rPr>
        <w:fldChar w:fldCharType="separate"/>
      </w:r>
      <w:r w:rsidRPr="00654F44">
        <w:rPr>
          <w:noProof/>
        </w:rPr>
        <w:t>12</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26</w:t>
      </w:r>
      <w:r>
        <w:rPr>
          <w:noProof/>
        </w:rPr>
        <w:tab/>
        <w:t>Officers and employees</w:t>
      </w:r>
      <w:r w:rsidRPr="00654F44">
        <w:rPr>
          <w:noProof/>
        </w:rPr>
        <w:tab/>
      </w:r>
      <w:r w:rsidRPr="00654F44">
        <w:rPr>
          <w:noProof/>
        </w:rPr>
        <w:fldChar w:fldCharType="begin"/>
      </w:r>
      <w:r w:rsidRPr="00654F44">
        <w:rPr>
          <w:noProof/>
        </w:rPr>
        <w:instrText xml:space="preserve"> PAGEREF _Toc392593257 \h </w:instrText>
      </w:r>
      <w:r w:rsidRPr="00654F44">
        <w:rPr>
          <w:noProof/>
        </w:rPr>
      </w:r>
      <w:r w:rsidRPr="00654F44">
        <w:rPr>
          <w:noProof/>
        </w:rPr>
        <w:fldChar w:fldCharType="separate"/>
      </w:r>
      <w:r w:rsidRPr="00654F44">
        <w:rPr>
          <w:noProof/>
        </w:rPr>
        <w:t>13</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27</w:t>
      </w:r>
      <w:r>
        <w:rPr>
          <w:noProof/>
        </w:rPr>
        <w:tab/>
        <w:t>Marshal and Deputy Marshals</w:t>
      </w:r>
      <w:r w:rsidRPr="00654F44">
        <w:rPr>
          <w:noProof/>
        </w:rPr>
        <w:tab/>
      </w:r>
      <w:r w:rsidRPr="00654F44">
        <w:rPr>
          <w:noProof/>
        </w:rPr>
        <w:fldChar w:fldCharType="begin"/>
      </w:r>
      <w:r w:rsidRPr="00654F44">
        <w:rPr>
          <w:noProof/>
        </w:rPr>
        <w:instrText xml:space="preserve"> PAGEREF _Toc392593258 \h </w:instrText>
      </w:r>
      <w:r w:rsidRPr="00654F44">
        <w:rPr>
          <w:noProof/>
        </w:rPr>
      </w:r>
      <w:r w:rsidRPr="00654F44">
        <w:rPr>
          <w:noProof/>
        </w:rPr>
        <w:fldChar w:fldCharType="separate"/>
      </w:r>
      <w:r w:rsidRPr="00654F44">
        <w:rPr>
          <w:noProof/>
        </w:rPr>
        <w:t>14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28</w:t>
      </w:r>
      <w:r>
        <w:rPr>
          <w:noProof/>
        </w:rPr>
        <w:tab/>
        <w:t>Certain officers may administer oaths and affirmations</w:t>
      </w:r>
      <w:r w:rsidRPr="00654F44">
        <w:rPr>
          <w:noProof/>
        </w:rPr>
        <w:tab/>
      </w:r>
      <w:r w:rsidRPr="00654F44">
        <w:rPr>
          <w:noProof/>
        </w:rPr>
        <w:fldChar w:fldCharType="begin"/>
      </w:r>
      <w:r w:rsidRPr="00654F44">
        <w:rPr>
          <w:noProof/>
        </w:rPr>
        <w:instrText xml:space="preserve"> PAGEREF _Toc392593259 \h </w:instrText>
      </w:r>
      <w:r w:rsidRPr="00654F44">
        <w:rPr>
          <w:noProof/>
        </w:rPr>
      </w:r>
      <w:r w:rsidRPr="00654F44">
        <w:rPr>
          <w:noProof/>
        </w:rPr>
        <w:fldChar w:fldCharType="separate"/>
      </w:r>
      <w:r w:rsidRPr="00654F44">
        <w:rPr>
          <w:noProof/>
        </w:rPr>
        <w:t>15</w:t>
      </w:r>
      <w:r w:rsidRPr="00654F44">
        <w:rPr>
          <w:noProof/>
        </w:rPr>
        <w:fldChar w:fldCharType="end"/>
      </w:r>
    </w:p>
    <w:p w:rsidR="00654F44" w:rsidRDefault="00654F44">
      <w:pPr>
        <w:pStyle w:val="TOC2"/>
        <w:rPr>
          <w:rFonts w:asciiTheme="minorHAnsi" w:eastAsiaTheme="minorEastAsia" w:hAnsiTheme="minorHAnsi" w:cstheme="minorBidi"/>
          <w:b w:val="0"/>
          <w:noProof/>
          <w:kern w:val="0"/>
          <w:sz w:val="22"/>
          <w:szCs w:val="22"/>
        </w:rPr>
      </w:pPr>
      <w:r>
        <w:rPr>
          <w:noProof/>
        </w:rPr>
        <w:lastRenderedPageBreak/>
        <w:t>Part IV—Registry and procedure</w:t>
      </w:r>
      <w:r w:rsidRPr="00654F44">
        <w:rPr>
          <w:b w:val="0"/>
          <w:noProof/>
          <w:sz w:val="18"/>
        </w:rPr>
        <w:tab/>
      </w:r>
      <w:r w:rsidRPr="00654F44">
        <w:rPr>
          <w:b w:val="0"/>
          <w:noProof/>
          <w:sz w:val="18"/>
        </w:rPr>
        <w:fldChar w:fldCharType="begin"/>
      </w:r>
      <w:r w:rsidRPr="00654F44">
        <w:rPr>
          <w:b w:val="0"/>
          <w:noProof/>
          <w:sz w:val="18"/>
        </w:rPr>
        <w:instrText xml:space="preserve"> PAGEREF _Toc392593260 \h </w:instrText>
      </w:r>
      <w:r w:rsidRPr="00654F44">
        <w:rPr>
          <w:b w:val="0"/>
          <w:noProof/>
          <w:sz w:val="18"/>
        </w:rPr>
      </w:r>
      <w:r w:rsidRPr="00654F44">
        <w:rPr>
          <w:b w:val="0"/>
          <w:noProof/>
          <w:sz w:val="18"/>
        </w:rPr>
        <w:fldChar w:fldCharType="separate"/>
      </w:r>
      <w:r w:rsidRPr="00654F44">
        <w:rPr>
          <w:b w:val="0"/>
          <w:noProof/>
          <w:sz w:val="18"/>
        </w:rPr>
        <w:t>16</w:t>
      </w:r>
      <w:r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30</w:t>
      </w:r>
      <w:r>
        <w:rPr>
          <w:noProof/>
        </w:rPr>
        <w:tab/>
        <w:t>Registry</w:t>
      </w:r>
      <w:r w:rsidRPr="00654F44">
        <w:rPr>
          <w:noProof/>
        </w:rPr>
        <w:tab/>
      </w:r>
      <w:r w:rsidRPr="00654F44">
        <w:rPr>
          <w:noProof/>
        </w:rPr>
        <w:fldChar w:fldCharType="begin"/>
      </w:r>
      <w:r w:rsidRPr="00654F44">
        <w:rPr>
          <w:noProof/>
        </w:rPr>
        <w:instrText xml:space="preserve"> PAGEREF _Toc392593261 \h </w:instrText>
      </w:r>
      <w:r w:rsidRPr="00654F44">
        <w:rPr>
          <w:noProof/>
        </w:rPr>
      </w:r>
      <w:r w:rsidRPr="00654F44">
        <w:rPr>
          <w:noProof/>
        </w:rPr>
        <w:fldChar w:fldCharType="separate"/>
      </w:r>
      <w:r w:rsidRPr="00654F44">
        <w:rPr>
          <w:noProof/>
        </w:rPr>
        <w:t>16</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31</w:t>
      </w:r>
      <w:r>
        <w:rPr>
          <w:noProof/>
        </w:rPr>
        <w:tab/>
        <w:t>Transfer of proceedings</w:t>
      </w:r>
      <w:r w:rsidRPr="00654F44">
        <w:rPr>
          <w:noProof/>
        </w:rPr>
        <w:tab/>
      </w:r>
      <w:r w:rsidRPr="00654F44">
        <w:rPr>
          <w:noProof/>
        </w:rPr>
        <w:fldChar w:fldCharType="begin"/>
      </w:r>
      <w:r w:rsidRPr="00654F44">
        <w:rPr>
          <w:noProof/>
        </w:rPr>
        <w:instrText xml:space="preserve"> PAGEREF _Toc392593262 \h </w:instrText>
      </w:r>
      <w:r w:rsidRPr="00654F44">
        <w:rPr>
          <w:noProof/>
        </w:rPr>
      </w:r>
      <w:r w:rsidRPr="00654F44">
        <w:rPr>
          <w:noProof/>
        </w:rPr>
        <w:fldChar w:fldCharType="separate"/>
      </w:r>
      <w:r w:rsidRPr="00654F44">
        <w:rPr>
          <w:noProof/>
        </w:rPr>
        <w:t>17</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32</w:t>
      </w:r>
      <w:r>
        <w:rPr>
          <w:noProof/>
        </w:rPr>
        <w:tab/>
        <w:t>Seals</w:t>
      </w:r>
      <w:r w:rsidRPr="00654F44">
        <w:rPr>
          <w:noProof/>
        </w:rPr>
        <w:tab/>
      </w:r>
      <w:r w:rsidRPr="00654F44">
        <w:rPr>
          <w:noProof/>
        </w:rPr>
        <w:fldChar w:fldCharType="begin"/>
      </w:r>
      <w:r w:rsidRPr="00654F44">
        <w:rPr>
          <w:noProof/>
        </w:rPr>
        <w:instrText xml:space="preserve"> PAGEREF _Toc392593263 \h </w:instrText>
      </w:r>
      <w:r w:rsidRPr="00654F44">
        <w:rPr>
          <w:noProof/>
        </w:rPr>
      </w:r>
      <w:r w:rsidRPr="00654F44">
        <w:rPr>
          <w:noProof/>
        </w:rPr>
        <w:fldChar w:fldCharType="separate"/>
      </w:r>
      <w:r w:rsidRPr="00654F44">
        <w:rPr>
          <w:noProof/>
        </w:rPr>
        <w:t>17</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33</w:t>
      </w:r>
      <w:r>
        <w:rPr>
          <w:noProof/>
        </w:rPr>
        <w:tab/>
        <w:t>Writs etc.</w:t>
      </w:r>
      <w:r w:rsidRPr="00654F44">
        <w:rPr>
          <w:noProof/>
        </w:rPr>
        <w:tab/>
      </w:r>
      <w:r w:rsidRPr="00654F44">
        <w:rPr>
          <w:noProof/>
        </w:rPr>
        <w:fldChar w:fldCharType="begin"/>
      </w:r>
      <w:r w:rsidRPr="00654F44">
        <w:rPr>
          <w:noProof/>
        </w:rPr>
        <w:instrText xml:space="preserve"> PAGEREF _Toc392593264 \h </w:instrText>
      </w:r>
      <w:r w:rsidRPr="00654F44">
        <w:rPr>
          <w:noProof/>
        </w:rPr>
      </w:r>
      <w:r w:rsidRPr="00654F44">
        <w:rPr>
          <w:noProof/>
        </w:rPr>
        <w:fldChar w:fldCharType="separate"/>
      </w:r>
      <w:r w:rsidRPr="00654F44">
        <w:rPr>
          <w:noProof/>
        </w:rPr>
        <w:t>18</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34</w:t>
      </w:r>
      <w:r>
        <w:rPr>
          <w:noProof/>
        </w:rPr>
        <w:tab/>
        <w:t>Date of process</w:t>
      </w:r>
      <w:r w:rsidRPr="00654F44">
        <w:rPr>
          <w:noProof/>
        </w:rPr>
        <w:tab/>
      </w:r>
      <w:r w:rsidRPr="00654F44">
        <w:rPr>
          <w:noProof/>
        </w:rPr>
        <w:fldChar w:fldCharType="begin"/>
      </w:r>
      <w:r w:rsidRPr="00654F44">
        <w:rPr>
          <w:noProof/>
        </w:rPr>
        <w:instrText xml:space="preserve"> PAGEREF _Toc392593265 \h </w:instrText>
      </w:r>
      <w:r w:rsidRPr="00654F44">
        <w:rPr>
          <w:noProof/>
        </w:rPr>
      </w:r>
      <w:r w:rsidRPr="00654F44">
        <w:rPr>
          <w:noProof/>
        </w:rPr>
        <w:fldChar w:fldCharType="separate"/>
      </w:r>
      <w:r w:rsidRPr="00654F44">
        <w:rPr>
          <w:noProof/>
        </w:rPr>
        <w:t>18</w:t>
      </w:r>
      <w:r w:rsidRPr="00654F44">
        <w:rPr>
          <w:noProof/>
        </w:rPr>
        <w:fldChar w:fldCharType="end"/>
      </w:r>
    </w:p>
    <w:p w:rsidR="00654F44" w:rsidRDefault="00654F44">
      <w:pPr>
        <w:pStyle w:val="TOC2"/>
        <w:rPr>
          <w:rFonts w:asciiTheme="minorHAnsi" w:eastAsiaTheme="minorEastAsia" w:hAnsiTheme="minorHAnsi" w:cstheme="minorBidi"/>
          <w:b w:val="0"/>
          <w:noProof/>
          <w:kern w:val="0"/>
          <w:sz w:val="22"/>
          <w:szCs w:val="22"/>
        </w:rPr>
      </w:pPr>
      <w:r>
        <w:rPr>
          <w:noProof/>
        </w:rPr>
        <w:t>Part V—Finance</w:t>
      </w:r>
      <w:r w:rsidRPr="00654F44">
        <w:rPr>
          <w:b w:val="0"/>
          <w:noProof/>
          <w:sz w:val="18"/>
        </w:rPr>
        <w:tab/>
      </w:r>
      <w:r w:rsidRPr="00654F44">
        <w:rPr>
          <w:b w:val="0"/>
          <w:noProof/>
          <w:sz w:val="18"/>
        </w:rPr>
        <w:fldChar w:fldCharType="begin"/>
      </w:r>
      <w:r w:rsidRPr="00654F44">
        <w:rPr>
          <w:b w:val="0"/>
          <w:noProof/>
          <w:sz w:val="18"/>
        </w:rPr>
        <w:instrText xml:space="preserve"> PAGEREF _Toc392593266 \h </w:instrText>
      </w:r>
      <w:r w:rsidRPr="00654F44">
        <w:rPr>
          <w:b w:val="0"/>
          <w:noProof/>
          <w:sz w:val="18"/>
        </w:rPr>
      </w:r>
      <w:r w:rsidRPr="00654F44">
        <w:rPr>
          <w:b w:val="0"/>
          <w:noProof/>
          <w:sz w:val="18"/>
        </w:rPr>
        <w:fldChar w:fldCharType="separate"/>
      </w:r>
      <w:r w:rsidRPr="00654F44">
        <w:rPr>
          <w:b w:val="0"/>
          <w:noProof/>
          <w:sz w:val="18"/>
        </w:rPr>
        <w:t>19</w:t>
      </w:r>
      <w:r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35</w:t>
      </w:r>
      <w:r>
        <w:rPr>
          <w:noProof/>
        </w:rPr>
        <w:tab/>
        <w:t>Moneys appropriated for the Court</w:t>
      </w:r>
      <w:r w:rsidRPr="00654F44">
        <w:rPr>
          <w:noProof/>
        </w:rPr>
        <w:tab/>
      </w:r>
      <w:r w:rsidRPr="00654F44">
        <w:rPr>
          <w:noProof/>
        </w:rPr>
        <w:fldChar w:fldCharType="begin"/>
      </w:r>
      <w:r w:rsidRPr="00654F44">
        <w:rPr>
          <w:noProof/>
        </w:rPr>
        <w:instrText xml:space="preserve"> PAGEREF _Toc392593267 \h </w:instrText>
      </w:r>
      <w:r w:rsidRPr="00654F44">
        <w:rPr>
          <w:noProof/>
        </w:rPr>
      </w:r>
      <w:r w:rsidRPr="00654F44">
        <w:rPr>
          <w:noProof/>
        </w:rPr>
        <w:fldChar w:fldCharType="separate"/>
      </w:r>
      <w:r w:rsidRPr="00654F44">
        <w:rPr>
          <w:noProof/>
        </w:rPr>
        <w:t>19</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36</w:t>
      </w:r>
      <w:r>
        <w:rPr>
          <w:noProof/>
        </w:rPr>
        <w:tab/>
        <w:t>Estimates</w:t>
      </w:r>
      <w:r w:rsidRPr="00654F44">
        <w:rPr>
          <w:noProof/>
        </w:rPr>
        <w:tab/>
      </w:r>
      <w:r w:rsidRPr="00654F44">
        <w:rPr>
          <w:noProof/>
        </w:rPr>
        <w:fldChar w:fldCharType="begin"/>
      </w:r>
      <w:r w:rsidRPr="00654F44">
        <w:rPr>
          <w:noProof/>
        </w:rPr>
        <w:instrText xml:space="preserve"> PAGEREF _Toc392593268 \h </w:instrText>
      </w:r>
      <w:r w:rsidRPr="00654F44">
        <w:rPr>
          <w:noProof/>
        </w:rPr>
      </w:r>
      <w:r w:rsidRPr="00654F44">
        <w:rPr>
          <w:noProof/>
        </w:rPr>
        <w:fldChar w:fldCharType="separate"/>
      </w:r>
      <w:r w:rsidRPr="00654F44">
        <w:rPr>
          <w:noProof/>
        </w:rPr>
        <w:t>19</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37</w:t>
      </w:r>
      <w:r>
        <w:rPr>
          <w:noProof/>
        </w:rPr>
        <w:tab/>
        <w:t>Application of moneys appropriated for the Court</w:t>
      </w:r>
      <w:r w:rsidRPr="00654F44">
        <w:rPr>
          <w:noProof/>
        </w:rPr>
        <w:tab/>
      </w:r>
      <w:r w:rsidRPr="00654F44">
        <w:rPr>
          <w:noProof/>
        </w:rPr>
        <w:fldChar w:fldCharType="begin"/>
      </w:r>
      <w:r w:rsidRPr="00654F44">
        <w:rPr>
          <w:noProof/>
        </w:rPr>
        <w:instrText xml:space="preserve"> PAGEREF _Toc392593269 \h </w:instrText>
      </w:r>
      <w:r w:rsidRPr="00654F44">
        <w:rPr>
          <w:noProof/>
        </w:rPr>
      </w:r>
      <w:r w:rsidRPr="00654F44">
        <w:rPr>
          <w:noProof/>
        </w:rPr>
        <w:fldChar w:fldCharType="separate"/>
      </w:r>
      <w:r w:rsidRPr="00654F44">
        <w:rPr>
          <w:noProof/>
        </w:rPr>
        <w:t>19</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38</w:t>
      </w:r>
      <w:r>
        <w:rPr>
          <w:noProof/>
        </w:rPr>
        <w:tab/>
        <w:t>Trust moneys</w:t>
      </w:r>
      <w:r w:rsidRPr="00654F44">
        <w:rPr>
          <w:noProof/>
        </w:rPr>
        <w:tab/>
      </w:r>
      <w:r w:rsidRPr="00654F44">
        <w:rPr>
          <w:noProof/>
        </w:rPr>
        <w:fldChar w:fldCharType="begin"/>
      </w:r>
      <w:r w:rsidRPr="00654F44">
        <w:rPr>
          <w:noProof/>
        </w:rPr>
        <w:instrText xml:space="preserve"> PAGEREF _Toc392593270 \h </w:instrText>
      </w:r>
      <w:r w:rsidRPr="00654F44">
        <w:rPr>
          <w:noProof/>
        </w:rPr>
      </w:r>
      <w:r w:rsidRPr="00654F44">
        <w:rPr>
          <w:noProof/>
        </w:rPr>
        <w:fldChar w:fldCharType="separate"/>
      </w:r>
      <w:r w:rsidRPr="00654F44">
        <w:rPr>
          <w:noProof/>
        </w:rPr>
        <w:t>20</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39</w:t>
      </w:r>
      <w:r>
        <w:rPr>
          <w:noProof/>
        </w:rPr>
        <w:tab/>
        <w:t>Other moneys</w:t>
      </w:r>
      <w:r w:rsidRPr="00654F44">
        <w:rPr>
          <w:noProof/>
        </w:rPr>
        <w:tab/>
      </w:r>
      <w:r w:rsidRPr="00654F44">
        <w:rPr>
          <w:noProof/>
        </w:rPr>
        <w:fldChar w:fldCharType="begin"/>
      </w:r>
      <w:r w:rsidRPr="00654F44">
        <w:rPr>
          <w:noProof/>
        </w:rPr>
        <w:instrText xml:space="preserve"> PAGEREF _Toc392593271 \h </w:instrText>
      </w:r>
      <w:r w:rsidRPr="00654F44">
        <w:rPr>
          <w:noProof/>
        </w:rPr>
      </w:r>
      <w:r w:rsidRPr="00654F44">
        <w:rPr>
          <w:noProof/>
        </w:rPr>
        <w:fldChar w:fldCharType="separate"/>
      </w:r>
      <w:r w:rsidRPr="00654F44">
        <w:rPr>
          <w:noProof/>
        </w:rPr>
        <w:t>20</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40</w:t>
      </w:r>
      <w:r>
        <w:rPr>
          <w:noProof/>
        </w:rPr>
        <w:tab/>
        <w:t>Limitation on contracts</w:t>
      </w:r>
      <w:r w:rsidRPr="00654F44">
        <w:rPr>
          <w:noProof/>
        </w:rPr>
        <w:tab/>
      </w:r>
      <w:r w:rsidRPr="00654F44">
        <w:rPr>
          <w:noProof/>
        </w:rPr>
        <w:fldChar w:fldCharType="begin"/>
      </w:r>
      <w:r w:rsidRPr="00654F44">
        <w:rPr>
          <w:noProof/>
        </w:rPr>
        <w:instrText xml:space="preserve"> PAGEREF _Toc392593272 \h </w:instrText>
      </w:r>
      <w:r w:rsidRPr="00654F44">
        <w:rPr>
          <w:noProof/>
        </w:rPr>
      </w:r>
      <w:r w:rsidRPr="00654F44">
        <w:rPr>
          <w:noProof/>
        </w:rPr>
        <w:fldChar w:fldCharType="separate"/>
      </w:r>
      <w:r w:rsidRPr="00654F44">
        <w:rPr>
          <w:noProof/>
        </w:rPr>
        <w:t>20</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41</w:t>
      </w:r>
      <w:r>
        <w:rPr>
          <w:noProof/>
        </w:rPr>
        <w:tab/>
        <w:t>Accounts with ADIs</w:t>
      </w:r>
      <w:r w:rsidRPr="00654F44">
        <w:rPr>
          <w:noProof/>
        </w:rPr>
        <w:tab/>
      </w:r>
      <w:r w:rsidRPr="00654F44">
        <w:rPr>
          <w:noProof/>
        </w:rPr>
        <w:fldChar w:fldCharType="begin"/>
      </w:r>
      <w:r w:rsidRPr="00654F44">
        <w:rPr>
          <w:noProof/>
        </w:rPr>
        <w:instrText xml:space="preserve"> PAGEREF _Toc392593273 \h </w:instrText>
      </w:r>
      <w:r w:rsidRPr="00654F44">
        <w:rPr>
          <w:noProof/>
        </w:rPr>
      </w:r>
      <w:r w:rsidRPr="00654F44">
        <w:rPr>
          <w:noProof/>
        </w:rPr>
        <w:fldChar w:fldCharType="separate"/>
      </w:r>
      <w:r w:rsidRPr="00654F44">
        <w:rPr>
          <w:noProof/>
        </w:rPr>
        <w:t>21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42</w:t>
      </w:r>
      <w:r>
        <w:rPr>
          <w:noProof/>
        </w:rPr>
        <w:tab/>
        <w:t>Proper accounts to be kept</w:t>
      </w:r>
      <w:r w:rsidRPr="00654F44">
        <w:rPr>
          <w:noProof/>
        </w:rPr>
        <w:tab/>
      </w:r>
      <w:r w:rsidRPr="00654F44">
        <w:rPr>
          <w:noProof/>
        </w:rPr>
        <w:fldChar w:fldCharType="begin"/>
      </w:r>
      <w:r w:rsidRPr="00654F44">
        <w:rPr>
          <w:noProof/>
        </w:rPr>
        <w:instrText xml:space="preserve"> PAGEREF _Toc392593274 \h </w:instrText>
      </w:r>
      <w:r w:rsidRPr="00654F44">
        <w:rPr>
          <w:noProof/>
        </w:rPr>
      </w:r>
      <w:r w:rsidRPr="00654F44">
        <w:rPr>
          <w:noProof/>
        </w:rPr>
        <w:fldChar w:fldCharType="separate"/>
      </w:r>
      <w:r w:rsidRPr="00654F44">
        <w:rPr>
          <w:noProof/>
        </w:rPr>
        <w:t>21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43</w:t>
      </w:r>
      <w:r>
        <w:rPr>
          <w:noProof/>
        </w:rPr>
        <w:tab/>
        <w:t>Audit</w:t>
      </w:r>
      <w:r w:rsidRPr="00654F44">
        <w:rPr>
          <w:noProof/>
        </w:rPr>
        <w:tab/>
      </w:r>
      <w:r w:rsidRPr="00654F44">
        <w:rPr>
          <w:noProof/>
        </w:rPr>
        <w:fldChar w:fldCharType="begin"/>
      </w:r>
      <w:r w:rsidRPr="00654F44">
        <w:rPr>
          <w:noProof/>
        </w:rPr>
        <w:instrText xml:space="preserve"> PAGEREF _Toc392593275 \h </w:instrText>
      </w:r>
      <w:r w:rsidRPr="00654F44">
        <w:rPr>
          <w:noProof/>
        </w:rPr>
      </w:r>
      <w:r w:rsidRPr="00654F44">
        <w:rPr>
          <w:noProof/>
        </w:rPr>
        <w:fldChar w:fldCharType="separate"/>
      </w:r>
      <w:r w:rsidRPr="00654F44">
        <w:rPr>
          <w:noProof/>
        </w:rPr>
        <w:t>21</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44</w:t>
      </w:r>
      <w:r>
        <w:rPr>
          <w:noProof/>
        </w:rPr>
        <w:tab/>
        <w:t>Exemption from taxation</w:t>
      </w:r>
      <w:r w:rsidRPr="00654F44">
        <w:rPr>
          <w:noProof/>
        </w:rPr>
        <w:tab/>
      </w:r>
      <w:r w:rsidRPr="00654F44">
        <w:rPr>
          <w:noProof/>
        </w:rPr>
        <w:fldChar w:fldCharType="begin"/>
      </w:r>
      <w:r w:rsidRPr="00654F44">
        <w:rPr>
          <w:noProof/>
        </w:rPr>
        <w:instrText xml:space="preserve"> PAGEREF _Toc392593276 \h </w:instrText>
      </w:r>
      <w:r w:rsidRPr="00654F44">
        <w:rPr>
          <w:noProof/>
        </w:rPr>
      </w:r>
      <w:r w:rsidRPr="00654F44">
        <w:rPr>
          <w:noProof/>
        </w:rPr>
        <w:fldChar w:fldCharType="separate"/>
      </w:r>
      <w:r w:rsidRPr="00654F44">
        <w:rPr>
          <w:noProof/>
        </w:rPr>
        <w:t>22</w:t>
      </w:r>
      <w:r w:rsidRPr="00654F44">
        <w:rPr>
          <w:noProof/>
        </w:rPr>
        <w:fldChar w:fldCharType="end"/>
      </w:r>
    </w:p>
    <w:p w:rsidR="00654F44" w:rsidRDefault="00654F44">
      <w:pPr>
        <w:pStyle w:val="TOC2"/>
        <w:rPr>
          <w:rFonts w:asciiTheme="minorHAnsi" w:eastAsiaTheme="minorEastAsia" w:hAnsiTheme="minorHAnsi" w:cstheme="minorBidi"/>
          <w:b w:val="0"/>
          <w:noProof/>
          <w:kern w:val="0"/>
          <w:sz w:val="22"/>
          <w:szCs w:val="22"/>
        </w:rPr>
      </w:pPr>
      <w:r>
        <w:rPr>
          <w:noProof/>
        </w:rPr>
        <w:t>Part VI—Miscellaneous</w:t>
      </w:r>
      <w:r w:rsidRPr="00654F44">
        <w:rPr>
          <w:b w:val="0"/>
          <w:noProof/>
          <w:sz w:val="18"/>
        </w:rPr>
        <w:tab/>
      </w:r>
      <w:r w:rsidRPr="00654F44">
        <w:rPr>
          <w:b w:val="0"/>
          <w:noProof/>
          <w:sz w:val="18"/>
        </w:rPr>
        <w:fldChar w:fldCharType="begin"/>
      </w:r>
      <w:r w:rsidRPr="00654F44">
        <w:rPr>
          <w:b w:val="0"/>
          <w:noProof/>
          <w:sz w:val="18"/>
        </w:rPr>
        <w:instrText xml:space="preserve"> PAGEREF _Toc392593277 \h </w:instrText>
      </w:r>
      <w:r w:rsidRPr="00654F44">
        <w:rPr>
          <w:b w:val="0"/>
          <w:noProof/>
          <w:sz w:val="18"/>
        </w:rPr>
      </w:r>
      <w:r w:rsidRPr="00654F44">
        <w:rPr>
          <w:b w:val="0"/>
          <w:noProof/>
          <w:sz w:val="18"/>
        </w:rPr>
        <w:fldChar w:fldCharType="separate"/>
      </w:r>
      <w:r w:rsidRPr="00654F44">
        <w:rPr>
          <w:b w:val="0"/>
          <w:noProof/>
          <w:sz w:val="18"/>
        </w:rPr>
        <w:t>23</w:t>
      </w:r>
      <w:r w:rsidRPr="00654F44">
        <w:rPr>
          <w:b w:val="0"/>
          <w:noProof/>
          <w:sz w:val="18"/>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45</w:t>
      </w:r>
      <w:r>
        <w:rPr>
          <w:noProof/>
        </w:rPr>
        <w:tab/>
        <w:t>Proceedings in respect of administration of the Court</w:t>
      </w:r>
      <w:r w:rsidRPr="00654F44">
        <w:rPr>
          <w:noProof/>
        </w:rPr>
        <w:tab/>
      </w:r>
      <w:r w:rsidRPr="00654F44">
        <w:rPr>
          <w:noProof/>
        </w:rPr>
        <w:fldChar w:fldCharType="begin"/>
      </w:r>
      <w:r w:rsidRPr="00654F44">
        <w:rPr>
          <w:noProof/>
        </w:rPr>
        <w:instrText xml:space="preserve"> PAGEREF _Toc392593278 \h </w:instrText>
      </w:r>
      <w:r w:rsidRPr="00654F44">
        <w:rPr>
          <w:noProof/>
        </w:rPr>
      </w:r>
      <w:r w:rsidRPr="00654F44">
        <w:rPr>
          <w:noProof/>
        </w:rPr>
        <w:fldChar w:fldCharType="separate"/>
      </w:r>
      <w:r w:rsidRPr="00654F44">
        <w:rPr>
          <w:noProof/>
        </w:rPr>
        <w:t>23</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46</w:t>
      </w:r>
      <w:r>
        <w:rPr>
          <w:noProof/>
        </w:rPr>
        <w:tab/>
        <w:t>Exercise of powers of the Court in administrative matters</w:t>
      </w:r>
      <w:r w:rsidRPr="00654F44">
        <w:rPr>
          <w:noProof/>
        </w:rPr>
        <w:tab/>
      </w:r>
      <w:r w:rsidRPr="00654F44">
        <w:rPr>
          <w:noProof/>
        </w:rPr>
        <w:fldChar w:fldCharType="begin"/>
      </w:r>
      <w:r w:rsidRPr="00654F44">
        <w:rPr>
          <w:noProof/>
        </w:rPr>
        <w:instrText xml:space="preserve"> PAGEREF _Toc392593279 \h </w:instrText>
      </w:r>
      <w:r w:rsidRPr="00654F44">
        <w:rPr>
          <w:noProof/>
        </w:rPr>
      </w:r>
      <w:r w:rsidRPr="00654F44">
        <w:rPr>
          <w:noProof/>
        </w:rPr>
        <w:fldChar w:fldCharType="separate"/>
      </w:r>
      <w:r w:rsidRPr="00654F44">
        <w:rPr>
          <w:noProof/>
        </w:rPr>
        <w:t>23</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47</w:t>
      </w:r>
      <w:r>
        <w:rPr>
          <w:noProof/>
        </w:rPr>
        <w:tab/>
        <w:t>Annual reports and financial statements</w:t>
      </w:r>
      <w:r w:rsidRPr="00654F44">
        <w:rPr>
          <w:noProof/>
        </w:rPr>
        <w:tab/>
      </w:r>
      <w:r w:rsidRPr="00654F44">
        <w:rPr>
          <w:noProof/>
        </w:rPr>
        <w:fldChar w:fldCharType="begin"/>
      </w:r>
      <w:r w:rsidRPr="00654F44">
        <w:rPr>
          <w:noProof/>
        </w:rPr>
        <w:instrText xml:space="preserve"> PAGEREF _Toc392593280 \h </w:instrText>
      </w:r>
      <w:r w:rsidRPr="00654F44">
        <w:rPr>
          <w:noProof/>
        </w:rPr>
      </w:r>
      <w:r w:rsidRPr="00654F44">
        <w:rPr>
          <w:noProof/>
        </w:rPr>
        <w:fldChar w:fldCharType="separate"/>
      </w:r>
      <w:r w:rsidRPr="00654F44">
        <w:rPr>
          <w:noProof/>
        </w:rPr>
        <w:t>24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48</w:t>
      </w:r>
      <w:r>
        <w:rPr>
          <w:noProof/>
        </w:rPr>
        <w:tab/>
        <w:t>Rules of Court</w:t>
      </w:r>
      <w:r w:rsidRPr="00654F44">
        <w:rPr>
          <w:noProof/>
        </w:rPr>
        <w:tab/>
      </w:r>
      <w:r w:rsidRPr="00654F44">
        <w:rPr>
          <w:noProof/>
        </w:rPr>
        <w:fldChar w:fldCharType="begin"/>
      </w:r>
      <w:r w:rsidRPr="00654F44">
        <w:rPr>
          <w:noProof/>
        </w:rPr>
        <w:instrText xml:space="preserve"> PAGEREF _Toc392593281 \h </w:instrText>
      </w:r>
      <w:r w:rsidRPr="00654F44">
        <w:rPr>
          <w:noProof/>
        </w:rPr>
      </w:r>
      <w:r w:rsidRPr="00654F44">
        <w:rPr>
          <w:noProof/>
        </w:rPr>
        <w:fldChar w:fldCharType="separate"/>
      </w:r>
      <w:r w:rsidRPr="00654F44">
        <w:rPr>
          <w:noProof/>
        </w:rPr>
        <w:t>24</w:t>
      </w:r>
      <w:r w:rsidRPr="00654F44">
        <w:rPr>
          <w:noProof/>
        </w:rPr>
        <w:fldChar w:fldCharType="end"/>
      </w:r>
    </w:p>
    <w:p w:rsidR="00654F44" w:rsidRDefault="00654F44">
      <w:pPr>
        <w:pStyle w:val="TOC5"/>
        <w:rPr>
          <w:rFonts w:asciiTheme="minorHAnsi" w:eastAsiaTheme="minorEastAsia" w:hAnsiTheme="minorHAnsi" w:cstheme="minorBidi"/>
          <w:noProof/>
          <w:kern w:val="0"/>
          <w:sz w:val="22"/>
          <w:szCs w:val="22"/>
        </w:rPr>
      </w:pPr>
      <w:r>
        <w:rPr>
          <w:noProof/>
        </w:rPr>
        <w:t>49</w:t>
      </w:r>
      <w:r>
        <w:rPr>
          <w:noProof/>
        </w:rPr>
        <w:tab/>
        <w:t>Regulations</w:t>
      </w:r>
      <w:r w:rsidRPr="00654F44">
        <w:rPr>
          <w:noProof/>
        </w:rPr>
        <w:tab/>
      </w:r>
      <w:r w:rsidRPr="00654F44">
        <w:rPr>
          <w:noProof/>
        </w:rPr>
        <w:fldChar w:fldCharType="begin"/>
      </w:r>
      <w:r w:rsidRPr="00654F44">
        <w:rPr>
          <w:noProof/>
        </w:rPr>
        <w:instrText xml:space="preserve"> PAGEREF _Toc392593282 \h </w:instrText>
      </w:r>
      <w:r w:rsidRPr="00654F44">
        <w:rPr>
          <w:noProof/>
        </w:rPr>
      </w:r>
      <w:r w:rsidRPr="00654F44">
        <w:rPr>
          <w:noProof/>
        </w:rPr>
        <w:fldChar w:fldCharType="separate"/>
      </w:r>
      <w:r w:rsidRPr="00654F44">
        <w:rPr>
          <w:noProof/>
        </w:rPr>
        <w:t>25</w:t>
      </w:r>
      <w:r w:rsidRPr="00654F44">
        <w:rPr>
          <w:noProof/>
        </w:rPr>
        <w:fldChar w:fldCharType="end"/>
      </w:r>
    </w:p>
    <w:p w:rsidR="00654F44" w:rsidRDefault="00654F44">
      <w:pPr>
        <w:pStyle w:val="TOC1"/>
        <w:rPr>
          <w:rFonts w:asciiTheme="minorHAnsi" w:eastAsiaTheme="minorEastAsia" w:hAnsiTheme="minorHAnsi" w:cstheme="minorBidi"/>
          <w:b w:val="0"/>
          <w:noProof/>
          <w:kern w:val="0"/>
          <w:sz w:val="22"/>
          <w:szCs w:val="22"/>
        </w:rPr>
      </w:pPr>
      <w:r>
        <w:rPr>
          <w:noProof/>
        </w:rPr>
        <w:t>Schedule</w:t>
      </w:r>
      <w:r>
        <w:rPr>
          <w:noProof/>
        </w:rPr>
        <w:tab/>
      </w:r>
      <w:r w:rsidRPr="00654F44">
        <w:rPr>
          <w:b w:val="0"/>
          <w:noProof/>
          <w:sz w:val="18"/>
        </w:rPr>
        <w:tab/>
      </w:r>
      <w:r w:rsidRPr="00654F44">
        <w:rPr>
          <w:b w:val="0"/>
          <w:noProof/>
          <w:sz w:val="18"/>
        </w:rPr>
        <w:fldChar w:fldCharType="begin"/>
      </w:r>
      <w:r w:rsidRPr="00654F44">
        <w:rPr>
          <w:b w:val="0"/>
          <w:noProof/>
          <w:sz w:val="18"/>
        </w:rPr>
        <w:instrText xml:space="preserve"> PAGEREF _Toc392593283 \h </w:instrText>
      </w:r>
      <w:r w:rsidRPr="00654F44">
        <w:rPr>
          <w:b w:val="0"/>
          <w:noProof/>
          <w:sz w:val="18"/>
        </w:rPr>
      </w:r>
      <w:r w:rsidRPr="00654F44">
        <w:rPr>
          <w:b w:val="0"/>
          <w:noProof/>
          <w:sz w:val="18"/>
        </w:rPr>
        <w:fldChar w:fldCharType="separate"/>
      </w:r>
      <w:r w:rsidRPr="00654F44">
        <w:rPr>
          <w:b w:val="0"/>
          <w:noProof/>
          <w:sz w:val="18"/>
        </w:rPr>
        <w:t>26</w:t>
      </w:r>
      <w:r w:rsidRPr="00654F44">
        <w:rPr>
          <w:b w:val="0"/>
          <w:noProof/>
          <w:sz w:val="18"/>
        </w:rPr>
        <w:fldChar w:fldCharType="end"/>
      </w:r>
    </w:p>
    <w:p w:rsidR="00654F44" w:rsidRDefault="00654F44" w:rsidP="00654F44">
      <w:pPr>
        <w:pStyle w:val="TOC2"/>
        <w:rPr>
          <w:rFonts w:asciiTheme="minorHAnsi" w:eastAsiaTheme="minorEastAsia" w:hAnsiTheme="minorHAnsi" w:cstheme="minorBidi"/>
          <w:b w:val="0"/>
          <w:noProof/>
          <w:kern w:val="0"/>
          <w:sz w:val="22"/>
          <w:szCs w:val="22"/>
        </w:rPr>
      </w:pPr>
      <w:r>
        <w:rPr>
          <w:noProof/>
        </w:rPr>
        <w:t>Endnotes</w:t>
      </w:r>
      <w:r w:rsidRPr="00654F44">
        <w:rPr>
          <w:b w:val="0"/>
          <w:noProof/>
          <w:sz w:val="18"/>
        </w:rPr>
        <w:tab/>
      </w:r>
      <w:r w:rsidRPr="00654F44">
        <w:rPr>
          <w:b w:val="0"/>
          <w:noProof/>
          <w:sz w:val="18"/>
        </w:rPr>
        <w:fldChar w:fldCharType="begin"/>
      </w:r>
      <w:r w:rsidRPr="00654F44">
        <w:rPr>
          <w:b w:val="0"/>
          <w:noProof/>
          <w:sz w:val="18"/>
        </w:rPr>
        <w:instrText xml:space="preserve"> PAGEREF _Toc392593284 \h </w:instrText>
      </w:r>
      <w:r w:rsidRPr="00654F44">
        <w:rPr>
          <w:b w:val="0"/>
          <w:noProof/>
          <w:sz w:val="18"/>
        </w:rPr>
      </w:r>
      <w:r w:rsidRPr="00654F44">
        <w:rPr>
          <w:b w:val="0"/>
          <w:noProof/>
          <w:sz w:val="18"/>
        </w:rPr>
        <w:fldChar w:fldCharType="separate"/>
      </w:r>
      <w:r w:rsidRPr="00654F44">
        <w:rPr>
          <w:b w:val="0"/>
          <w:noProof/>
          <w:sz w:val="18"/>
        </w:rPr>
        <w:t>27</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1—About the endnotes</w:t>
      </w:r>
      <w:r w:rsidRPr="00654F44">
        <w:rPr>
          <w:b w:val="0"/>
          <w:noProof/>
          <w:sz w:val="18"/>
        </w:rPr>
        <w:tab/>
      </w:r>
      <w:r w:rsidRPr="00654F44">
        <w:rPr>
          <w:b w:val="0"/>
          <w:noProof/>
          <w:sz w:val="18"/>
        </w:rPr>
        <w:fldChar w:fldCharType="begin"/>
      </w:r>
      <w:r w:rsidRPr="00654F44">
        <w:rPr>
          <w:b w:val="0"/>
          <w:noProof/>
          <w:sz w:val="18"/>
        </w:rPr>
        <w:instrText xml:space="preserve"> PAGEREF _Toc392593285 \h </w:instrText>
      </w:r>
      <w:r w:rsidRPr="00654F44">
        <w:rPr>
          <w:b w:val="0"/>
          <w:noProof/>
          <w:sz w:val="18"/>
        </w:rPr>
      </w:r>
      <w:r w:rsidRPr="00654F44">
        <w:rPr>
          <w:b w:val="0"/>
          <w:noProof/>
          <w:sz w:val="18"/>
        </w:rPr>
        <w:fldChar w:fldCharType="separate"/>
      </w:r>
      <w:r w:rsidRPr="00654F44">
        <w:rPr>
          <w:b w:val="0"/>
          <w:noProof/>
          <w:sz w:val="18"/>
        </w:rPr>
        <w:t>27</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2—Abbreviation key</w:t>
      </w:r>
      <w:r w:rsidRPr="00654F44">
        <w:rPr>
          <w:b w:val="0"/>
          <w:noProof/>
          <w:sz w:val="18"/>
        </w:rPr>
        <w:tab/>
      </w:r>
      <w:r w:rsidRPr="00654F44">
        <w:rPr>
          <w:b w:val="0"/>
          <w:noProof/>
          <w:sz w:val="18"/>
        </w:rPr>
        <w:fldChar w:fldCharType="begin"/>
      </w:r>
      <w:r w:rsidRPr="00654F44">
        <w:rPr>
          <w:b w:val="0"/>
          <w:noProof/>
          <w:sz w:val="18"/>
        </w:rPr>
        <w:instrText xml:space="preserve"> PAGEREF _Toc392593286 \h </w:instrText>
      </w:r>
      <w:r w:rsidRPr="00654F44">
        <w:rPr>
          <w:b w:val="0"/>
          <w:noProof/>
          <w:sz w:val="18"/>
        </w:rPr>
      </w:r>
      <w:r w:rsidRPr="00654F44">
        <w:rPr>
          <w:b w:val="0"/>
          <w:noProof/>
          <w:sz w:val="18"/>
        </w:rPr>
        <w:fldChar w:fldCharType="separate"/>
      </w:r>
      <w:r w:rsidRPr="00654F44">
        <w:rPr>
          <w:b w:val="0"/>
          <w:noProof/>
          <w:sz w:val="18"/>
        </w:rPr>
        <w:t>29</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3—Legislation history</w:t>
      </w:r>
      <w:r w:rsidRPr="00654F44">
        <w:rPr>
          <w:b w:val="0"/>
          <w:noProof/>
          <w:sz w:val="18"/>
        </w:rPr>
        <w:tab/>
      </w:r>
      <w:r w:rsidRPr="00654F44">
        <w:rPr>
          <w:b w:val="0"/>
          <w:noProof/>
          <w:sz w:val="18"/>
        </w:rPr>
        <w:fldChar w:fldCharType="begin"/>
      </w:r>
      <w:r w:rsidRPr="00654F44">
        <w:rPr>
          <w:b w:val="0"/>
          <w:noProof/>
          <w:sz w:val="18"/>
        </w:rPr>
        <w:instrText xml:space="preserve"> PAGEREF _Toc392593287 \h </w:instrText>
      </w:r>
      <w:r w:rsidRPr="00654F44">
        <w:rPr>
          <w:b w:val="0"/>
          <w:noProof/>
          <w:sz w:val="18"/>
        </w:rPr>
      </w:r>
      <w:r w:rsidRPr="00654F44">
        <w:rPr>
          <w:b w:val="0"/>
          <w:noProof/>
          <w:sz w:val="18"/>
        </w:rPr>
        <w:fldChar w:fldCharType="separate"/>
      </w:r>
      <w:r w:rsidRPr="00654F44">
        <w:rPr>
          <w:b w:val="0"/>
          <w:noProof/>
          <w:sz w:val="18"/>
        </w:rPr>
        <w:t>30</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4—Amendment history</w:t>
      </w:r>
      <w:r w:rsidRPr="00654F44">
        <w:rPr>
          <w:b w:val="0"/>
          <w:noProof/>
          <w:sz w:val="18"/>
        </w:rPr>
        <w:tab/>
      </w:r>
      <w:r w:rsidRPr="00654F44">
        <w:rPr>
          <w:b w:val="0"/>
          <w:noProof/>
          <w:sz w:val="18"/>
        </w:rPr>
        <w:fldChar w:fldCharType="begin"/>
      </w:r>
      <w:r w:rsidRPr="00654F44">
        <w:rPr>
          <w:b w:val="0"/>
          <w:noProof/>
          <w:sz w:val="18"/>
        </w:rPr>
        <w:instrText xml:space="preserve"> PAGEREF _Toc392593288 \h </w:instrText>
      </w:r>
      <w:r w:rsidRPr="00654F44">
        <w:rPr>
          <w:b w:val="0"/>
          <w:noProof/>
          <w:sz w:val="18"/>
        </w:rPr>
      </w:r>
      <w:r w:rsidRPr="00654F44">
        <w:rPr>
          <w:b w:val="0"/>
          <w:noProof/>
          <w:sz w:val="18"/>
        </w:rPr>
        <w:fldChar w:fldCharType="separate"/>
      </w:r>
      <w:r w:rsidRPr="00654F44">
        <w:rPr>
          <w:b w:val="0"/>
          <w:noProof/>
          <w:sz w:val="18"/>
        </w:rPr>
        <w:t>35</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5—Uncommenced amendments [none]</w:t>
      </w:r>
      <w:r w:rsidRPr="00654F44">
        <w:rPr>
          <w:b w:val="0"/>
          <w:noProof/>
          <w:sz w:val="18"/>
        </w:rPr>
        <w:tab/>
      </w:r>
      <w:r w:rsidRPr="00654F44">
        <w:rPr>
          <w:b w:val="0"/>
          <w:noProof/>
          <w:sz w:val="18"/>
        </w:rPr>
        <w:fldChar w:fldCharType="begin"/>
      </w:r>
      <w:r w:rsidRPr="00654F44">
        <w:rPr>
          <w:b w:val="0"/>
          <w:noProof/>
          <w:sz w:val="18"/>
        </w:rPr>
        <w:instrText xml:space="preserve"> PAGEREF _Toc392593289 \h </w:instrText>
      </w:r>
      <w:r w:rsidRPr="00654F44">
        <w:rPr>
          <w:b w:val="0"/>
          <w:noProof/>
          <w:sz w:val="18"/>
        </w:rPr>
      </w:r>
      <w:r w:rsidRPr="00654F44">
        <w:rPr>
          <w:b w:val="0"/>
          <w:noProof/>
          <w:sz w:val="18"/>
        </w:rPr>
        <w:fldChar w:fldCharType="separate"/>
      </w:r>
      <w:r w:rsidRPr="00654F44">
        <w:rPr>
          <w:b w:val="0"/>
          <w:noProof/>
          <w:sz w:val="18"/>
        </w:rPr>
        <w:t>37</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6—Modifications [none]</w:t>
      </w:r>
      <w:r w:rsidRPr="00654F44">
        <w:rPr>
          <w:b w:val="0"/>
          <w:noProof/>
          <w:sz w:val="18"/>
        </w:rPr>
        <w:tab/>
      </w:r>
      <w:r w:rsidRPr="00654F44">
        <w:rPr>
          <w:b w:val="0"/>
          <w:noProof/>
          <w:sz w:val="18"/>
        </w:rPr>
        <w:fldChar w:fldCharType="begin"/>
      </w:r>
      <w:r w:rsidRPr="00654F44">
        <w:rPr>
          <w:b w:val="0"/>
          <w:noProof/>
          <w:sz w:val="18"/>
        </w:rPr>
        <w:instrText xml:space="preserve"> PAGEREF _Toc392593290 \h </w:instrText>
      </w:r>
      <w:r w:rsidRPr="00654F44">
        <w:rPr>
          <w:b w:val="0"/>
          <w:noProof/>
          <w:sz w:val="18"/>
        </w:rPr>
      </w:r>
      <w:r w:rsidRPr="00654F44">
        <w:rPr>
          <w:b w:val="0"/>
          <w:noProof/>
          <w:sz w:val="18"/>
        </w:rPr>
        <w:fldChar w:fldCharType="separate"/>
      </w:r>
      <w:r w:rsidRPr="00654F44">
        <w:rPr>
          <w:b w:val="0"/>
          <w:noProof/>
          <w:sz w:val="18"/>
        </w:rPr>
        <w:t>37</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7—Misdescribed amendments [none]</w:t>
      </w:r>
      <w:r w:rsidRPr="00654F44">
        <w:rPr>
          <w:b w:val="0"/>
          <w:noProof/>
          <w:sz w:val="18"/>
        </w:rPr>
        <w:tab/>
      </w:r>
      <w:r w:rsidRPr="00654F44">
        <w:rPr>
          <w:b w:val="0"/>
          <w:noProof/>
          <w:sz w:val="18"/>
        </w:rPr>
        <w:fldChar w:fldCharType="begin"/>
      </w:r>
      <w:r w:rsidRPr="00654F44">
        <w:rPr>
          <w:b w:val="0"/>
          <w:noProof/>
          <w:sz w:val="18"/>
        </w:rPr>
        <w:instrText xml:space="preserve"> PAGEREF _Toc392593291 \h </w:instrText>
      </w:r>
      <w:r w:rsidRPr="00654F44">
        <w:rPr>
          <w:b w:val="0"/>
          <w:noProof/>
          <w:sz w:val="18"/>
        </w:rPr>
      </w:r>
      <w:r w:rsidRPr="00654F44">
        <w:rPr>
          <w:b w:val="0"/>
          <w:noProof/>
          <w:sz w:val="18"/>
        </w:rPr>
        <w:fldChar w:fldCharType="separate"/>
      </w:r>
      <w:r w:rsidRPr="00654F44">
        <w:rPr>
          <w:b w:val="0"/>
          <w:noProof/>
          <w:sz w:val="18"/>
        </w:rPr>
        <w:t>37</w:t>
      </w:r>
      <w:r w:rsidRPr="00654F44">
        <w:rPr>
          <w:b w:val="0"/>
          <w:noProof/>
          <w:sz w:val="18"/>
        </w:rPr>
        <w:fldChar w:fldCharType="end"/>
      </w:r>
    </w:p>
    <w:p w:rsidR="00654F44" w:rsidRDefault="00654F44">
      <w:pPr>
        <w:pStyle w:val="TOC3"/>
        <w:rPr>
          <w:rFonts w:asciiTheme="minorHAnsi" w:eastAsiaTheme="minorEastAsia" w:hAnsiTheme="minorHAnsi" w:cstheme="minorBidi"/>
          <w:b w:val="0"/>
          <w:noProof/>
          <w:kern w:val="0"/>
          <w:szCs w:val="22"/>
        </w:rPr>
      </w:pPr>
      <w:r>
        <w:rPr>
          <w:noProof/>
        </w:rPr>
        <w:t>Endnote 8—Miscellaneous</w:t>
      </w:r>
      <w:r w:rsidRPr="00654F44">
        <w:rPr>
          <w:b w:val="0"/>
          <w:noProof/>
          <w:sz w:val="18"/>
        </w:rPr>
        <w:tab/>
      </w:r>
      <w:r w:rsidRPr="00654F44">
        <w:rPr>
          <w:b w:val="0"/>
          <w:noProof/>
          <w:sz w:val="18"/>
        </w:rPr>
        <w:fldChar w:fldCharType="begin"/>
      </w:r>
      <w:r w:rsidRPr="00654F44">
        <w:rPr>
          <w:b w:val="0"/>
          <w:noProof/>
          <w:sz w:val="18"/>
        </w:rPr>
        <w:instrText xml:space="preserve"> PAGEREF _Toc392593292 \h </w:instrText>
      </w:r>
      <w:r w:rsidRPr="00654F44">
        <w:rPr>
          <w:b w:val="0"/>
          <w:noProof/>
          <w:sz w:val="18"/>
        </w:rPr>
      </w:r>
      <w:r w:rsidRPr="00654F44">
        <w:rPr>
          <w:b w:val="0"/>
          <w:noProof/>
          <w:sz w:val="18"/>
        </w:rPr>
        <w:fldChar w:fldCharType="separate"/>
      </w:r>
      <w:r w:rsidRPr="00654F44">
        <w:rPr>
          <w:b w:val="0"/>
          <w:noProof/>
          <w:sz w:val="18"/>
        </w:rPr>
        <w:t>38</w:t>
      </w:r>
      <w:r w:rsidRPr="00654F44">
        <w:rPr>
          <w:b w:val="0"/>
          <w:noProof/>
          <w:sz w:val="18"/>
        </w:rPr>
        <w:fldChar w:fldCharType="end"/>
      </w:r>
    </w:p>
    <w:p w:rsidR="008535EF" w:rsidRPr="00654F44" w:rsidRDefault="00A52AE8" w:rsidP="008535EF">
      <w:pPr>
        <w:sectPr w:rsidR="008535EF" w:rsidRPr="00654F44" w:rsidSect="00132F60">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654F44">
        <w:fldChar w:fldCharType="end"/>
      </w:r>
    </w:p>
    <w:p w:rsidR="00910679" w:rsidRPr="00654F44" w:rsidRDefault="00910679" w:rsidP="008535EF">
      <w:pPr>
        <w:pStyle w:val="LongT"/>
      </w:pPr>
      <w:r w:rsidRPr="00654F44">
        <w:lastRenderedPageBreak/>
        <w:t xml:space="preserve">To make provision with respect to the High Court of </w:t>
      </w:r>
      <w:smartTag w:uri="urn:schemas-microsoft-com:office:smarttags" w:element="country-region">
        <w:smartTag w:uri="urn:schemas-microsoft-com:office:smarttags" w:element="place">
          <w:r w:rsidRPr="00654F44">
            <w:t>Australia</w:t>
          </w:r>
        </w:smartTag>
      </w:smartTag>
    </w:p>
    <w:p w:rsidR="00910679" w:rsidRPr="00654F44" w:rsidRDefault="00910679" w:rsidP="00BF69CF">
      <w:pPr>
        <w:pStyle w:val="ActHead2"/>
      </w:pPr>
      <w:bookmarkStart w:id="1" w:name="_Toc392593226"/>
      <w:r w:rsidRPr="00654F44">
        <w:rPr>
          <w:rStyle w:val="CharPartNo"/>
        </w:rPr>
        <w:t>Part</w:t>
      </w:r>
      <w:r w:rsidR="00E12D7E" w:rsidRPr="00654F44">
        <w:rPr>
          <w:rStyle w:val="CharPartNo"/>
        </w:rPr>
        <w:t> </w:t>
      </w:r>
      <w:r w:rsidRPr="00654F44">
        <w:rPr>
          <w:rStyle w:val="CharPartNo"/>
        </w:rPr>
        <w:t>I</w:t>
      </w:r>
      <w:r w:rsidRPr="00654F44">
        <w:t>—</w:t>
      </w:r>
      <w:r w:rsidRPr="00654F44">
        <w:rPr>
          <w:rStyle w:val="CharPartText"/>
        </w:rPr>
        <w:t>Preliminary</w:t>
      </w:r>
      <w:bookmarkEnd w:id="1"/>
    </w:p>
    <w:p w:rsidR="00910679" w:rsidRPr="00654F44" w:rsidRDefault="00BF69CF">
      <w:pPr>
        <w:pStyle w:val="Header"/>
      </w:pPr>
      <w:r w:rsidRPr="00654F44">
        <w:rPr>
          <w:rStyle w:val="CharDivNo"/>
        </w:rPr>
        <w:t xml:space="preserve"> </w:t>
      </w:r>
      <w:r w:rsidRPr="00654F44">
        <w:rPr>
          <w:rStyle w:val="CharDivText"/>
        </w:rPr>
        <w:t xml:space="preserve"> </w:t>
      </w:r>
    </w:p>
    <w:p w:rsidR="00910679" w:rsidRPr="00654F44" w:rsidRDefault="00910679" w:rsidP="00BF69CF">
      <w:pPr>
        <w:pStyle w:val="ActHead5"/>
      </w:pPr>
      <w:bookmarkStart w:id="2" w:name="_Toc392593227"/>
      <w:r w:rsidRPr="00654F44">
        <w:rPr>
          <w:rStyle w:val="CharSectno"/>
        </w:rPr>
        <w:t>1</w:t>
      </w:r>
      <w:r w:rsidRPr="00654F44">
        <w:t xml:space="preserve">  Short title</w:t>
      </w:r>
      <w:bookmarkEnd w:id="2"/>
    </w:p>
    <w:p w:rsidR="00910679" w:rsidRPr="00654F44" w:rsidRDefault="00910679">
      <w:pPr>
        <w:pStyle w:val="subsection"/>
      </w:pPr>
      <w:r w:rsidRPr="00654F44">
        <w:tab/>
      </w:r>
      <w:r w:rsidRPr="00654F44">
        <w:tab/>
        <w:t xml:space="preserve">This Act may be cited as the </w:t>
      </w:r>
      <w:r w:rsidRPr="00654F44">
        <w:rPr>
          <w:i/>
        </w:rPr>
        <w:t xml:space="preserve">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w:t>
      </w:r>
      <w:r w:rsidRPr="00654F44">
        <w:t>.</w:t>
      </w:r>
    </w:p>
    <w:p w:rsidR="00910679" w:rsidRPr="00654F44" w:rsidRDefault="00910679" w:rsidP="00BF69CF">
      <w:pPr>
        <w:pStyle w:val="ActHead5"/>
      </w:pPr>
      <w:bookmarkStart w:id="3" w:name="_Toc392593228"/>
      <w:r w:rsidRPr="00654F44">
        <w:rPr>
          <w:rStyle w:val="CharSectno"/>
        </w:rPr>
        <w:t>2</w:t>
      </w:r>
      <w:r w:rsidRPr="00654F44">
        <w:t xml:space="preserve">  Commencement</w:t>
      </w:r>
      <w:bookmarkEnd w:id="3"/>
    </w:p>
    <w:p w:rsidR="00910679" w:rsidRPr="00654F44" w:rsidRDefault="00910679">
      <w:pPr>
        <w:pStyle w:val="subsection"/>
      </w:pPr>
      <w:r w:rsidRPr="00654F44">
        <w:tab/>
      </w:r>
      <w:r w:rsidRPr="00654F44">
        <w:tab/>
        <w:t>This Act shall come into operation on a date to be fixed by Proclamation.</w:t>
      </w:r>
    </w:p>
    <w:p w:rsidR="00910679" w:rsidRPr="00654F44" w:rsidRDefault="00910679" w:rsidP="00BF69CF">
      <w:pPr>
        <w:pStyle w:val="ActHead5"/>
      </w:pPr>
      <w:bookmarkStart w:id="4" w:name="_Toc392593229"/>
      <w:r w:rsidRPr="00654F44">
        <w:rPr>
          <w:rStyle w:val="CharSectno"/>
        </w:rPr>
        <w:t>3</w:t>
      </w:r>
      <w:r w:rsidRPr="00654F44">
        <w:t xml:space="preserve">  Repeal</w:t>
      </w:r>
      <w:bookmarkEnd w:id="4"/>
    </w:p>
    <w:p w:rsidR="00910679" w:rsidRPr="00654F44" w:rsidRDefault="00910679">
      <w:pPr>
        <w:pStyle w:val="subsection"/>
      </w:pPr>
      <w:r w:rsidRPr="00654F44">
        <w:tab/>
      </w:r>
      <w:r w:rsidRPr="00654F44">
        <w:tab/>
        <w:t>The following Acts are repealed:</w:t>
      </w:r>
    </w:p>
    <w:p w:rsidR="00910679" w:rsidRPr="00654F44" w:rsidRDefault="00910679">
      <w:pPr>
        <w:pStyle w:val="subsection2"/>
        <w:spacing w:before="240"/>
        <w:rPr>
          <w:i/>
        </w:rPr>
      </w:pPr>
      <w:r w:rsidRPr="00654F44">
        <w:rPr>
          <w:i/>
        </w:rPr>
        <w:t>High Court Procedure Act 1903</w:t>
      </w:r>
      <w:r w:rsidRPr="00654F44">
        <w:t>;</w:t>
      </w:r>
    </w:p>
    <w:p w:rsidR="00910679" w:rsidRPr="00654F44" w:rsidRDefault="00910679">
      <w:pPr>
        <w:pStyle w:val="subsection2"/>
      </w:pPr>
      <w:r w:rsidRPr="00654F44">
        <w:rPr>
          <w:i/>
        </w:rPr>
        <w:t>High Court Procedure Amendment Act 1903</w:t>
      </w:r>
      <w:r w:rsidRPr="00654F44">
        <w:t>;</w:t>
      </w:r>
    </w:p>
    <w:p w:rsidR="00910679" w:rsidRPr="00654F44" w:rsidRDefault="00910679">
      <w:pPr>
        <w:pStyle w:val="subsection2"/>
      </w:pPr>
      <w:r w:rsidRPr="00654F44">
        <w:rPr>
          <w:i/>
        </w:rPr>
        <w:t>High Court Procedure Act 1915</w:t>
      </w:r>
      <w:r w:rsidRPr="00654F44">
        <w:t>;</w:t>
      </w:r>
    </w:p>
    <w:p w:rsidR="00910679" w:rsidRPr="00654F44" w:rsidRDefault="00910679">
      <w:pPr>
        <w:pStyle w:val="subsection2"/>
      </w:pPr>
      <w:r w:rsidRPr="00654F44">
        <w:rPr>
          <w:i/>
        </w:rPr>
        <w:t>High Court Procedure Act 1921</w:t>
      </w:r>
      <w:r w:rsidRPr="00654F44">
        <w:t>;</w:t>
      </w:r>
    </w:p>
    <w:p w:rsidR="00910679" w:rsidRPr="00654F44" w:rsidRDefault="00910679">
      <w:pPr>
        <w:pStyle w:val="subsection2"/>
      </w:pPr>
      <w:r w:rsidRPr="00654F44">
        <w:rPr>
          <w:i/>
        </w:rPr>
        <w:t>High Court Procedure Act 1925</w:t>
      </w:r>
      <w:r w:rsidRPr="00654F44">
        <w:t>;</w:t>
      </w:r>
    </w:p>
    <w:p w:rsidR="00910679" w:rsidRPr="00654F44" w:rsidRDefault="00910679">
      <w:pPr>
        <w:pStyle w:val="subsection2"/>
      </w:pPr>
      <w:r w:rsidRPr="00654F44">
        <w:rPr>
          <w:i/>
        </w:rPr>
        <w:t>High Court Procedure Act 1933</w:t>
      </w:r>
      <w:r w:rsidRPr="00654F44">
        <w:t>.</w:t>
      </w:r>
    </w:p>
    <w:p w:rsidR="00910679" w:rsidRPr="00654F44" w:rsidRDefault="00910679" w:rsidP="00BF69CF">
      <w:pPr>
        <w:pStyle w:val="ActHead5"/>
      </w:pPr>
      <w:bookmarkStart w:id="5" w:name="_Toc392593230"/>
      <w:r w:rsidRPr="00654F44">
        <w:rPr>
          <w:rStyle w:val="CharSectno"/>
        </w:rPr>
        <w:t>4</w:t>
      </w:r>
      <w:r w:rsidRPr="00654F44">
        <w:t xml:space="preserve">  Interpretation</w:t>
      </w:r>
      <w:bookmarkEnd w:id="5"/>
    </w:p>
    <w:p w:rsidR="00910679" w:rsidRPr="00654F44" w:rsidRDefault="00910679">
      <w:pPr>
        <w:pStyle w:val="subsection"/>
      </w:pPr>
      <w:r w:rsidRPr="00654F44">
        <w:tab/>
        <w:t>(1)</w:t>
      </w:r>
      <w:r w:rsidRPr="00654F44">
        <w:tab/>
        <w:t>In this Act, unless the contrary intention appears:</w:t>
      </w:r>
    </w:p>
    <w:p w:rsidR="00910679" w:rsidRPr="00654F44" w:rsidRDefault="00910679">
      <w:pPr>
        <w:pStyle w:val="Definition"/>
      </w:pPr>
      <w:r w:rsidRPr="00654F44">
        <w:rPr>
          <w:b/>
          <w:i/>
        </w:rPr>
        <w:t>ADI</w:t>
      </w:r>
      <w:r w:rsidRPr="00654F44">
        <w:t xml:space="preserve"> (authorised deposit</w:t>
      </w:r>
      <w:r w:rsidR="00654F44">
        <w:noBreakHyphen/>
      </w:r>
      <w:r w:rsidRPr="00654F44">
        <w:t>taking institution) means:</w:t>
      </w:r>
    </w:p>
    <w:p w:rsidR="00910679" w:rsidRPr="00654F44" w:rsidRDefault="00910679">
      <w:pPr>
        <w:pStyle w:val="paragraph"/>
      </w:pPr>
      <w:r w:rsidRPr="00654F44">
        <w:tab/>
        <w:t>(a)</w:t>
      </w:r>
      <w:r w:rsidRPr="00654F44">
        <w:tab/>
        <w:t xml:space="preserve">the Reserve Bank of </w:t>
      </w:r>
      <w:smartTag w:uri="urn:schemas-microsoft-com:office:smarttags" w:element="country-region">
        <w:smartTag w:uri="urn:schemas-microsoft-com:office:smarttags" w:element="place">
          <w:r w:rsidRPr="00654F44">
            <w:t>Australia</w:t>
          </w:r>
        </w:smartTag>
      </w:smartTag>
      <w:r w:rsidRPr="00654F44">
        <w:t>; or</w:t>
      </w:r>
    </w:p>
    <w:p w:rsidR="00910679" w:rsidRPr="00654F44" w:rsidRDefault="00910679">
      <w:pPr>
        <w:pStyle w:val="paragraph"/>
      </w:pPr>
      <w:r w:rsidRPr="00654F44">
        <w:tab/>
        <w:t>(b)</w:t>
      </w:r>
      <w:r w:rsidRPr="00654F44">
        <w:tab/>
        <w:t xml:space="preserve">a body corporate that is an ADI for the purposes of the </w:t>
      </w:r>
      <w:r w:rsidRPr="00654F44">
        <w:rPr>
          <w:i/>
        </w:rPr>
        <w:t>Banking Act 1959</w:t>
      </w:r>
      <w:r w:rsidRPr="00654F44">
        <w:t xml:space="preserve"> and that is approved in writing for the purposes of the provision in which the expression occurs:</w:t>
      </w:r>
    </w:p>
    <w:p w:rsidR="00910679" w:rsidRPr="00654F44" w:rsidRDefault="00910679">
      <w:pPr>
        <w:pStyle w:val="paragraphsub"/>
      </w:pPr>
      <w:r w:rsidRPr="00654F44">
        <w:tab/>
        <w:t>(i)</w:t>
      </w:r>
      <w:r w:rsidRPr="00654F44">
        <w:tab/>
        <w:t>by the Treasurer; or</w:t>
      </w:r>
    </w:p>
    <w:p w:rsidR="00910679" w:rsidRPr="00654F44" w:rsidRDefault="00910679">
      <w:pPr>
        <w:pStyle w:val="paragraphsub"/>
      </w:pPr>
      <w:r w:rsidRPr="00654F44">
        <w:lastRenderedPageBreak/>
        <w:tab/>
        <w:t>(ii)</w:t>
      </w:r>
      <w:r w:rsidRPr="00654F44">
        <w:tab/>
        <w:t>by a person authorised in writing by the Treasurer to give the approval; or</w:t>
      </w:r>
    </w:p>
    <w:p w:rsidR="00910679" w:rsidRPr="00654F44" w:rsidRDefault="00910679">
      <w:pPr>
        <w:pStyle w:val="paragraph"/>
      </w:pPr>
      <w:r w:rsidRPr="00654F44">
        <w:tab/>
        <w:t>(c)</w:t>
      </w:r>
      <w:r w:rsidRPr="00654F44">
        <w:tab/>
        <w:t>any other bank approved in writing for the purposes of the provision in which the expression occurs:</w:t>
      </w:r>
    </w:p>
    <w:p w:rsidR="00910679" w:rsidRPr="00654F44" w:rsidRDefault="00910679">
      <w:pPr>
        <w:pStyle w:val="paragraphsub"/>
      </w:pPr>
      <w:r w:rsidRPr="00654F44">
        <w:tab/>
        <w:t>(i)</w:t>
      </w:r>
      <w:r w:rsidRPr="00654F44">
        <w:tab/>
        <w:t>by the Treasurer; or</w:t>
      </w:r>
    </w:p>
    <w:p w:rsidR="00910679" w:rsidRPr="00654F44" w:rsidRDefault="00910679">
      <w:pPr>
        <w:pStyle w:val="paragraphsub"/>
      </w:pPr>
      <w:r w:rsidRPr="00654F44">
        <w:tab/>
        <w:t>(ii)</w:t>
      </w:r>
      <w:r w:rsidRPr="00654F44">
        <w:tab/>
        <w:t>by a person authorised in writing by the Treasurer to give the approval.</w:t>
      </w:r>
    </w:p>
    <w:p w:rsidR="00910679" w:rsidRPr="00654F44" w:rsidRDefault="00910679">
      <w:pPr>
        <w:pStyle w:val="Definition"/>
      </w:pPr>
      <w:r w:rsidRPr="00654F44">
        <w:rPr>
          <w:b/>
          <w:i/>
        </w:rPr>
        <w:t>appoint</w:t>
      </w:r>
      <w:r w:rsidRPr="00654F44">
        <w:t xml:space="preserve"> includes </w:t>
      </w:r>
      <w:r w:rsidRPr="00654F44">
        <w:rPr>
          <w:b/>
          <w:i/>
        </w:rPr>
        <w:t>re</w:t>
      </w:r>
      <w:r w:rsidR="00654F44">
        <w:rPr>
          <w:b/>
          <w:i/>
        </w:rPr>
        <w:noBreakHyphen/>
      </w:r>
      <w:r w:rsidRPr="00654F44">
        <w:rPr>
          <w:b/>
          <w:i/>
        </w:rPr>
        <w:t>appoint</w:t>
      </w:r>
      <w:r w:rsidRPr="00654F44">
        <w:t>.</w:t>
      </w:r>
    </w:p>
    <w:p w:rsidR="00910679" w:rsidRPr="00654F44" w:rsidRDefault="00910679">
      <w:pPr>
        <w:pStyle w:val="Definition"/>
      </w:pPr>
      <w:r w:rsidRPr="00654F44">
        <w:rPr>
          <w:b/>
          <w:i/>
        </w:rPr>
        <w:t>Chief Executive and Principal Registrar</w:t>
      </w:r>
      <w:r w:rsidRPr="00654F44">
        <w:t xml:space="preserve"> means the Chief Executive and Principal Registrar of the Court appointed under section</w:t>
      </w:r>
      <w:r w:rsidR="00654F44">
        <w:t> </w:t>
      </w:r>
      <w:r w:rsidRPr="00654F44">
        <w:t>18.</w:t>
      </w:r>
    </w:p>
    <w:p w:rsidR="00910679" w:rsidRPr="00654F44" w:rsidRDefault="00910679">
      <w:pPr>
        <w:pStyle w:val="Definition"/>
      </w:pPr>
      <w:r w:rsidRPr="00654F44">
        <w:rPr>
          <w:b/>
          <w:i/>
        </w:rPr>
        <w:t>Chief Justice</w:t>
      </w:r>
      <w:r w:rsidRPr="00654F44">
        <w:t xml:space="preserve"> includes a Justice for the time being performing the duties and exercising the powers of the Chief Justice.</w:t>
      </w:r>
    </w:p>
    <w:p w:rsidR="00910679" w:rsidRPr="00654F44" w:rsidRDefault="00910679">
      <w:pPr>
        <w:pStyle w:val="Definition"/>
      </w:pPr>
      <w:r w:rsidRPr="00654F44">
        <w:rPr>
          <w:b/>
          <w:i/>
        </w:rPr>
        <w:t>Court</w:t>
      </w:r>
      <w:r w:rsidRPr="00654F44">
        <w:t xml:space="preserve"> means the High Court.</w:t>
      </w:r>
    </w:p>
    <w:p w:rsidR="00910679" w:rsidRPr="00654F44" w:rsidRDefault="00910679">
      <w:pPr>
        <w:pStyle w:val="Definition"/>
      </w:pPr>
      <w:r w:rsidRPr="00654F44">
        <w:rPr>
          <w:b/>
          <w:i/>
        </w:rPr>
        <w:t>Deputy Registrar</w:t>
      </w:r>
      <w:r w:rsidRPr="00654F44">
        <w:t xml:space="preserve"> means a Deputy Registrar of the Court appointed under subsection</w:t>
      </w:r>
      <w:r w:rsidR="00654F44">
        <w:t> </w:t>
      </w:r>
      <w:r w:rsidRPr="00654F44">
        <w:t>26(1).</w:t>
      </w:r>
    </w:p>
    <w:p w:rsidR="00910679" w:rsidRPr="00654F44" w:rsidRDefault="00910679">
      <w:pPr>
        <w:pStyle w:val="Definition"/>
      </w:pPr>
      <w:r w:rsidRPr="00654F44">
        <w:rPr>
          <w:b/>
          <w:i/>
        </w:rPr>
        <w:t>Deputy Marshal</w:t>
      </w:r>
      <w:r w:rsidRPr="00654F44">
        <w:t xml:space="preserve"> means a Deputy Marshal of the Court appointed under subsection</w:t>
      </w:r>
      <w:r w:rsidR="00654F44">
        <w:t> </w:t>
      </w:r>
      <w:r w:rsidRPr="00654F44">
        <w:t>26(1).</w:t>
      </w:r>
    </w:p>
    <w:p w:rsidR="00A12CE3" w:rsidRPr="00654F44" w:rsidRDefault="00A12CE3" w:rsidP="00A12CE3">
      <w:pPr>
        <w:pStyle w:val="Definition"/>
      </w:pPr>
      <w:r w:rsidRPr="00654F44">
        <w:rPr>
          <w:b/>
          <w:i/>
        </w:rPr>
        <w:t>Finance Minister</w:t>
      </w:r>
      <w:r w:rsidRPr="00654F44">
        <w:t xml:space="preserve"> means the Minister who administers the </w:t>
      </w:r>
      <w:r w:rsidR="0052596E" w:rsidRPr="00654F44">
        <w:rPr>
          <w:i/>
        </w:rPr>
        <w:t>Public Governance, Performance and Accountability Act 2013</w:t>
      </w:r>
      <w:r w:rsidRPr="00654F44">
        <w:t>.</w:t>
      </w:r>
    </w:p>
    <w:p w:rsidR="00910679" w:rsidRPr="00654F44" w:rsidRDefault="00910679">
      <w:pPr>
        <w:pStyle w:val="Definition"/>
      </w:pPr>
      <w:r w:rsidRPr="00654F44">
        <w:rPr>
          <w:b/>
          <w:i/>
        </w:rPr>
        <w:t>Justice</w:t>
      </w:r>
      <w:r w:rsidRPr="00654F44">
        <w:t xml:space="preserve"> means a Justice of the Court and includes the Chief Justice.</w:t>
      </w:r>
    </w:p>
    <w:p w:rsidR="00910679" w:rsidRPr="00654F44" w:rsidRDefault="00910679">
      <w:pPr>
        <w:pStyle w:val="Definition"/>
      </w:pPr>
      <w:r w:rsidRPr="00654F44">
        <w:rPr>
          <w:b/>
          <w:i/>
        </w:rPr>
        <w:t>Marshal</w:t>
      </w:r>
      <w:r w:rsidRPr="00654F44">
        <w:t xml:space="preserve"> means the Marshal of the Court appointed under subsection</w:t>
      </w:r>
      <w:r w:rsidR="00654F44">
        <w:t> </w:t>
      </w:r>
      <w:r w:rsidRPr="00654F44">
        <w:t>26(1).</w:t>
      </w:r>
    </w:p>
    <w:p w:rsidR="00910679" w:rsidRPr="00654F44" w:rsidRDefault="00910679">
      <w:pPr>
        <w:pStyle w:val="Definition"/>
      </w:pPr>
      <w:r w:rsidRPr="00654F44">
        <w:rPr>
          <w:b/>
          <w:i/>
        </w:rPr>
        <w:t>Minister</w:t>
      </w:r>
      <w:r w:rsidRPr="00654F44">
        <w:t xml:space="preserve">, in relation to a State or the </w:t>
      </w:r>
      <w:smartTag w:uri="urn:schemas-microsoft-com:office:smarttags" w:element="State">
        <w:smartTag w:uri="urn:schemas-microsoft-com:office:smarttags" w:element="place">
          <w:r w:rsidRPr="00654F44">
            <w:t>Northern Territory</w:t>
          </w:r>
        </w:smartTag>
      </w:smartTag>
      <w:r w:rsidRPr="00654F44">
        <w:t>, means:</w:t>
      </w:r>
    </w:p>
    <w:p w:rsidR="00910679" w:rsidRPr="00654F44" w:rsidRDefault="00910679">
      <w:pPr>
        <w:pStyle w:val="paragraph"/>
      </w:pPr>
      <w:r w:rsidRPr="00654F44">
        <w:tab/>
        <w:t>(a)</w:t>
      </w:r>
      <w:r w:rsidRPr="00654F44">
        <w:tab/>
        <w:t>in the case of a State—a Minister of the Crown of that State; or</w:t>
      </w:r>
    </w:p>
    <w:p w:rsidR="00910679" w:rsidRPr="00654F44" w:rsidRDefault="00910679">
      <w:pPr>
        <w:pStyle w:val="paragraph"/>
      </w:pPr>
      <w:r w:rsidRPr="00654F44">
        <w:tab/>
        <w:t>(b)</w:t>
      </w:r>
      <w:r w:rsidRPr="00654F44">
        <w:tab/>
        <w:t xml:space="preserve">in the case of the </w:t>
      </w:r>
      <w:smartTag w:uri="urn:schemas-microsoft-com:office:smarttags" w:element="State">
        <w:smartTag w:uri="urn:schemas-microsoft-com:office:smarttags" w:element="place">
          <w:r w:rsidRPr="00654F44">
            <w:t>Northern Territory</w:t>
          </w:r>
        </w:smartTag>
      </w:smartTag>
      <w:r w:rsidRPr="00654F44">
        <w:t>—a person holding Ministerial Office under section</w:t>
      </w:r>
      <w:r w:rsidR="00654F44">
        <w:t> </w:t>
      </w:r>
      <w:r w:rsidRPr="00654F44">
        <w:t xml:space="preserve">36 of the </w:t>
      </w:r>
      <w:smartTag w:uri="urn:schemas-microsoft-com:office:smarttags" w:element="State">
        <w:smartTag w:uri="urn:schemas-microsoft-com:office:smarttags" w:element="place">
          <w:r w:rsidRPr="00654F44">
            <w:rPr>
              <w:i/>
            </w:rPr>
            <w:t>Northern Territory</w:t>
          </w:r>
        </w:smartTag>
      </w:smartTag>
      <w:r w:rsidRPr="00654F44">
        <w:rPr>
          <w:i/>
        </w:rPr>
        <w:t xml:space="preserve"> (Self</w:t>
      </w:r>
      <w:r w:rsidR="00654F44">
        <w:rPr>
          <w:i/>
        </w:rPr>
        <w:noBreakHyphen/>
      </w:r>
      <w:r w:rsidRPr="00654F44">
        <w:rPr>
          <w:i/>
        </w:rPr>
        <w:t>Government) Act 1978</w:t>
      </w:r>
      <w:r w:rsidRPr="00654F44">
        <w:t>.</w:t>
      </w:r>
    </w:p>
    <w:p w:rsidR="00910679" w:rsidRPr="00654F44" w:rsidRDefault="00910679">
      <w:pPr>
        <w:pStyle w:val="Definition"/>
      </w:pPr>
      <w:r w:rsidRPr="00654F44">
        <w:rPr>
          <w:b/>
          <w:i/>
        </w:rPr>
        <w:lastRenderedPageBreak/>
        <w:t>proceeding</w:t>
      </w:r>
      <w:r w:rsidRPr="00654F44">
        <w:t xml:space="preserve"> means any proceeding in the Court whether civil or criminal and whether in the original or appellate jurisdiction of the Court.</w:t>
      </w:r>
    </w:p>
    <w:p w:rsidR="00910679" w:rsidRPr="00654F44" w:rsidRDefault="00910679">
      <w:pPr>
        <w:pStyle w:val="Definition"/>
      </w:pPr>
      <w:r w:rsidRPr="00654F44">
        <w:rPr>
          <w:b/>
          <w:i/>
        </w:rPr>
        <w:t>Rules of Court</w:t>
      </w:r>
      <w:r w:rsidRPr="00654F44">
        <w:t xml:space="preserve"> means Rules of Court under section</w:t>
      </w:r>
      <w:r w:rsidR="00654F44">
        <w:t> </w:t>
      </w:r>
      <w:r w:rsidRPr="00654F44">
        <w:t xml:space="preserve">86 of the </w:t>
      </w:r>
      <w:r w:rsidRPr="00654F44">
        <w:rPr>
          <w:i/>
        </w:rPr>
        <w:t>Judiciary Act 1903</w:t>
      </w:r>
      <w:r w:rsidRPr="00654F44">
        <w:t>.</w:t>
      </w:r>
    </w:p>
    <w:p w:rsidR="00910679" w:rsidRPr="00654F44" w:rsidRDefault="00910679">
      <w:pPr>
        <w:pStyle w:val="Definition"/>
      </w:pPr>
      <w:r w:rsidRPr="00654F44">
        <w:rPr>
          <w:b/>
          <w:i/>
        </w:rPr>
        <w:t>Senior Registrar</w:t>
      </w:r>
      <w:r w:rsidRPr="00654F44">
        <w:t xml:space="preserve"> means the Senior Registrar of the Court appointed under subsection</w:t>
      </w:r>
      <w:r w:rsidR="00654F44">
        <w:t> </w:t>
      </w:r>
      <w:r w:rsidRPr="00654F44">
        <w:t>26(1).</w:t>
      </w:r>
    </w:p>
    <w:p w:rsidR="00910679" w:rsidRPr="00654F44" w:rsidRDefault="00910679">
      <w:pPr>
        <w:pStyle w:val="subsection"/>
      </w:pPr>
      <w:r w:rsidRPr="00654F44">
        <w:tab/>
        <w:t>(2)</w:t>
      </w:r>
      <w:r w:rsidRPr="00654F44">
        <w:tab/>
        <w:t>Any reference in this Act to moneys or property does not include a reference to moneys or property received by the High Court in connection with a proceeding.</w:t>
      </w:r>
    </w:p>
    <w:p w:rsidR="00910679" w:rsidRPr="00654F44" w:rsidRDefault="00910679" w:rsidP="00BF69CF">
      <w:pPr>
        <w:pStyle w:val="ActHead5"/>
        <w:rPr>
          <w:i/>
        </w:rPr>
      </w:pPr>
      <w:bookmarkStart w:id="6" w:name="_Toc392593231"/>
      <w:r w:rsidRPr="00654F44">
        <w:rPr>
          <w:rStyle w:val="CharSectno"/>
        </w:rPr>
        <w:t>4A</w:t>
      </w:r>
      <w:r w:rsidRPr="00654F44">
        <w:t xml:space="preserve">  Application of the </w:t>
      </w:r>
      <w:r w:rsidRPr="00654F44">
        <w:rPr>
          <w:i/>
        </w:rPr>
        <w:t>Criminal Code</w:t>
      </w:r>
      <w:bookmarkEnd w:id="6"/>
    </w:p>
    <w:p w:rsidR="00910679" w:rsidRPr="00654F44" w:rsidRDefault="00910679">
      <w:pPr>
        <w:pStyle w:val="subsection"/>
      </w:pPr>
      <w:r w:rsidRPr="00654F44">
        <w:tab/>
      </w:r>
      <w:r w:rsidRPr="00654F44">
        <w:tab/>
        <w:t>Chapter</w:t>
      </w:r>
      <w:r w:rsidR="00654F44">
        <w:t> </w:t>
      </w:r>
      <w:r w:rsidRPr="00654F44">
        <w:t xml:space="preserve">2 of the </w:t>
      </w:r>
      <w:r w:rsidRPr="00654F44">
        <w:rPr>
          <w:i/>
        </w:rPr>
        <w:t>Criminal Code</w:t>
      </w:r>
      <w:r w:rsidRPr="00654F44">
        <w:t xml:space="preserve"> applies to all offences against this Act.</w:t>
      </w:r>
    </w:p>
    <w:p w:rsidR="00910679" w:rsidRPr="00654F44" w:rsidRDefault="00910679">
      <w:pPr>
        <w:pStyle w:val="notetext"/>
      </w:pPr>
      <w:r w:rsidRPr="00654F44">
        <w:t>Note:</w:t>
      </w:r>
      <w:r w:rsidRPr="00654F44">
        <w:tab/>
        <w:t>Chapter</w:t>
      </w:r>
      <w:r w:rsidR="00654F44">
        <w:t> </w:t>
      </w:r>
      <w:r w:rsidRPr="00654F44">
        <w:t xml:space="preserve">2 of the </w:t>
      </w:r>
      <w:r w:rsidRPr="00654F44">
        <w:rPr>
          <w:i/>
        </w:rPr>
        <w:t>Criminal Code</w:t>
      </w:r>
      <w:r w:rsidRPr="00654F44">
        <w:t xml:space="preserve"> sets out the general principles of criminal responsibility.</w:t>
      </w:r>
    </w:p>
    <w:p w:rsidR="00910679" w:rsidRPr="00654F44" w:rsidRDefault="00910679" w:rsidP="00E12D7E">
      <w:pPr>
        <w:pStyle w:val="ActHead2"/>
        <w:pageBreakBefore/>
      </w:pPr>
      <w:bookmarkStart w:id="7" w:name="_Toc392593232"/>
      <w:r w:rsidRPr="00654F44">
        <w:rPr>
          <w:rStyle w:val="CharPartNo"/>
        </w:rPr>
        <w:lastRenderedPageBreak/>
        <w:t>Part</w:t>
      </w:r>
      <w:r w:rsidR="00E12D7E" w:rsidRPr="00654F44">
        <w:rPr>
          <w:rStyle w:val="CharPartNo"/>
        </w:rPr>
        <w:t> </w:t>
      </w:r>
      <w:r w:rsidRPr="00654F44">
        <w:rPr>
          <w:rStyle w:val="CharPartNo"/>
        </w:rPr>
        <w:t>II</w:t>
      </w:r>
      <w:r w:rsidRPr="00654F44">
        <w:t>—</w:t>
      </w:r>
      <w:r w:rsidRPr="00654F44">
        <w:rPr>
          <w:rStyle w:val="CharPartText"/>
        </w:rPr>
        <w:t>Constitution and seat of the High Court</w:t>
      </w:r>
      <w:bookmarkEnd w:id="7"/>
    </w:p>
    <w:p w:rsidR="00910679" w:rsidRPr="00654F44" w:rsidRDefault="00910679" w:rsidP="00BF69CF">
      <w:pPr>
        <w:pStyle w:val="ActHead3"/>
      </w:pPr>
      <w:bookmarkStart w:id="8" w:name="_Toc392593233"/>
      <w:r w:rsidRPr="00654F44">
        <w:rPr>
          <w:rStyle w:val="CharDivNo"/>
        </w:rPr>
        <w:t>Division</w:t>
      </w:r>
      <w:r w:rsidR="00654F44" w:rsidRPr="00654F44">
        <w:rPr>
          <w:rStyle w:val="CharDivNo"/>
        </w:rPr>
        <w:t> </w:t>
      </w:r>
      <w:r w:rsidRPr="00654F44">
        <w:rPr>
          <w:rStyle w:val="CharDivNo"/>
        </w:rPr>
        <w:t>1</w:t>
      </w:r>
      <w:r w:rsidRPr="00654F44">
        <w:t>—</w:t>
      </w:r>
      <w:r w:rsidRPr="00654F44">
        <w:rPr>
          <w:rStyle w:val="CharDivText"/>
        </w:rPr>
        <w:t>Justices of the High Court</w:t>
      </w:r>
      <w:bookmarkEnd w:id="8"/>
    </w:p>
    <w:p w:rsidR="00910679" w:rsidRPr="00654F44" w:rsidRDefault="00910679" w:rsidP="00BF69CF">
      <w:pPr>
        <w:pStyle w:val="ActHead5"/>
      </w:pPr>
      <w:bookmarkStart w:id="9" w:name="_Toc392593234"/>
      <w:r w:rsidRPr="00654F44">
        <w:rPr>
          <w:rStyle w:val="CharSectno"/>
        </w:rPr>
        <w:t>5</w:t>
      </w:r>
      <w:r w:rsidRPr="00654F44">
        <w:t xml:space="preserve">  The High Court</w:t>
      </w:r>
      <w:bookmarkEnd w:id="9"/>
    </w:p>
    <w:p w:rsidR="00910679" w:rsidRPr="00654F44" w:rsidRDefault="00910679">
      <w:pPr>
        <w:pStyle w:val="subsection"/>
      </w:pPr>
      <w:r w:rsidRPr="00654F44">
        <w:tab/>
      </w:r>
      <w:r w:rsidRPr="00654F44">
        <w:tab/>
        <w:t>The High Court is a superior court of record and consists of the Chief Justice and six other Justices appointed by the Governor</w:t>
      </w:r>
      <w:r w:rsidR="00654F44">
        <w:noBreakHyphen/>
      </w:r>
      <w:r w:rsidRPr="00654F44">
        <w:t xml:space="preserve"> General by commission.</w:t>
      </w:r>
    </w:p>
    <w:p w:rsidR="00910679" w:rsidRPr="00654F44" w:rsidRDefault="00910679" w:rsidP="00BF69CF">
      <w:pPr>
        <w:pStyle w:val="ActHead5"/>
      </w:pPr>
      <w:bookmarkStart w:id="10" w:name="_Toc392593235"/>
      <w:r w:rsidRPr="00654F44">
        <w:rPr>
          <w:rStyle w:val="CharSectno"/>
        </w:rPr>
        <w:t>6</w:t>
      </w:r>
      <w:r w:rsidRPr="00654F44">
        <w:t xml:space="preserve">  Consultation with State Attorneys</w:t>
      </w:r>
      <w:r w:rsidR="00654F44">
        <w:noBreakHyphen/>
      </w:r>
      <w:r w:rsidRPr="00654F44">
        <w:t>General on appointment of Justices</w:t>
      </w:r>
      <w:bookmarkEnd w:id="10"/>
    </w:p>
    <w:p w:rsidR="00910679" w:rsidRPr="00654F44" w:rsidRDefault="00910679">
      <w:pPr>
        <w:pStyle w:val="subsection"/>
      </w:pPr>
      <w:r w:rsidRPr="00654F44">
        <w:tab/>
      </w:r>
      <w:r w:rsidRPr="00654F44">
        <w:tab/>
        <w:t>Where there is a vacancy in an office of Justice, the Attorney</w:t>
      </w:r>
      <w:r w:rsidR="00654F44">
        <w:noBreakHyphen/>
      </w:r>
      <w:r w:rsidRPr="00654F44">
        <w:t xml:space="preserve"> General shall, before an appointment is made to the vacant office, consult with the Attorneys</w:t>
      </w:r>
      <w:r w:rsidR="00654F44">
        <w:noBreakHyphen/>
      </w:r>
      <w:r w:rsidRPr="00654F44">
        <w:t>General of the States in relation to the appointment.</w:t>
      </w:r>
    </w:p>
    <w:p w:rsidR="00910679" w:rsidRPr="00654F44" w:rsidRDefault="00910679" w:rsidP="00BF69CF">
      <w:pPr>
        <w:pStyle w:val="ActHead5"/>
      </w:pPr>
      <w:bookmarkStart w:id="11" w:name="_Toc392593236"/>
      <w:r w:rsidRPr="00654F44">
        <w:rPr>
          <w:rStyle w:val="CharSectno"/>
        </w:rPr>
        <w:t>7</w:t>
      </w:r>
      <w:r w:rsidRPr="00654F44">
        <w:t xml:space="preserve">  Qualification of Justices</w:t>
      </w:r>
      <w:bookmarkEnd w:id="11"/>
    </w:p>
    <w:p w:rsidR="00910679" w:rsidRPr="00654F44" w:rsidRDefault="00910679">
      <w:pPr>
        <w:pStyle w:val="subsection"/>
      </w:pPr>
      <w:r w:rsidRPr="00654F44">
        <w:tab/>
      </w:r>
      <w:r w:rsidRPr="00654F44">
        <w:tab/>
        <w:t>A person shall not be appointed as a Justice unless:</w:t>
      </w:r>
    </w:p>
    <w:p w:rsidR="00910679" w:rsidRPr="00654F44" w:rsidRDefault="00910679">
      <w:pPr>
        <w:pStyle w:val="paragraph"/>
      </w:pPr>
      <w:r w:rsidRPr="00654F44">
        <w:tab/>
        <w:t>(a)</w:t>
      </w:r>
      <w:r w:rsidRPr="00654F44">
        <w:tab/>
        <w:t>he or she is or has been a Judge of a court created by the Parliament or of a court of a State or Territory; or</w:t>
      </w:r>
    </w:p>
    <w:p w:rsidR="00910679" w:rsidRPr="00654F44" w:rsidRDefault="00910679">
      <w:pPr>
        <w:pStyle w:val="paragraph"/>
      </w:pPr>
      <w:r w:rsidRPr="00654F44">
        <w:tab/>
        <w:t>(b)</w:t>
      </w:r>
      <w:r w:rsidRPr="00654F44">
        <w:tab/>
        <w:t>he or she has been enrolled as a barrister or solicitor, as a barrister and solicitor, or as a legal practitioner, of the High Court or of the Supreme Court of a State or Territory for not less than 5 years.</w:t>
      </w:r>
    </w:p>
    <w:p w:rsidR="00910679" w:rsidRPr="00654F44" w:rsidRDefault="00910679" w:rsidP="00BF69CF">
      <w:pPr>
        <w:pStyle w:val="ActHead5"/>
      </w:pPr>
      <w:bookmarkStart w:id="12" w:name="_Toc392593237"/>
      <w:r w:rsidRPr="00654F44">
        <w:rPr>
          <w:rStyle w:val="CharSectno"/>
        </w:rPr>
        <w:t>8</w:t>
      </w:r>
      <w:r w:rsidRPr="00654F44">
        <w:t xml:space="preserve">  Seniority</w:t>
      </w:r>
      <w:bookmarkEnd w:id="12"/>
    </w:p>
    <w:p w:rsidR="00910679" w:rsidRPr="00654F44" w:rsidRDefault="00910679">
      <w:pPr>
        <w:pStyle w:val="subsection"/>
      </w:pPr>
      <w:r w:rsidRPr="00654F44">
        <w:tab/>
      </w:r>
      <w:r w:rsidRPr="00654F44">
        <w:tab/>
        <w:t>The Justices other than the Chief Justice have seniority according to the dates of their commissions or, where the commissions of two or more Justices bear the same date, according to the precedence assigned to them by their commissions.</w:t>
      </w:r>
    </w:p>
    <w:p w:rsidR="00910679" w:rsidRPr="00654F44" w:rsidRDefault="00910679" w:rsidP="00BF69CF">
      <w:pPr>
        <w:pStyle w:val="ActHead5"/>
      </w:pPr>
      <w:bookmarkStart w:id="13" w:name="_Toc392593238"/>
      <w:r w:rsidRPr="00654F44">
        <w:rPr>
          <w:rStyle w:val="CharSectno"/>
        </w:rPr>
        <w:lastRenderedPageBreak/>
        <w:t>9</w:t>
      </w:r>
      <w:r w:rsidRPr="00654F44">
        <w:t xml:space="preserve">  Acting Chief Justice</w:t>
      </w:r>
      <w:bookmarkEnd w:id="13"/>
    </w:p>
    <w:p w:rsidR="00910679" w:rsidRPr="00654F44" w:rsidRDefault="00910679">
      <w:pPr>
        <w:pStyle w:val="subsection"/>
        <w:keepNext/>
        <w:keepLines/>
      </w:pPr>
      <w:r w:rsidRPr="00654F44">
        <w:tab/>
      </w:r>
      <w:r w:rsidRPr="00654F44">
        <w:tab/>
        <w:t>Whenever:</w:t>
      </w:r>
    </w:p>
    <w:p w:rsidR="00910679" w:rsidRPr="00654F44" w:rsidRDefault="00910679">
      <w:pPr>
        <w:pStyle w:val="paragraph"/>
      </w:pPr>
      <w:r w:rsidRPr="00654F44">
        <w:tab/>
        <w:t>(a)</w:t>
      </w:r>
      <w:r w:rsidRPr="00654F44">
        <w:tab/>
        <w:t xml:space="preserve">the Chief Justice is absent from </w:t>
      </w:r>
      <w:smartTag w:uri="urn:schemas-microsoft-com:office:smarttags" w:element="country-region">
        <w:smartTag w:uri="urn:schemas-microsoft-com:office:smarttags" w:element="place">
          <w:r w:rsidRPr="00654F44">
            <w:t>Australia</w:t>
          </w:r>
        </w:smartTag>
      </w:smartTag>
      <w:r w:rsidRPr="00654F44">
        <w:t xml:space="preserve"> or is unable or unavailable to perform the duties of his or her office; or</w:t>
      </w:r>
    </w:p>
    <w:p w:rsidR="00910679" w:rsidRPr="00654F44" w:rsidRDefault="00910679">
      <w:pPr>
        <w:pStyle w:val="paragraph"/>
        <w:keepNext/>
      </w:pPr>
      <w:r w:rsidRPr="00654F44">
        <w:tab/>
        <w:t>(b)</w:t>
      </w:r>
      <w:r w:rsidRPr="00654F44">
        <w:tab/>
        <w:t>there is a vacancy in the office of Chief Justice;</w:t>
      </w:r>
    </w:p>
    <w:p w:rsidR="00910679" w:rsidRPr="00654F44" w:rsidRDefault="00910679">
      <w:pPr>
        <w:pStyle w:val="subsection2"/>
      </w:pPr>
      <w:r w:rsidRPr="00654F44">
        <w:t>the next senior Justice who is in Australia and is able and willing to do so shall perform the duties, and may exercise the powers, of the Chief Justice, and shall, during any period of absence of the Chief Justice from Australia or during a vacancy in the office of Chief Justice, be designated Acting Chief Justice.</w:t>
      </w:r>
    </w:p>
    <w:p w:rsidR="00910679" w:rsidRPr="00654F44" w:rsidRDefault="00910679" w:rsidP="00BF69CF">
      <w:pPr>
        <w:pStyle w:val="ActHead5"/>
      </w:pPr>
      <w:bookmarkStart w:id="14" w:name="_Toc392593239"/>
      <w:r w:rsidRPr="00654F44">
        <w:rPr>
          <w:rStyle w:val="CharSectno"/>
        </w:rPr>
        <w:t>10</w:t>
      </w:r>
      <w:r w:rsidRPr="00654F44">
        <w:t xml:space="preserve">  Justices not to hold other office</w:t>
      </w:r>
      <w:bookmarkEnd w:id="14"/>
    </w:p>
    <w:p w:rsidR="00910679" w:rsidRPr="00654F44" w:rsidRDefault="00910679">
      <w:pPr>
        <w:pStyle w:val="subsection"/>
      </w:pPr>
      <w:r w:rsidRPr="00654F44">
        <w:tab/>
      </w:r>
      <w:r w:rsidRPr="00654F44">
        <w:tab/>
        <w:t xml:space="preserve">A Justice is not capable of accepting or holding any other office of profit within </w:t>
      </w:r>
      <w:smartTag w:uri="urn:schemas-microsoft-com:office:smarttags" w:element="country-region">
        <w:smartTag w:uri="urn:schemas-microsoft-com:office:smarttags" w:element="place">
          <w:r w:rsidRPr="00654F44">
            <w:t>Australia</w:t>
          </w:r>
        </w:smartTag>
      </w:smartTag>
      <w:r w:rsidRPr="00654F44">
        <w:t>.</w:t>
      </w:r>
    </w:p>
    <w:p w:rsidR="00910679" w:rsidRPr="00654F44" w:rsidRDefault="00910679" w:rsidP="00BF69CF">
      <w:pPr>
        <w:pStyle w:val="ActHead5"/>
      </w:pPr>
      <w:bookmarkStart w:id="15" w:name="_Toc392593240"/>
      <w:r w:rsidRPr="00654F44">
        <w:rPr>
          <w:rStyle w:val="CharSectno"/>
        </w:rPr>
        <w:t>11</w:t>
      </w:r>
      <w:r w:rsidRPr="00654F44">
        <w:t xml:space="preserve">  Oath or affirmation of allegiance and of office</w:t>
      </w:r>
      <w:bookmarkEnd w:id="15"/>
    </w:p>
    <w:p w:rsidR="00910679" w:rsidRPr="00654F44" w:rsidRDefault="00910679">
      <w:pPr>
        <w:pStyle w:val="subsection"/>
      </w:pPr>
      <w:r w:rsidRPr="00654F44">
        <w:tab/>
      </w:r>
      <w:r w:rsidRPr="00654F44">
        <w:tab/>
        <w:t>A person who is appointed as a Justice after the commencement of this Act shall, before proceeding to discharge the duties of his or her office, take an oath or make an affirmation in accordance with the form in the Schedule.</w:t>
      </w:r>
    </w:p>
    <w:p w:rsidR="00910679" w:rsidRPr="00654F44" w:rsidRDefault="00910679" w:rsidP="00BF69CF">
      <w:pPr>
        <w:pStyle w:val="ActHead5"/>
      </w:pPr>
      <w:bookmarkStart w:id="16" w:name="_Toc392593241"/>
      <w:r w:rsidRPr="00654F44">
        <w:rPr>
          <w:rStyle w:val="CharSectno"/>
        </w:rPr>
        <w:t>12</w:t>
      </w:r>
      <w:r w:rsidRPr="00654F44">
        <w:t xml:space="preserve">  Salary and allowances</w:t>
      </w:r>
      <w:bookmarkEnd w:id="16"/>
    </w:p>
    <w:p w:rsidR="00910679" w:rsidRPr="00654F44" w:rsidRDefault="00910679">
      <w:pPr>
        <w:pStyle w:val="subsection"/>
      </w:pPr>
      <w:r w:rsidRPr="00654F44">
        <w:tab/>
        <w:t>(1)</w:t>
      </w:r>
      <w:r w:rsidRPr="00654F44">
        <w:tab/>
        <w:t>The Chief Justice and the other Justices shall receive salary and annual allowances at such respective rates as are fixed from time to time by the Parliament.</w:t>
      </w:r>
    </w:p>
    <w:p w:rsidR="00910679" w:rsidRPr="00654F44" w:rsidRDefault="00910679">
      <w:pPr>
        <w:pStyle w:val="subsection"/>
      </w:pPr>
      <w:r w:rsidRPr="00654F44">
        <w:tab/>
        <w:t>(2)</w:t>
      </w:r>
      <w:r w:rsidRPr="00654F44">
        <w:tab/>
        <w:t>The salary and annual allowance of a Justice accrue from day to day and are payable monthly.</w:t>
      </w:r>
    </w:p>
    <w:p w:rsidR="00910679" w:rsidRPr="00654F44" w:rsidRDefault="00910679">
      <w:pPr>
        <w:pStyle w:val="subsection"/>
      </w:pPr>
      <w:r w:rsidRPr="00654F44">
        <w:tab/>
        <w:t>(3)</w:t>
      </w:r>
      <w:r w:rsidRPr="00654F44">
        <w:tab/>
        <w:t>The Chief Justice and the other Justices shall receive such respective allowances in respect of travelling expenses as are provided by the Parliament.</w:t>
      </w:r>
    </w:p>
    <w:p w:rsidR="00910679" w:rsidRPr="00654F44" w:rsidRDefault="00910679" w:rsidP="00BF69CF">
      <w:pPr>
        <w:pStyle w:val="ActHead5"/>
      </w:pPr>
      <w:bookmarkStart w:id="17" w:name="_Toc392593242"/>
      <w:r w:rsidRPr="00654F44">
        <w:rPr>
          <w:rStyle w:val="CharSectno"/>
        </w:rPr>
        <w:lastRenderedPageBreak/>
        <w:t>13</w:t>
      </w:r>
      <w:r w:rsidRPr="00654F44">
        <w:t xml:space="preserve">   Appropriation</w:t>
      </w:r>
      <w:bookmarkEnd w:id="17"/>
    </w:p>
    <w:p w:rsidR="00910679" w:rsidRPr="00654F44" w:rsidRDefault="00910679">
      <w:pPr>
        <w:pStyle w:val="subsection"/>
      </w:pPr>
      <w:r w:rsidRPr="00654F44">
        <w:tab/>
      </w:r>
      <w:r w:rsidRPr="00654F44">
        <w:tab/>
        <w:t>The salaries, annual allowances and other allowances referred to in section</w:t>
      </w:r>
      <w:r w:rsidR="00654F44">
        <w:t> </w:t>
      </w:r>
      <w:r w:rsidRPr="00654F44">
        <w:t>12 are payable out of the Consolidated Revenue Fund, which, to the necessary extent, is appropriated accordingly.</w:t>
      </w:r>
    </w:p>
    <w:p w:rsidR="00910679" w:rsidRPr="00654F44" w:rsidRDefault="00910679" w:rsidP="00E12D7E">
      <w:pPr>
        <w:pStyle w:val="ActHead3"/>
        <w:pageBreakBefore/>
      </w:pPr>
      <w:bookmarkStart w:id="18" w:name="_Toc392593243"/>
      <w:r w:rsidRPr="00654F44">
        <w:rPr>
          <w:rStyle w:val="CharDivNo"/>
        </w:rPr>
        <w:lastRenderedPageBreak/>
        <w:t>Division</w:t>
      </w:r>
      <w:r w:rsidR="00654F44" w:rsidRPr="00654F44">
        <w:rPr>
          <w:rStyle w:val="CharDivNo"/>
        </w:rPr>
        <w:t> </w:t>
      </w:r>
      <w:r w:rsidRPr="00654F44">
        <w:rPr>
          <w:rStyle w:val="CharDivNo"/>
        </w:rPr>
        <w:t>2</w:t>
      </w:r>
      <w:r w:rsidRPr="00654F44">
        <w:t>—</w:t>
      </w:r>
      <w:r w:rsidRPr="00654F44">
        <w:rPr>
          <w:rStyle w:val="CharDivText"/>
        </w:rPr>
        <w:t>Seat of the High Court</w:t>
      </w:r>
      <w:bookmarkEnd w:id="18"/>
    </w:p>
    <w:p w:rsidR="00910679" w:rsidRPr="00654F44" w:rsidRDefault="00910679" w:rsidP="00BF69CF">
      <w:pPr>
        <w:pStyle w:val="ActHead5"/>
      </w:pPr>
      <w:bookmarkStart w:id="19" w:name="_Toc392593244"/>
      <w:r w:rsidRPr="00654F44">
        <w:rPr>
          <w:rStyle w:val="CharSectno"/>
        </w:rPr>
        <w:t>14</w:t>
      </w:r>
      <w:r w:rsidRPr="00654F44">
        <w:t xml:space="preserve">  Seat</w:t>
      </w:r>
      <w:bookmarkEnd w:id="19"/>
    </w:p>
    <w:p w:rsidR="00910679" w:rsidRPr="00654F44" w:rsidRDefault="00910679">
      <w:pPr>
        <w:pStyle w:val="subsection"/>
      </w:pPr>
      <w:r w:rsidRPr="00654F44">
        <w:tab/>
      </w:r>
      <w:r w:rsidRPr="00654F44">
        <w:tab/>
        <w:t xml:space="preserve">On and after a date to be fixed by Proclamation, the seat of the High Court shall be at the seat of Government in the </w:t>
      </w:r>
      <w:smartTag w:uri="urn:schemas-microsoft-com:office:smarttags" w:element="State">
        <w:smartTag w:uri="urn:schemas-microsoft-com:office:smarttags" w:element="place">
          <w:r w:rsidRPr="00654F44">
            <w:t>Australian Capital Territory</w:t>
          </w:r>
        </w:smartTag>
      </w:smartTag>
      <w:r w:rsidRPr="00654F44">
        <w:t>.</w:t>
      </w:r>
    </w:p>
    <w:p w:rsidR="00910679" w:rsidRPr="00654F44" w:rsidRDefault="00910679" w:rsidP="00BF69CF">
      <w:pPr>
        <w:pStyle w:val="ActHead5"/>
      </w:pPr>
      <w:bookmarkStart w:id="20" w:name="_Toc392593245"/>
      <w:r w:rsidRPr="00654F44">
        <w:rPr>
          <w:rStyle w:val="CharSectno"/>
        </w:rPr>
        <w:t>15</w:t>
      </w:r>
      <w:r w:rsidRPr="00654F44">
        <w:t xml:space="preserve">  Places of sittings</w:t>
      </w:r>
      <w:bookmarkEnd w:id="20"/>
    </w:p>
    <w:p w:rsidR="00910679" w:rsidRPr="00654F44" w:rsidRDefault="00910679">
      <w:pPr>
        <w:pStyle w:val="subsection"/>
      </w:pPr>
      <w:r w:rsidRPr="00654F44">
        <w:tab/>
      </w:r>
      <w:r w:rsidRPr="00654F44">
        <w:tab/>
        <w:t xml:space="preserve">Sittings of the High Court shall be held from time to time as required at the seat of the Court but the Court may sit at other places within </w:t>
      </w:r>
      <w:smartTag w:uri="urn:schemas-microsoft-com:office:smarttags" w:element="country-region">
        <w:smartTag w:uri="urn:schemas-microsoft-com:office:smarttags" w:element="place">
          <w:r w:rsidRPr="00654F44">
            <w:t>Australia</w:t>
          </w:r>
        </w:smartTag>
      </w:smartTag>
      <w:r w:rsidRPr="00654F44">
        <w:t xml:space="preserve"> and the external Territories.</w:t>
      </w:r>
    </w:p>
    <w:p w:rsidR="00910679" w:rsidRPr="00654F44" w:rsidRDefault="00910679" w:rsidP="00BF69CF">
      <w:pPr>
        <w:pStyle w:val="ActHead5"/>
      </w:pPr>
      <w:bookmarkStart w:id="21" w:name="_Toc392593246"/>
      <w:r w:rsidRPr="00654F44">
        <w:rPr>
          <w:rStyle w:val="CharSectno"/>
        </w:rPr>
        <w:t>16</w:t>
      </w:r>
      <w:r w:rsidRPr="00654F44">
        <w:t xml:space="preserve">  Judgment may be pronounced at any sitting</w:t>
      </w:r>
      <w:bookmarkEnd w:id="21"/>
    </w:p>
    <w:p w:rsidR="00910679" w:rsidRPr="00654F44" w:rsidRDefault="00910679">
      <w:pPr>
        <w:pStyle w:val="subsection"/>
      </w:pPr>
      <w:r w:rsidRPr="00654F44">
        <w:tab/>
      </w:r>
      <w:r w:rsidRPr="00654F44">
        <w:tab/>
        <w:t>The High Court may pronounce judgment at a sitting of the Court held at a place other than the place at which the relevant proceeding was held by the Court.</w:t>
      </w:r>
    </w:p>
    <w:p w:rsidR="00910679" w:rsidRPr="00654F44" w:rsidRDefault="00910679" w:rsidP="00E12D7E">
      <w:pPr>
        <w:pStyle w:val="ActHead2"/>
        <w:pageBreakBefore/>
      </w:pPr>
      <w:bookmarkStart w:id="22" w:name="_Toc392593247"/>
      <w:r w:rsidRPr="00654F44">
        <w:rPr>
          <w:rStyle w:val="CharPartNo"/>
        </w:rPr>
        <w:lastRenderedPageBreak/>
        <w:t>Part</w:t>
      </w:r>
      <w:r w:rsidR="00E12D7E" w:rsidRPr="00654F44">
        <w:rPr>
          <w:rStyle w:val="CharPartNo"/>
        </w:rPr>
        <w:t> </w:t>
      </w:r>
      <w:r w:rsidRPr="00654F44">
        <w:rPr>
          <w:rStyle w:val="CharPartNo"/>
        </w:rPr>
        <w:t>III</w:t>
      </w:r>
      <w:r w:rsidRPr="00654F44">
        <w:t>—</w:t>
      </w:r>
      <w:r w:rsidRPr="00654F44">
        <w:rPr>
          <w:rStyle w:val="CharPartText"/>
        </w:rPr>
        <w:t>Administration of the High Court</w:t>
      </w:r>
      <w:bookmarkEnd w:id="22"/>
    </w:p>
    <w:p w:rsidR="00910679" w:rsidRPr="00654F44" w:rsidRDefault="00BF69CF">
      <w:pPr>
        <w:pStyle w:val="Header"/>
      </w:pPr>
      <w:r w:rsidRPr="00654F44">
        <w:rPr>
          <w:rStyle w:val="CharDivNo"/>
        </w:rPr>
        <w:t xml:space="preserve"> </w:t>
      </w:r>
      <w:r w:rsidRPr="00654F44">
        <w:rPr>
          <w:rStyle w:val="CharDivText"/>
        </w:rPr>
        <w:t xml:space="preserve"> </w:t>
      </w:r>
    </w:p>
    <w:p w:rsidR="00910679" w:rsidRPr="00654F44" w:rsidRDefault="00910679" w:rsidP="00BF69CF">
      <w:pPr>
        <w:pStyle w:val="ActHead5"/>
      </w:pPr>
      <w:bookmarkStart w:id="23" w:name="_Toc392593248"/>
      <w:r w:rsidRPr="00654F44">
        <w:rPr>
          <w:rStyle w:val="CharSectno"/>
        </w:rPr>
        <w:t>17</w:t>
      </w:r>
      <w:r w:rsidRPr="00654F44">
        <w:t xml:space="preserve">  Administration of the Court</w:t>
      </w:r>
      <w:bookmarkEnd w:id="23"/>
    </w:p>
    <w:p w:rsidR="00910679" w:rsidRPr="00654F44" w:rsidRDefault="00910679">
      <w:pPr>
        <w:pStyle w:val="subsection"/>
      </w:pPr>
      <w:r w:rsidRPr="00654F44">
        <w:tab/>
        <w:t>(1)</w:t>
      </w:r>
      <w:r w:rsidRPr="00654F44">
        <w:tab/>
        <w:t>The High Court shall administer its own affairs subject to, and in accordance with, this Act.</w:t>
      </w:r>
    </w:p>
    <w:p w:rsidR="00910679" w:rsidRPr="00654F44" w:rsidRDefault="00910679">
      <w:pPr>
        <w:pStyle w:val="subsection"/>
      </w:pPr>
      <w:r w:rsidRPr="00654F44">
        <w:tab/>
        <w:t>(2)</w:t>
      </w:r>
      <w:r w:rsidRPr="00654F44">
        <w:tab/>
        <w:t>The Court has power for the purposes of the Court to do all things that are necessary or convenient to be done for or in connection with the administration of its affairs and, without limiting the generality of the foregoing, has power:</w:t>
      </w:r>
    </w:p>
    <w:p w:rsidR="00910679" w:rsidRPr="00654F44" w:rsidRDefault="00910679">
      <w:pPr>
        <w:pStyle w:val="paragraph"/>
      </w:pPr>
      <w:r w:rsidRPr="00654F44">
        <w:tab/>
        <w:t>(a)</w:t>
      </w:r>
      <w:r w:rsidRPr="00654F44">
        <w:tab/>
        <w:t>to enter into contracts;</w:t>
      </w:r>
    </w:p>
    <w:p w:rsidR="00910679" w:rsidRPr="00654F44" w:rsidRDefault="00910679">
      <w:pPr>
        <w:pStyle w:val="paragraph"/>
      </w:pPr>
      <w:r w:rsidRPr="00654F44">
        <w:tab/>
        <w:t>(b)</w:t>
      </w:r>
      <w:r w:rsidRPr="00654F44">
        <w:tab/>
        <w:t>to acquire, hold and dispose of real and personal property;</w:t>
      </w:r>
    </w:p>
    <w:p w:rsidR="00910679" w:rsidRPr="00654F44" w:rsidRDefault="00910679">
      <w:pPr>
        <w:pStyle w:val="paragraph"/>
      </w:pPr>
      <w:r w:rsidRPr="00654F44">
        <w:tab/>
        <w:t>(c)</w:t>
      </w:r>
      <w:r w:rsidRPr="00654F44">
        <w:tab/>
        <w:t>to take on hire, to exchange, and to accept on deposit or loan, library material, and also furnishings, equipment and goods needed for the purposes of the Court;</w:t>
      </w:r>
    </w:p>
    <w:p w:rsidR="00910679" w:rsidRPr="00654F44" w:rsidRDefault="00910679">
      <w:pPr>
        <w:pStyle w:val="paragraph"/>
      </w:pPr>
      <w:r w:rsidRPr="00654F44">
        <w:tab/>
        <w:t>(d)</w:t>
      </w:r>
      <w:r w:rsidRPr="00654F44">
        <w:tab/>
        <w:t>to control and manage any land or building occupied by the Court and any adjacent land or building that is declared by Proclamation to be part of the precincts of the Court;</w:t>
      </w:r>
    </w:p>
    <w:p w:rsidR="00910679" w:rsidRPr="00654F44" w:rsidRDefault="00910679">
      <w:pPr>
        <w:pStyle w:val="paragraph"/>
      </w:pPr>
      <w:r w:rsidRPr="00654F44">
        <w:tab/>
        <w:t>(e)</w:t>
      </w:r>
      <w:r w:rsidRPr="00654F44">
        <w:tab/>
        <w:t>to accept gifts, devises and bequests made to the Court upon trust and act as trustee of moneys or other property vested in the Court upon trust; and</w:t>
      </w:r>
    </w:p>
    <w:p w:rsidR="00910679" w:rsidRPr="00654F44" w:rsidRDefault="00910679">
      <w:pPr>
        <w:pStyle w:val="paragraph"/>
      </w:pPr>
      <w:r w:rsidRPr="00654F44">
        <w:tab/>
        <w:t>(f)</w:t>
      </w:r>
      <w:r w:rsidRPr="00654F44">
        <w:tab/>
        <w:t>to do such other things as it is authorized by this Act to do.</w:t>
      </w:r>
    </w:p>
    <w:p w:rsidR="00910679" w:rsidRPr="00654F44" w:rsidRDefault="00910679">
      <w:pPr>
        <w:pStyle w:val="subsection"/>
      </w:pPr>
      <w:r w:rsidRPr="00654F44">
        <w:tab/>
        <w:t>(3)</w:t>
      </w:r>
      <w:r w:rsidRPr="00654F44">
        <w:tab/>
        <w:t>Any real property, and any personal property (other than money), held by the Court shall be deemed to be the property of the Commonwealth.</w:t>
      </w:r>
    </w:p>
    <w:p w:rsidR="00910679" w:rsidRPr="00654F44" w:rsidRDefault="00910679">
      <w:pPr>
        <w:pStyle w:val="subsection"/>
      </w:pPr>
      <w:r w:rsidRPr="00654F44">
        <w:tab/>
        <w:t>(4)</w:t>
      </w:r>
      <w:r w:rsidRPr="00654F44">
        <w:tab/>
        <w:t xml:space="preserve">For the purposes of the </w:t>
      </w:r>
      <w:r w:rsidRPr="00654F44">
        <w:rPr>
          <w:i/>
        </w:rPr>
        <w:t>Lands Acquisition Act 1989</w:t>
      </w:r>
      <w:r w:rsidRPr="00654F44">
        <w:t>, the Court shall be deemed to be an authority incorporated by a law of the Commonwealth.</w:t>
      </w:r>
    </w:p>
    <w:p w:rsidR="00910679" w:rsidRPr="00654F44" w:rsidRDefault="00910679">
      <w:pPr>
        <w:pStyle w:val="subsection"/>
      </w:pPr>
      <w:r w:rsidRPr="00654F44">
        <w:tab/>
        <w:t>(5)</w:t>
      </w:r>
      <w:r w:rsidRPr="00654F44">
        <w:tab/>
        <w:t>The Court may appoint committees consisting of Justices, or of Justices and other persons, for the purpose of advising the Court in relation to:</w:t>
      </w:r>
    </w:p>
    <w:p w:rsidR="00910679" w:rsidRPr="00654F44" w:rsidRDefault="00910679">
      <w:pPr>
        <w:pStyle w:val="paragraph"/>
      </w:pPr>
      <w:r w:rsidRPr="00654F44">
        <w:tab/>
        <w:t>(a)</w:t>
      </w:r>
      <w:r w:rsidRPr="00654F44">
        <w:tab/>
        <w:t>the exercise of the powers of the Court under this Act; or</w:t>
      </w:r>
    </w:p>
    <w:p w:rsidR="00910679" w:rsidRPr="00654F44" w:rsidRDefault="00910679">
      <w:pPr>
        <w:pStyle w:val="paragraph"/>
      </w:pPr>
      <w:r w:rsidRPr="00654F44">
        <w:lastRenderedPageBreak/>
        <w:tab/>
        <w:t>(b)</w:t>
      </w:r>
      <w:r w:rsidRPr="00654F44">
        <w:tab/>
        <w:t>the making of Rules of Court.</w:t>
      </w:r>
    </w:p>
    <w:p w:rsidR="00910679" w:rsidRPr="00654F44" w:rsidRDefault="00910679" w:rsidP="00BF69CF">
      <w:pPr>
        <w:pStyle w:val="ActHead5"/>
      </w:pPr>
      <w:bookmarkStart w:id="24" w:name="_Toc392593249"/>
      <w:r w:rsidRPr="00654F44">
        <w:rPr>
          <w:rStyle w:val="CharSectno"/>
        </w:rPr>
        <w:t>18</w:t>
      </w:r>
      <w:r w:rsidRPr="00654F44">
        <w:t xml:space="preserve">  Chief Executive and Principal Registrar of the Court</w:t>
      </w:r>
      <w:bookmarkEnd w:id="24"/>
    </w:p>
    <w:p w:rsidR="00910679" w:rsidRPr="00654F44" w:rsidRDefault="00910679">
      <w:pPr>
        <w:pStyle w:val="subsection"/>
      </w:pPr>
      <w:r w:rsidRPr="00654F44">
        <w:tab/>
      </w:r>
      <w:r w:rsidRPr="00654F44">
        <w:tab/>
        <w:t>There shall be a Chief Executive and Principal Registrar of the High Court, who shall be appointed by the Governor</w:t>
      </w:r>
      <w:r w:rsidR="00654F44">
        <w:noBreakHyphen/>
      </w:r>
      <w:r w:rsidRPr="00654F44">
        <w:t>General upon the nomination of the Court.</w:t>
      </w:r>
    </w:p>
    <w:p w:rsidR="00910679" w:rsidRPr="00654F44" w:rsidRDefault="00910679" w:rsidP="00BF69CF">
      <w:pPr>
        <w:pStyle w:val="ActHead5"/>
      </w:pPr>
      <w:bookmarkStart w:id="25" w:name="_Toc392593250"/>
      <w:r w:rsidRPr="00654F44">
        <w:rPr>
          <w:rStyle w:val="CharSectno"/>
        </w:rPr>
        <w:t>19</w:t>
      </w:r>
      <w:r w:rsidRPr="00654F44">
        <w:t xml:space="preserve">  Functions and powers of the Chief Executive and Principal Registrar</w:t>
      </w:r>
      <w:bookmarkEnd w:id="25"/>
    </w:p>
    <w:p w:rsidR="00910679" w:rsidRPr="00654F44" w:rsidRDefault="00910679">
      <w:pPr>
        <w:pStyle w:val="subsection"/>
      </w:pPr>
      <w:r w:rsidRPr="00654F44">
        <w:tab/>
        <w:t>(1)</w:t>
      </w:r>
      <w:r w:rsidRPr="00654F44">
        <w:tab/>
        <w:t>The Chief Executive and Principal Registrar has the function of acting on behalf of, and assisting, the Justices in the administration of the affairs of the High Court under section</w:t>
      </w:r>
      <w:r w:rsidR="00654F44">
        <w:t> </w:t>
      </w:r>
      <w:r w:rsidRPr="00654F44">
        <w:t>17 and has such other functions as are conferred on him or her by this Act or are assigned to him or her by the Court.</w:t>
      </w:r>
    </w:p>
    <w:p w:rsidR="00910679" w:rsidRPr="00654F44" w:rsidRDefault="00910679">
      <w:pPr>
        <w:pStyle w:val="subsection"/>
      </w:pPr>
      <w:r w:rsidRPr="00654F44">
        <w:tab/>
        <w:t>(2)</w:t>
      </w:r>
      <w:r w:rsidRPr="00654F44">
        <w:tab/>
        <w:t>The Chief Executive and Principal Registrar has power to do all things that are necessary or convenient to be done for or in connection with the performance of his or her functions and, in particular, has power, on behalf of the Court, to give directions in writing for the purpose of regulating the conduct of persons on any land or in any building referred to in paragraph</w:t>
      </w:r>
      <w:r w:rsidR="00654F44">
        <w:t> </w:t>
      </w:r>
      <w:r w:rsidRPr="00654F44">
        <w:t>17(2)(d).</w:t>
      </w:r>
    </w:p>
    <w:p w:rsidR="00910679" w:rsidRPr="00654F44" w:rsidRDefault="00910679">
      <w:pPr>
        <w:pStyle w:val="subsection"/>
      </w:pPr>
      <w:r w:rsidRPr="00654F44">
        <w:tab/>
        <w:t>(3)</w:t>
      </w:r>
      <w:r w:rsidRPr="00654F44">
        <w:tab/>
        <w:t xml:space="preserve">Where directions are given by the Chief Executive and Principal Registrar under </w:t>
      </w:r>
      <w:r w:rsidR="00654F44">
        <w:t>subsection (</w:t>
      </w:r>
      <w:r w:rsidRPr="00654F44">
        <w:t>2):</w:t>
      </w:r>
    </w:p>
    <w:p w:rsidR="00910679" w:rsidRPr="00654F44" w:rsidRDefault="00910679">
      <w:pPr>
        <w:pStyle w:val="paragraph"/>
      </w:pPr>
      <w:r w:rsidRPr="00654F44">
        <w:tab/>
        <w:t>(a)</w:t>
      </w:r>
      <w:r w:rsidRPr="00654F44">
        <w:tab/>
        <w:t xml:space="preserve">a copy of the directions shall be published in the </w:t>
      </w:r>
      <w:r w:rsidRPr="00654F44">
        <w:rPr>
          <w:i/>
        </w:rPr>
        <w:t>Gazette</w:t>
      </w:r>
      <w:r w:rsidRPr="00654F44">
        <w:t>; and</w:t>
      </w:r>
    </w:p>
    <w:p w:rsidR="00910679" w:rsidRPr="00654F44" w:rsidRDefault="00910679">
      <w:pPr>
        <w:pStyle w:val="paragraph"/>
      </w:pPr>
      <w:r w:rsidRPr="00654F44">
        <w:tab/>
        <w:t>(b)</w:t>
      </w:r>
      <w:r w:rsidRPr="00654F44">
        <w:tab/>
        <w:t>the directions have effect on and from the date of publication.</w:t>
      </w:r>
    </w:p>
    <w:p w:rsidR="00910679" w:rsidRPr="00654F44" w:rsidRDefault="00910679">
      <w:pPr>
        <w:pStyle w:val="subsection"/>
      </w:pPr>
      <w:r w:rsidRPr="00654F44">
        <w:tab/>
        <w:t>(4)</w:t>
      </w:r>
      <w:r w:rsidRPr="00654F44">
        <w:tab/>
        <w:t>The provisions of section</w:t>
      </w:r>
      <w:r w:rsidR="00654F44">
        <w:t> </w:t>
      </w:r>
      <w:r w:rsidRPr="00654F44">
        <w:t xml:space="preserve">48 (except </w:t>
      </w:r>
      <w:r w:rsidR="00654F44">
        <w:t>paragraphs (</w:t>
      </w:r>
      <w:r w:rsidRPr="00654F44">
        <w:t xml:space="preserve">1)(a) and (b) and </w:t>
      </w:r>
      <w:r w:rsidR="00654F44">
        <w:t>subsection (</w:t>
      </w:r>
      <w:r w:rsidRPr="00654F44">
        <w:t>2)) and sections</w:t>
      </w:r>
      <w:r w:rsidR="00654F44">
        <w:t> </w:t>
      </w:r>
      <w:r w:rsidRPr="00654F44">
        <w:t xml:space="preserve">48A, 48B and 49 of the </w:t>
      </w:r>
      <w:r w:rsidRPr="00654F44">
        <w:rPr>
          <w:i/>
        </w:rPr>
        <w:t xml:space="preserve">Acts Interpretation Act 1901 </w:t>
      </w:r>
      <w:r w:rsidRPr="00654F44">
        <w:t xml:space="preserve">apply, by force of this section, to directions given under </w:t>
      </w:r>
      <w:r w:rsidR="00654F44">
        <w:t>subsection (</w:t>
      </w:r>
      <w:r w:rsidRPr="00654F44">
        <w:t>2) of this section in like manner as those provisions apply to regulations.</w:t>
      </w:r>
    </w:p>
    <w:p w:rsidR="00910679" w:rsidRPr="00654F44" w:rsidRDefault="00910679">
      <w:pPr>
        <w:pStyle w:val="subsection"/>
      </w:pPr>
      <w:r w:rsidRPr="00654F44">
        <w:tab/>
        <w:t>(5)</w:t>
      </w:r>
      <w:r w:rsidRPr="00654F44">
        <w:tab/>
        <w:t xml:space="preserve">Nothing in the provisions applied by </w:t>
      </w:r>
      <w:r w:rsidR="00654F44">
        <w:t>subsection (</w:t>
      </w:r>
      <w:r w:rsidRPr="00654F44">
        <w:t xml:space="preserve">4) affects the operation of a direction given under </w:t>
      </w:r>
      <w:r w:rsidR="00654F44">
        <w:t>subsection (</w:t>
      </w:r>
      <w:r w:rsidRPr="00654F44">
        <w:t>2) at any time before the direction becomes void, or is disallowed, in accordance with those provisions.</w:t>
      </w:r>
    </w:p>
    <w:p w:rsidR="00910679" w:rsidRPr="00654F44" w:rsidRDefault="00910679">
      <w:pPr>
        <w:pStyle w:val="subsection"/>
        <w:keepNext/>
      </w:pPr>
      <w:r w:rsidRPr="00654F44">
        <w:lastRenderedPageBreak/>
        <w:tab/>
        <w:t>(6)</w:t>
      </w:r>
      <w:r w:rsidRPr="00654F44">
        <w:tab/>
        <w:t xml:space="preserve">A person who contravenes or fails to comply with a direction in force under </w:t>
      </w:r>
      <w:r w:rsidR="00654F44">
        <w:t>subsection (</w:t>
      </w:r>
      <w:r w:rsidRPr="00654F44">
        <w:t>2) is guilty of an offence.</w:t>
      </w:r>
    </w:p>
    <w:p w:rsidR="00910679" w:rsidRPr="00654F44" w:rsidRDefault="00910679">
      <w:pPr>
        <w:pStyle w:val="Penalty"/>
      </w:pPr>
      <w:r w:rsidRPr="00654F44">
        <w:t>Penalty:</w:t>
      </w:r>
      <w:r w:rsidRPr="00654F44">
        <w:tab/>
        <w:t>$100.</w:t>
      </w:r>
    </w:p>
    <w:p w:rsidR="00910679" w:rsidRPr="00654F44" w:rsidRDefault="00910679">
      <w:pPr>
        <w:pStyle w:val="subsection"/>
      </w:pPr>
      <w:r w:rsidRPr="00654F44">
        <w:tab/>
        <w:t>(6A)</w:t>
      </w:r>
      <w:r w:rsidRPr="00654F44">
        <w:tab/>
      </w:r>
      <w:r w:rsidR="00654F44">
        <w:t>Subsection (</w:t>
      </w:r>
      <w:r w:rsidRPr="00654F44">
        <w:t>6) is an offence of strict liability.</w:t>
      </w:r>
    </w:p>
    <w:p w:rsidR="00910679" w:rsidRPr="00654F44" w:rsidRDefault="00910679">
      <w:pPr>
        <w:pStyle w:val="notetext"/>
      </w:pPr>
      <w:r w:rsidRPr="00654F44">
        <w:t>Note:</w:t>
      </w:r>
      <w:r w:rsidRPr="00654F44">
        <w:tab/>
        <w:t xml:space="preserve">For </w:t>
      </w:r>
      <w:r w:rsidRPr="00654F44">
        <w:rPr>
          <w:b/>
          <w:i/>
        </w:rPr>
        <w:t>strict liability</w:t>
      </w:r>
      <w:r w:rsidRPr="00654F44">
        <w:t>, see section</w:t>
      </w:r>
      <w:r w:rsidR="00654F44">
        <w:t> </w:t>
      </w:r>
      <w:r w:rsidRPr="00654F44">
        <w:t xml:space="preserve">6.1 of the </w:t>
      </w:r>
      <w:r w:rsidRPr="00654F44">
        <w:rPr>
          <w:i/>
        </w:rPr>
        <w:t>Criminal Code</w:t>
      </w:r>
      <w:r w:rsidRPr="00654F44">
        <w:t>.</w:t>
      </w:r>
    </w:p>
    <w:p w:rsidR="00910679" w:rsidRPr="00654F44" w:rsidRDefault="00910679">
      <w:pPr>
        <w:pStyle w:val="subsection"/>
      </w:pPr>
      <w:r w:rsidRPr="00654F44">
        <w:tab/>
        <w:t>(7)</w:t>
      </w:r>
      <w:r w:rsidRPr="00654F44">
        <w:tab/>
        <w:t>In the performance of his or her functions and the exercise of his or her powers the Chief Executive and Principal Registrar shall comply with any directions given to him or her by the Court.</w:t>
      </w:r>
    </w:p>
    <w:p w:rsidR="00910679" w:rsidRPr="00654F44" w:rsidRDefault="00910679">
      <w:pPr>
        <w:pStyle w:val="subsection"/>
      </w:pPr>
      <w:r w:rsidRPr="00654F44">
        <w:tab/>
        <w:t>(8)</w:t>
      </w:r>
      <w:r w:rsidRPr="00654F44">
        <w:tab/>
        <w:t>Nothing in this section affects the power of the Court to punish contempts of the Court.</w:t>
      </w:r>
    </w:p>
    <w:p w:rsidR="00910679" w:rsidRPr="00654F44" w:rsidRDefault="00910679" w:rsidP="00BF69CF">
      <w:pPr>
        <w:pStyle w:val="ActHead5"/>
      </w:pPr>
      <w:bookmarkStart w:id="26" w:name="_Toc392593251"/>
      <w:r w:rsidRPr="00654F44">
        <w:rPr>
          <w:rStyle w:val="CharSectno"/>
        </w:rPr>
        <w:t>20</w:t>
      </w:r>
      <w:r w:rsidRPr="00654F44">
        <w:t xml:space="preserve">  Terms and conditions of appointment</w:t>
      </w:r>
      <w:bookmarkEnd w:id="26"/>
    </w:p>
    <w:p w:rsidR="00910679" w:rsidRPr="00654F44" w:rsidRDefault="00910679">
      <w:pPr>
        <w:pStyle w:val="subsection"/>
      </w:pPr>
      <w:r w:rsidRPr="00654F44">
        <w:tab/>
        <w:t>(1)</w:t>
      </w:r>
      <w:r w:rsidRPr="00654F44">
        <w:tab/>
        <w:t>The Chief Executive and Principal Registrar holds office for such period, not exceeding 5 years, as is specified in the instrument of his or her appointment, but is eligible for re</w:t>
      </w:r>
      <w:r w:rsidR="00654F44">
        <w:noBreakHyphen/>
      </w:r>
      <w:r w:rsidRPr="00654F44">
        <w:t>appointment.</w:t>
      </w:r>
    </w:p>
    <w:p w:rsidR="00910679" w:rsidRPr="00654F44" w:rsidRDefault="00910679">
      <w:pPr>
        <w:pStyle w:val="subsection"/>
      </w:pPr>
      <w:r w:rsidRPr="00654F44">
        <w:tab/>
        <w:t>(3)</w:t>
      </w:r>
      <w:r w:rsidRPr="00654F44">
        <w:tab/>
        <w:t>The Chief Executive and Principal Registrar holds office on such terms and conditions (if any) in respect of matters not provided for by this Act as are determined by the Court.</w:t>
      </w:r>
    </w:p>
    <w:p w:rsidR="00910679" w:rsidRPr="00654F44" w:rsidRDefault="00910679" w:rsidP="00BF69CF">
      <w:pPr>
        <w:pStyle w:val="ActHead5"/>
      </w:pPr>
      <w:bookmarkStart w:id="27" w:name="_Toc392593252"/>
      <w:r w:rsidRPr="00654F44">
        <w:rPr>
          <w:rStyle w:val="CharSectno"/>
        </w:rPr>
        <w:t>21</w:t>
      </w:r>
      <w:r w:rsidRPr="00654F44">
        <w:t xml:space="preserve">  Remuneration and allowances</w:t>
      </w:r>
      <w:bookmarkEnd w:id="27"/>
    </w:p>
    <w:p w:rsidR="00910679" w:rsidRPr="00654F44" w:rsidRDefault="00910679">
      <w:pPr>
        <w:pStyle w:val="subsection"/>
      </w:pPr>
      <w:r w:rsidRPr="00654F44">
        <w:tab/>
        <w:t>(1)</w:t>
      </w:r>
      <w:r w:rsidRPr="00654F44">
        <w:tab/>
        <w:t>The Chief Executive and Principal Registrar shall be paid such remuneration as is determined by the Remuneration Tribunal, but, if no determination of that remuneration by the Tribunal is in operation, he or she shall be paid such remuneration as is prescribed by Rules of Court.</w:t>
      </w:r>
    </w:p>
    <w:p w:rsidR="00910679" w:rsidRPr="00654F44" w:rsidRDefault="00910679">
      <w:pPr>
        <w:pStyle w:val="subsection"/>
      </w:pPr>
      <w:r w:rsidRPr="00654F44">
        <w:tab/>
        <w:t>(2)</w:t>
      </w:r>
      <w:r w:rsidRPr="00654F44">
        <w:tab/>
        <w:t>The Chief Executive and Principal Registrar shall be paid such allowances as are prescribed by Rules of Court.</w:t>
      </w:r>
    </w:p>
    <w:p w:rsidR="00910679" w:rsidRPr="00654F44" w:rsidRDefault="00910679">
      <w:pPr>
        <w:pStyle w:val="subsection"/>
      </w:pPr>
      <w:r w:rsidRPr="00654F44">
        <w:tab/>
        <w:t>(3)</w:t>
      </w:r>
      <w:r w:rsidRPr="00654F44">
        <w:tab/>
        <w:t>This section has effect subject to the</w:t>
      </w:r>
      <w:r w:rsidRPr="00654F44">
        <w:rPr>
          <w:i/>
        </w:rPr>
        <w:t xml:space="preserve"> Remuneration Tribunal Act 1973</w:t>
      </w:r>
      <w:r w:rsidRPr="00654F44">
        <w:t>.</w:t>
      </w:r>
    </w:p>
    <w:p w:rsidR="00910679" w:rsidRPr="00654F44" w:rsidRDefault="00910679">
      <w:pPr>
        <w:pStyle w:val="subsection"/>
      </w:pPr>
      <w:r w:rsidRPr="00654F44">
        <w:tab/>
        <w:t>(4)</w:t>
      </w:r>
      <w:r w:rsidRPr="00654F44">
        <w:tab/>
        <w:t>Subsection</w:t>
      </w:r>
      <w:r w:rsidR="00654F44">
        <w:t> </w:t>
      </w:r>
      <w:r w:rsidRPr="00654F44">
        <w:t xml:space="preserve">7(9) of the </w:t>
      </w:r>
      <w:r w:rsidRPr="00654F44">
        <w:rPr>
          <w:i/>
        </w:rPr>
        <w:t xml:space="preserve">Remuneration Tribunal Act 1973 </w:t>
      </w:r>
      <w:r w:rsidRPr="00654F44">
        <w:t xml:space="preserve">has effect in relation to the remuneration and allowances payable to the Chief </w:t>
      </w:r>
      <w:r w:rsidRPr="00654F44">
        <w:lastRenderedPageBreak/>
        <w:t>Executive and Principal Registrar, as if the High Court were a public statutory corporation and the Chief Executive and Principal Registrar held an office in the service of that corporation.</w:t>
      </w:r>
    </w:p>
    <w:p w:rsidR="00910679" w:rsidRPr="00654F44" w:rsidRDefault="00910679" w:rsidP="00BF69CF">
      <w:pPr>
        <w:pStyle w:val="ActHead5"/>
      </w:pPr>
      <w:bookmarkStart w:id="28" w:name="_Toc392593253"/>
      <w:r w:rsidRPr="00654F44">
        <w:rPr>
          <w:rStyle w:val="CharSectno"/>
        </w:rPr>
        <w:t>22</w:t>
      </w:r>
      <w:r w:rsidRPr="00654F44">
        <w:t xml:space="preserve">  Leave of absence</w:t>
      </w:r>
      <w:bookmarkEnd w:id="28"/>
    </w:p>
    <w:p w:rsidR="00910679" w:rsidRPr="00654F44" w:rsidRDefault="00910679">
      <w:pPr>
        <w:pStyle w:val="subsection"/>
      </w:pPr>
      <w:r w:rsidRPr="00654F44">
        <w:tab/>
        <w:t>(1)</w:t>
      </w:r>
      <w:r w:rsidRPr="00654F44">
        <w:tab/>
        <w:t>The Chief Executive and Principal Registrar has such recreation leave entitlements as are determined by the Remuneration Tribunal.</w:t>
      </w:r>
    </w:p>
    <w:p w:rsidR="00910679" w:rsidRPr="00654F44" w:rsidRDefault="00910679">
      <w:pPr>
        <w:pStyle w:val="subsection"/>
      </w:pPr>
      <w:r w:rsidRPr="00654F44">
        <w:tab/>
        <w:t>(2)</w:t>
      </w:r>
      <w:r w:rsidRPr="00654F44">
        <w:tab/>
        <w:t>The High Court may grant the Chief Executive and Principal Registrar leave of absence, other than recreation leave, on such terms and conditions as to remuneration or otherwise as the Court determines.</w:t>
      </w:r>
    </w:p>
    <w:p w:rsidR="00910679" w:rsidRPr="00654F44" w:rsidRDefault="00910679" w:rsidP="00BF69CF">
      <w:pPr>
        <w:pStyle w:val="ActHead5"/>
      </w:pPr>
      <w:bookmarkStart w:id="29" w:name="_Toc392593254"/>
      <w:r w:rsidRPr="00654F44">
        <w:rPr>
          <w:rStyle w:val="CharSectno"/>
        </w:rPr>
        <w:t>23</w:t>
      </w:r>
      <w:r w:rsidRPr="00654F44">
        <w:t xml:space="preserve">  Resignation</w:t>
      </w:r>
      <w:bookmarkEnd w:id="29"/>
    </w:p>
    <w:p w:rsidR="00910679" w:rsidRPr="00654F44" w:rsidRDefault="00910679">
      <w:pPr>
        <w:pStyle w:val="subsection"/>
      </w:pPr>
      <w:r w:rsidRPr="00654F44">
        <w:tab/>
      </w:r>
      <w:r w:rsidRPr="00654F44">
        <w:tab/>
        <w:t>The Chief Executive and Principal Registrar may resign his or her office by writing signed by him or her and delivered to the Governor</w:t>
      </w:r>
      <w:r w:rsidR="00654F44">
        <w:noBreakHyphen/>
      </w:r>
      <w:r w:rsidRPr="00654F44">
        <w:t>General.</w:t>
      </w:r>
    </w:p>
    <w:p w:rsidR="00910679" w:rsidRPr="00654F44" w:rsidRDefault="00910679" w:rsidP="00BF69CF">
      <w:pPr>
        <w:pStyle w:val="ActHead5"/>
      </w:pPr>
      <w:bookmarkStart w:id="30" w:name="_Toc392593255"/>
      <w:r w:rsidRPr="00654F44">
        <w:rPr>
          <w:rStyle w:val="CharSectno"/>
        </w:rPr>
        <w:t>24</w:t>
      </w:r>
      <w:r w:rsidRPr="00654F44">
        <w:t xml:space="preserve">  Termination of appointment</w:t>
      </w:r>
      <w:bookmarkEnd w:id="30"/>
    </w:p>
    <w:p w:rsidR="00910679" w:rsidRPr="00654F44" w:rsidRDefault="00910679">
      <w:pPr>
        <w:pStyle w:val="subsection"/>
      </w:pPr>
      <w:r w:rsidRPr="00654F44">
        <w:tab/>
        <w:t>(1)</w:t>
      </w:r>
      <w:r w:rsidRPr="00654F44">
        <w:tab/>
        <w:t>The Governor</w:t>
      </w:r>
      <w:r w:rsidR="00654F44">
        <w:noBreakHyphen/>
      </w:r>
      <w:r w:rsidRPr="00654F44">
        <w:t>General may terminate the appointment of the Chief Executive and Principal Registrar by reason of the misbehaviour or the physical or mental incapacity of the Chief Executive and Principal Registrar.</w:t>
      </w:r>
    </w:p>
    <w:p w:rsidR="00910679" w:rsidRPr="00654F44" w:rsidRDefault="00910679">
      <w:pPr>
        <w:pStyle w:val="subsection"/>
      </w:pPr>
      <w:r w:rsidRPr="00654F44">
        <w:tab/>
        <w:t>(2)</w:t>
      </w:r>
      <w:r w:rsidRPr="00654F44">
        <w:tab/>
        <w:t>If the Chief Executive and Principal Registrar:</w:t>
      </w:r>
    </w:p>
    <w:p w:rsidR="00910679" w:rsidRPr="00654F44" w:rsidRDefault="00910679">
      <w:pPr>
        <w:pStyle w:val="paragraph"/>
      </w:pPr>
      <w:r w:rsidRPr="00654F44">
        <w:tab/>
        <w:t>(a)</w:t>
      </w:r>
      <w:r w:rsidRPr="00654F44">
        <w:tab/>
        <w:t>becomes bankrupt, applies to take the benefit of any law for the relief of bankrupt or insolvent debtors, compounds with his or her creditors or makes an assignment of his or her remuneration for their benefit;</w:t>
      </w:r>
    </w:p>
    <w:p w:rsidR="00910679" w:rsidRPr="00654F44" w:rsidRDefault="00910679">
      <w:pPr>
        <w:pStyle w:val="paragraph"/>
      </w:pPr>
      <w:r w:rsidRPr="00654F44">
        <w:tab/>
        <w:t>(b)</w:t>
      </w:r>
      <w:r w:rsidRPr="00654F44">
        <w:tab/>
        <w:t>is absent from duty, except with leave of absence, for 14 consecutive days or for 28 days in any 12 months; or</w:t>
      </w:r>
    </w:p>
    <w:p w:rsidR="00910679" w:rsidRPr="00654F44" w:rsidRDefault="00910679">
      <w:pPr>
        <w:pStyle w:val="paragraph"/>
        <w:keepNext/>
      </w:pPr>
      <w:r w:rsidRPr="00654F44">
        <w:tab/>
        <w:t>(c)</w:t>
      </w:r>
      <w:r w:rsidRPr="00654F44">
        <w:tab/>
        <w:t>without the approval of the Court, engages in paid employment outside the duties of his or her office;</w:t>
      </w:r>
    </w:p>
    <w:p w:rsidR="00910679" w:rsidRPr="00654F44" w:rsidRDefault="00910679">
      <w:pPr>
        <w:pStyle w:val="subsection2"/>
      </w:pPr>
      <w:r w:rsidRPr="00654F44">
        <w:t>the Governor</w:t>
      </w:r>
      <w:r w:rsidR="00654F44">
        <w:noBreakHyphen/>
      </w:r>
      <w:r w:rsidRPr="00654F44">
        <w:t>General shall terminate the appointment of the Chief Executive and Principal Registrar.</w:t>
      </w:r>
    </w:p>
    <w:p w:rsidR="00910679" w:rsidRPr="00654F44" w:rsidRDefault="00910679">
      <w:pPr>
        <w:pStyle w:val="subsection"/>
      </w:pPr>
      <w:r w:rsidRPr="00654F44">
        <w:lastRenderedPageBreak/>
        <w:tab/>
        <w:t>(3)</w:t>
      </w:r>
      <w:r w:rsidRPr="00654F44">
        <w:tab/>
        <w:t>The powers of the Governor</w:t>
      </w:r>
      <w:r w:rsidR="00654F44">
        <w:noBreakHyphen/>
      </w:r>
      <w:r w:rsidRPr="00654F44">
        <w:t xml:space="preserve">General under </w:t>
      </w:r>
      <w:r w:rsidR="00654F44">
        <w:t>subsection (</w:t>
      </w:r>
      <w:r w:rsidRPr="00654F44">
        <w:t>1) shall be exercised only in accordance with advice that is consistent with recommendations by the Court.</w:t>
      </w:r>
    </w:p>
    <w:p w:rsidR="00910679" w:rsidRPr="00654F44" w:rsidRDefault="00910679" w:rsidP="00BF69CF">
      <w:pPr>
        <w:pStyle w:val="ActHead5"/>
      </w:pPr>
      <w:bookmarkStart w:id="31" w:name="_Toc392593256"/>
      <w:r w:rsidRPr="00654F44">
        <w:rPr>
          <w:rStyle w:val="CharSectno"/>
        </w:rPr>
        <w:t>25</w:t>
      </w:r>
      <w:r w:rsidRPr="00654F44">
        <w:t xml:space="preserve">  Acting Chief Executive and Principal Registrar</w:t>
      </w:r>
      <w:bookmarkEnd w:id="31"/>
    </w:p>
    <w:p w:rsidR="00910679" w:rsidRPr="00654F44" w:rsidRDefault="00910679">
      <w:pPr>
        <w:pStyle w:val="subsection"/>
      </w:pPr>
      <w:r w:rsidRPr="00654F44">
        <w:tab/>
        <w:t>(1)</w:t>
      </w:r>
      <w:r w:rsidRPr="00654F44">
        <w:tab/>
        <w:t>The High Court may appoint a person to act as Chief Executive and Principal Registrar:</w:t>
      </w:r>
    </w:p>
    <w:p w:rsidR="00910679" w:rsidRPr="00654F44" w:rsidRDefault="00910679">
      <w:pPr>
        <w:pStyle w:val="paragraph"/>
      </w:pPr>
      <w:r w:rsidRPr="00654F44">
        <w:tab/>
        <w:t>(a)</w:t>
      </w:r>
      <w:r w:rsidRPr="00654F44">
        <w:tab/>
        <w:t>during a vacancy in the office of Chief Executive and Principal Registrar, whether or not an appointment has previously been made to the office; or</w:t>
      </w:r>
    </w:p>
    <w:p w:rsidR="00910679" w:rsidRPr="00654F44" w:rsidRDefault="00910679">
      <w:pPr>
        <w:pStyle w:val="paragraph"/>
        <w:keepNext/>
      </w:pPr>
      <w:r w:rsidRPr="00654F44">
        <w:tab/>
        <w:t>(b)</w:t>
      </w:r>
      <w:r w:rsidRPr="00654F44">
        <w:tab/>
        <w:t>during any period, or during all periods, when the Chief Executive and Principal Registrar is absent from duty or from Australia or is, for any other reason, unable to perform the duties of his or her office;</w:t>
      </w:r>
    </w:p>
    <w:p w:rsidR="00910679" w:rsidRPr="00654F44" w:rsidRDefault="00910679">
      <w:pPr>
        <w:pStyle w:val="subsection2"/>
      </w:pPr>
      <w:r w:rsidRPr="00654F44">
        <w:t>but a person appointed to act during a vacancy shall not continue so to act for more than 12 months.</w:t>
      </w:r>
    </w:p>
    <w:p w:rsidR="00910679" w:rsidRPr="00654F44" w:rsidRDefault="00910679">
      <w:pPr>
        <w:pStyle w:val="subsection"/>
      </w:pPr>
      <w:r w:rsidRPr="00654F44">
        <w:tab/>
        <w:t>(2)</w:t>
      </w:r>
      <w:r w:rsidRPr="00654F44">
        <w:tab/>
        <w:t xml:space="preserve">An appointment of a person under </w:t>
      </w:r>
      <w:r w:rsidR="00654F44">
        <w:t>subsection (</w:t>
      </w:r>
      <w:r w:rsidRPr="00654F44">
        <w:t>1) may be expressed to have effect only in such circumstances as are specified in the instrument of his or her appointment.</w:t>
      </w:r>
    </w:p>
    <w:p w:rsidR="00910679" w:rsidRPr="00654F44" w:rsidRDefault="00910679">
      <w:pPr>
        <w:pStyle w:val="subsection"/>
      </w:pPr>
      <w:r w:rsidRPr="00654F44">
        <w:tab/>
        <w:t>(3)</w:t>
      </w:r>
      <w:r w:rsidRPr="00654F44">
        <w:tab/>
        <w:t>The Court may:</w:t>
      </w:r>
    </w:p>
    <w:p w:rsidR="00910679" w:rsidRPr="00654F44" w:rsidRDefault="00910679">
      <w:pPr>
        <w:pStyle w:val="paragraph"/>
      </w:pPr>
      <w:r w:rsidRPr="00654F44">
        <w:tab/>
        <w:t>(a)</w:t>
      </w:r>
      <w:r w:rsidRPr="00654F44">
        <w:tab/>
        <w:t>determine the terms and conditions of appointment, including remuneration and allowances, of a person acting as Chief Executive and Principal Registrar; and</w:t>
      </w:r>
    </w:p>
    <w:p w:rsidR="00910679" w:rsidRPr="00654F44" w:rsidRDefault="00910679">
      <w:pPr>
        <w:pStyle w:val="paragraph"/>
      </w:pPr>
      <w:r w:rsidRPr="00654F44">
        <w:tab/>
        <w:t>(b)</w:t>
      </w:r>
      <w:r w:rsidRPr="00654F44">
        <w:tab/>
        <w:t>terminate such an appointment at any time.</w:t>
      </w:r>
    </w:p>
    <w:p w:rsidR="00910679" w:rsidRPr="00654F44" w:rsidRDefault="00910679">
      <w:pPr>
        <w:pStyle w:val="subsection"/>
      </w:pPr>
      <w:r w:rsidRPr="00654F44">
        <w:tab/>
        <w:t>(4)</w:t>
      </w:r>
      <w:r w:rsidRPr="00654F44">
        <w:tab/>
        <w:t xml:space="preserve">Where a person is acting as Chief Executive and Principal Registrar in accordance with </w:t>
      </w:r>
      <w:r w:rsidR="00654F44">
        <w:t>paragraph (</w:t>
      </w:r>
      <w:r w:rsidRPr="00654F44">
        <w:t xml:space="preserve">1)(b) and the office of Chief Executive and Principal Registrar becomes vacant while that person is so acting, then, subject to </w:t>
      </w:r>
      <w:r w:rsidR="00654F44">
        <w:t>subsection (</w:t>
      </w:r>
      <w:r w:rsidRPr="00654F44">
        <w:t>2), that person may continue so to act until the Court otherwise directs, the vacancy is filled or a period of 12 months from the date on which the vacancy occurred expires, whichever first happens.</w:t>
      </w:r>
    </w:p>
    <w:p w:rsidR="00910679" w:rsidRPr="00654F44" w:rsidRDefault="00910679">
      <w:pPr>
        <w:pStyle w:val="subsection"/>
      </w:pPr>
      <w:r w:rsidRPr="00654F44">
        <w:tab/>
        <w:t>(5)</w:t>
      </w:r>
      <w:r w:rsidRPr="00654F44">
        <w:tab/>
        <w:t xml:space="preserve">The appointment of a person to act as Chief Executive and Principal Registrar ceases to have effect if he or she resigns his or </w:t>
      </w:r>
      <w:r w:rsidRPr="00654F44">
        <w:lastRenderedPageBreak/>
        <w:t>her office by writing signed by him or her and delivered to the Chief Justice.</w:t>
      </w:r>
    </w:p>
    <w:p w:rsidR="00910679" w:rsidRPr="00654F44" w:rsidRDefault="00910679">
      <w:pPr>
        <w:pStyle w:val="subsection"/>
      </w:pPr>
      <w:r w:rsidRPr="00654F44">
        <w:tab/>
        <w:t>(6)</w:t>
      </w:r>
      <w:r w:rsidRPr="00654F44">
        <w:tab/>
        <w:t>While a person is acting as Chief Executive and Principal Registrar, he or she has and may exercise all the powers of, and shall perform all the functions of, the Chief Executive and Principal Registrar under this Act or any other law.</w:t>
      </w:r>
    </w:p>
    <w:p w:rsidR="00910679" w:rsidRPr="00654F44" w:rsidRDefault="00910679">
      <w:pPr>
        <w:pStyle w:val="subsection"/>
      </w:pPr>
      <w:r w:rsidRPr="00654F44">
        <w:tab/>
        <w:t>(7)</w:t>
      </w:r>
      <w:r w:rsidRPr="00654F44">
        <w:tab/>
        <w:t xml:space="preserve">The validity of anything done by a person purporting to act under </w:t>
      </w:r>
      <w:r w:rsidR="00654F44">
        <w:t>subsection (</w:t>
      </w:r>
      <w:r w:rsidRPr="00654F44">
        <w:t>1) shall not be called in question on the ground that the occasion for his or her appointment had not arisen, that there is a defect or irregularity in or in connection with his or her appointment, that the appointment had ceased to have effect or that the occasion for him or her to act had not arisen or had passed.</w:t>
      </w:r>
    </w:p>
    <w:p w:rsidR="00910679" w:rsidRPr="00654F44" w:rsidRDefault="00910679" w:rsidP="00BF69CF">
      <w:pPr>
        <w:pStyle w:val="ActHead5"/>
      </w:pPr>
      <w:bookmarkStart w:id="32" w:name="_Toc392593257"/>
      <w:r w:rsidRPr="00654F44">
        <w:rPr>
          <w:rStyle w:val="CharSectno"/>
        </w:rPr>
        <w:t>26</w:t>
      </w:r>
      <w:r w:rsidRPr="00654F44">
        <w:t xml:space="preserve">  Officers and employees</w:t>
      </w:r>
      <w:bookmarkEnd w:id="32"/>
    </w:p>
    <w:p w:rsidR="00910679" w:rsidRPr="00654F44" w:rsidRDefault="00910679">
      <w:pPr>
        <w:pStyle w:val="subsection"/>
      </w:pPr>
      <w:r w:rsidRPr="00654F44">
        <w:tab/>
        <w:t>(1)</w:t>
      </w:r>
      <w:r w:rsidRPr="00654F44">
        <w:tab/>
        <w:t>The Chief Executive and Principal Registrar is to appoint such other officers of the High Court as the Court considers necessary.</w:t>
      </w:r>
    </w:p>
    <w:p w:rsidR="00910679" w:rsidRPr="00654F44" w:rsidRDefault="00910679">
      <w:pPr>
        <w:pStyle w:val="subsection"/>
      </w:pPr>
      <w:r w:rsidRPr="00654F44">
        <w:tab/>
        <w:t>(3)</w:t>
      </w:r>
      <w:r w:rsidRPr="00654F44">
        <w:tab/>
        <w:t>The Chief Executive and Principal Registrar may engage such employees as the Court considers necessary for the purposes of the Court.</w:t>
      </w:r>
    </w:p>
    <w:p w:rsidR="00910679" w:rsidRPr="00654F44" w:rsidRDefault="00910679">
      <w:pPr>
        <w:pStyle w:val="subsection"/>
      </w:pPr>
      <w:r w:rsidRPr="00654F44">
        <w:tab/>
        <w:t>(4)</w:t>
      </w:r>
      <w:r w:rsidRPr="00654F44">
        <w:tab/>
        <w:t>The terms and conditions of employment (including terms and conditions as to remuneration and allowances) of officers or employees appointed or engaged in accordance with this section are such as are determined by the Court.</w:t>
      </w:r>
    </w:p>
    <w:p w:rsidR="00910679" w:rsidRPr="00654F44" w:rsidRDefault="00910679">
      <w:pPr>
        <w:pStyle w:val="subsection"/>
      </w:pPr>
      <w:r w:rsidRPr="00654F44">
        <w:tab/>
        <w:t>(5)</w:t>
      </w:r>
      <w:r w:rsidRPr="00654F44">
        <w:tab/>
        <w:t xml:space="preserve">An appointment under </w:t>
      </w:r>
      <w:r w:rsidR="00654F44">
        <w:t>subsection (</w:t>
      </w:r>
      <w:r w:rsidRPr="00654F44">
        <w:t xml:space="preserve">1) is not a public office for the purposes of the </w:t>
      </w:r>
      <w:r w:rsidRPr="00654F44">
        <w:rPr>
          <w:i/>
        </w:rPr>
        <w:t>Remuneration Tribunal Act 1973</w:t>
      </w:r>
      <w:r w:rsidRPr="00654F44">
        <w:t>.</w:t>
      </w:r>
    </w:p>
    <w:p w:rsidR="00910679" w:rsidRPr="00654F44" w:rsidRDefault="00910679">
      <w:pPr>
        <w:pStyle w:val="subsection"/>
      </w:pPr>
      <w:r w:rsidRPr="00654F44">
        <w:tab/>
        <w:t>(6)</w:t>
      </w:r>
      <w:r w:rsidRPr="00654F44">
        <w:tab/>
        <w:t xml:space="preserve">The Chief Executive and Principal Registrar may, on behalf of the Court, arrange with an Agency Head within the meaning of the </w:t>
      </w:r>
      <w:r w:rsidRPr="00654F44">
        <w:rPr>
          <w:i/>
        </w:rPr>
        <w:t>Public Service Act 1999</w:t>
      </w:r>
      <w:r w:rsidRPr="00654F44">
        <w:t>, or with an authority of the Commonwealth, for the services of officers or employees of the Agency or of the authority, as the case may be, to be made available for the purposes of the Court.</w:t>
      </w:r>
    </w:p>
    <w:p w:rsidR="00910679" w:rsidRPr="00654F44" w:rsidRDefault="00910679">
      <w:pPr>
        <w:pStyle w:val="subsection"/>
      </w:pPr>
      <w:r w:rsidRPr="00654F44">
        <w:tab/>
        <w:t>(7)</w:t>
      </w:r>
      <w:r w:rsidRPr="00654F44">
        <w:tab/>
        <w:t xml:space="preserve">The Senior Registrar and Deputy Registrars are to perform such duties in respect of proceedings in the Court as are assigned to </w:t>
      </w:r>
      <w:r w:rsidRPr="00654F44">
        <w:lastRenderedPageBreak/>
        <w:t>them by Rules of Court, by an order of the Court or by the Chief Executive and Principal Registrar.</w:t>
      </w:r>
    </w:p>
    <w:p w:rsidR="00910679" w:rsidRPr="00654F44" w:rsidRDefault="00910679" w:rsidP="00BF69CF">
      <w:pPr>
        <w:pStyle w:val="ActHead5"/>
      </w:pPr>
      <w:bookmarkStart w:id="33" w:name="_Toc392593258"/>
      <w:r w:rsidRPr="00654F44">
        <w:rPr>
          <w:rStyle w:val="CharSectno"/>
        </w:rPr>
        <w:t>27</w:t>
      </w:r>
      <w:r w:rsidRPr="00654F44">
        <w:t xml:space="preserve">  Marshal and Deputy Marshals</w:t>
      </w:r>
      <w:bookmarkEnd w:id="33"/>
    </w:p>
    <w:p w:rsidR="00910679" w:rsidRPr="00654F44" w:rsidRDefault="00910679">
      <w:pPr>
        <w:pStyle w:val="subsection"/>
      </w:pPr>
      <w:r w:rsidRPr="00654F44">
        <w:tab/>
        <w:t>(1)</w:t>
      </w:r>
      <w:r w:rsidRPr="00654F44">
        <w:tab/>
        <w:t>The Marshal:</w:t>
      </w:r>
    </w:p>
    <w:p w:rsidR="00910679" w:rsidRPr="00654F44" w:rsidRDefault="00910679">
      <w:pPr>
        <w:pStyle w:val="paragraph"/>
      </w:pPr>
      <w:r w:rsidRPr="00654F44">
        <w:tab/>
        <w:t>(a)</w:t>
      </w:r>
      <w:r w:rsidRPr="00654F44">
        <w:tab/>
        <w:t>is charged with the service and execution of all writs, summonses, orders, warrants, precepts, process and commands of the Court that are directed to him or her; and</w:t>
      </w:r>
    </w:p>
    <w:p w:rsidR="00910679" w:rsidRPr="00654F44" w:rsidRDefault="00910679">
      <w:pPr>
        <w:pStyle w:val="paragraph"/>
      </w:pPr>
      <w:r w:rsidRPr="00654F44">
        <w:tab/>
        <w:t>(b)</w:t>
      </w:r>
      <w:r w:rsidRPr="00654F44">
        <w:tab/>
        <w:t>shall take, receive and detain all persons who are committed to his or her custody by the Court, and shall discharge all such persons when directed by the Court or otherwise required by law.</w:t>
      </w:r>
    </w:p>
    <w:p w:rsidR="00910679" w:rsidRPr="00654F44" w:rsidRDefault="00910679">
      <w:pPr>
        <w:pStyle w:val="subsection"/>
      </w:pPr>
      <w:r w:rsidRPr="00654F44">
        <w:tab/>
        <w:t>(2)</w:t>
      </w:r>
      <w:r w:rsidRPr="00654F44">
        <w:tab/>
        <w:t>A Deputy Marshal may, subject to any directions of the Marshal, exercise any power or perform any function of the Marshal.</w:t>
      </w:r>
    </w:p>
    <w:p w:rsidR="00910679" w:rsidRPr="00654F44" w:rsidRDefault="00910679">
      <w:pPr>
        <w:pStyle w:val="subsection"/>
      </w:pPr>
      <w:r w:rsidRPr="00654F44">
        <w:tab/>
        <w:t>(3)</w:t>
      </w:r>
      <w:r w:rsidRPr="00654F44">
        <w:tab/>
        <w:t>The Marshal or a Deputy Marshal may authorize such persons as he or she thinks fit to assist him or her in the exercise of any power or performance of any function by him or her, and any act done by a person so appointed shall be deemed to be done by and under the authority of the Marshal or Deputy Marshal, as the case may be.</w:t>
      </w:r>
    </w:p>
    <w:p w:rsidR="00910679" w:rsidRPr="00654F44" w:rsidRDefault="00910679">
      <w:pPr>
        <w:pStyle w:val="subsection"/>
      </w:pPr>
      <w:r w:rsidRPr="00654F44">
        <w:tab/>
        <w:t>(4)</w:t>
      </w:r>
      <w:r w:rsidRPr="00654F44">
        <w:tab/>
        <w:t>If the Marshal or a Deputy Marshal is a party to a proceeding in the Court, all writs, summonses, orders, warrants, precepts, process and commands in the proceeding that should, in the ordinary course, be directed to the Marshal or Deputy Marshal shall be directed to such disinterested person as the Court appoints, and the person so appointed may execute and return them.</w:t>
      </w:r>
    </w:p>
    <w:p w:rsidR="00910679" w:rsidRPr="00654F44" w:rsidRDefault="00910679">
      <w:pPr>
        <w:pStyle w:val="subsection"/>
      </w:pPr>
      <w:r w:rsidRPr="00654F44">
        <w:tab/>
        <w:t>(5)</w:t>
      </w:r>
      <w:r w:rsidRPr="00654F44">
        <w:tab/>
        <w:t xml:space="preserve">The Minister may arrange with the appropriate Minister of a State or of the </w:t>
      </w:r>
      <w:smartTag w:uri="urn:schemas-microsoft-com:office:smarttags" w:element="State">
        <w:smartTag w:uri="urn:schemas-microsoft-com:office:smarttags" w:element="place">
          <w:r w:rsidRPr="00654F44">
            <w:t>Northern Territory</w:t>
          </w:r>
        </w:smartTag>
      </w:smartTag>
      <w:r w:rsidRPr="00654F44">
        <w:t xml:space="preserve"> for an officer or officers of that State or Territory to perform the functions of a Deputy Marshal in that State or Territory.</w:t>
      </w:r>
    </w:p>
    <w:p w:rsidR="00910679" w:rsidRPr="00654F44" w:rsidRDefault="00910679">
      <w:pPr>
        <w:pStyle w:val="subsection"/>
      </w:pPr>
      <w:r w:rsidRPr="00654F44">
        <w:tab/>
        <w:t>(6)</w:t>
      </w:r>
      <w:r w:rsidRPr="00654F44">
        <w:tab/>
        <w:t xml:space="preserve">A copy of an arrangement made under </w:t>
      </w:r>
      <w:r w:rsidR="00654F44">
        <w:t>subsection (</w:t>
      </w:r>
      <w:r w:rsidRPr="00654F44">
        <w:t xml:space="preserve">5) shall be published in the </w:t>
      </w:r>
      <w:r w:rsidRPr="00654F44">
        <w:rPr>
          <w:i/>
        </w:rPr>
        <w:t>Gazette</w:t>
      </w:r>
      <w:r w:rsidRPr="00654F44">
        <w:t>.</w:t>
      </w:r>
    </w:p>
    <w:p w:rsidR="00910679" w:rsidRPr="00654F44" w:rsidRDefault="00910679" w:rsidP="00BF69CF">
      <w:pPr>
        <w:pStyle w:val="ActHead5"/>
      </w:pPr>
      <w:bookmarkStart w:id="34" w:name="_Toc392593259"/>
      <w:r w:rsidRPr="00654F44">
        <w:rPr>
          <w:rStyle w:val="CharSectno"/>
        </w:rPr>
        <w:lastRenderedPageBreak/>
        <w:t>28</w:t>
      </w:r>
      <w:r w:rsidRPr="00654F44">
        <w:t xml:space="preserve">  Certain officers may administer oaths and affirmations</w:t>
      </w:r>
      <w:bookmarkEnd w:id="34"/>
    </w:p>
    <w:p w:rsidR="00910679" w:rsidRPr="00654F44" w:rsidRDefault="00910679">
      <w:pPr>
        <w:pStyle w:val="subsection"/>
        <w:keepNext/>
        <w:keepLines/>
      </w:pPr>
      <w:r w:rsidRPr="00654F44">
        <w:tab/>
      </w:r>
      <w:r w:rsidRPr="00654F44">
        <w:tab/>
        <w:t>The Chief Executive and Principal Registrar, the Senior Registrar, the Deputy Registrars and any other persons authorized by Rules of Court may administer oaths and affirmations for the purposes of any proceedings in the Court.</w:t>
      </w:r>
    </w:p>
    <w:p w:rsidR="00910679" w:rsidRPr="00654F44" w:rsidRDefault="00910679" w:rsidP="00E12D7E">
      <w:pPr>
        <w:pStyle w:val="ActHead2"/>
        <w:pageBreakBefore/>
      </w:pPr>
      <w:bookmarkStart w:id="35" w:name="_Toc392593260"/>
      <w:r w:rsidRPr="00654F44">
        <w:rPr>
          <w:rStyle w:val="CharPartNo"/>
        </w:rPr>
        <w:lastRenderedPageBreak/>
        <w:t>Part</w:t>
      </w:r>
      <w:r w:rsidR="00E12D7E" w:rsidRPr="00654F44">
        <w:rPr>
          <w:rStyle w:val="CharPartNo"/>
        </w:rPr>
        <w:t> </w:t>
      </w:r>
      <w:r w:rsidRPr="00654F44">
        <w:rPr>
          <w:rStyle w:val="CharPartNo"/>
        </w:rPr>
        <w:t>IV</w:t>
      </w:r>
      <w:r w:rsidRPr="00654F44">
        <w:t>—</w:t>
      </w:r>
      <w:r w:rsidRPr="00654F44">
        <w:rPr>
          <w:rStyle w:val="CharPartText"/>
        </w:rPr>
        <w:t>Registry and procedure</w:t>
      </w:r>
      <w:bookmarkEnd w:id="35"/>
    </w:p>
    <w:p w:rsidR="00910679" w:rsidRPr="00654F44" w:rsidRDefault="00BF69CF">
      <w:pPr>
        <w:pStyle w:val="Header"/>
      </w:pPr>
      <w:r w:rsidRPr="00654F44">
        <w:rPr>
          <w:rStyle w:val="CharDivNo"/>
        </w:rPr>
        <w:t xml:space="preserve"> </w:t>
      </w:r>
      <w:r w:rsidRPr="00654F44">
        <w:rPr>
          <w:rStyle w:val="CharDivText"/>
        </w:rPr>
        <w:t xml:space="preserve"> </w:t>
      </w:r>
    </w:p>
    <w:p w:rsidR="00910679" w:rsidRPr="00654F44" w:rsidRDefault="00910679" w:rsidP="00BF69CF">
      <w:pPr>
        <w:pStyle w:val="ActHead5"/>
      </w:pPr>
      <w:bookmarkStart w:id="36" w:name="_Toc392593261"/>
      <w:r w:rsidRPr="00654F44">
        <w:rPr>
          <w:rStyle w:val="CharSectno"/>
        </w:rPr>
        <w:t>30</w:t>
      </w:r>
      <w:r w:rsidRPr="00654F44">
        <w:t xml:space="preserve">  Registry</w:t>
      </w:r>
      <w:bookmarkEnd w:id="36"/>
    </w:p>
    <w:p w:rsidR="00910679" w:rsidRPr="00654F44" w:rsidRDefault="00910679">
      <w:pPr>
        <w:pStyle w:val="subsection"/>
      </w:pPr>
      <w:r w:rsidRPr="00654F44">
        <w:tab/>
        <w:t>(1)</w:t>
      </w:r>
      <w:r w:rsidRPr="00654F44">
        <w:tab/>
        <w:t>There shall be a Registry of the High Court, which shall be at the seat of the Court.</w:t>
      </w:r>
    </w:p>
    <w:p w:rsidR="00910679" w:rsidRPr="00654F44" w:rsidRDefault="00910679">
      <w:pPr>
        <w:pStyle w:val="subsection"/>
      </w:pPr>
      <w:r w:rsidRPr="00654F44">
        <w:tab/>
        <w:t>(2)</w:t>
      </w:r>
      <w:r w:rsidRPr="00654F44">
        <w:tab/>
        <w:t>The Registry shall be under the control of the Chief Executive and Principal Registrar.</w:t>
      </w:r>
    </w:p>
    <w:p w:rsidR="00910679" w:rsidRPr="00654F44" w:rsidRDefault="00910679">
      <w:pPr>
        <w:pStyle w:val="subsection"/>
      </w:pPr>
      <w:r w:rsidRPr="00654F44">
        <w:tab/>
        <w:t>(3)</w:t>
      </w:r>
      <w:r w:rsidRPr="00654F44">
        <w:tab/>
        <w:t xml:space="preserve">There shall be an office of the Registry at the seat of the Court, at the capital city of each State, at </w:t>
      </w:r>
      <w:smartTag w:uri="urn:schemas-microsoft-com:office:smarttags" w:element="City">
        <w:smartTag w:uri="urn:schemas-microsoft-com:office:smarttags" w:element="place">
          <w:r w:rsidRPr="00654F44">
            <w:t>Darwin</w:t>
          </w:r>
        </w:smartTag>
      </w:smartTag>
      <w:r w:rsidRPr="00654F44">
        <w:t xml:space="preserve"> in the </w:t>
      </w:r>
      <w:smartTag w:uri="urn:schemas-microsoft-com:office:smarttags" w:element="State">
        <w:smartTag w:uri="urn:schemas-microsoft-com:office:smarttags" w:element="place">
          <w:r w:rsidRPr="00654F44">
            <w:t>Northern Territory</w:t>
          </w:r>
        </w:smartTag>
      </w:smartTag>
      <w:r w:rsidRPr="00654F44">
        <w:t xml:space="preserve"> and at such other places as the Court deems necessary.</w:t>
      </w:r>
    </w:p>
    <w:p w:rsidR="00910679" w:rsidRPr="00654F44" w:rsidRDefault="00910679">
      <w:pPr>
        <w:pStyle w:val="subsection"/>
      </w:pPr>
      <w:r w:rsidRPr="00654F44">
        <w:tab/>
        <w:t>(4)</w:t>
      </w:r>
      <w:r w:rsidRPr="00654F44">
        <w:tab/>
        <w:t xml:space="preserve">The Minister may arrange with the appropriate Minister of a State or of the Northern Territory for an officer or officers of that State or Territory to perform on behalf of the Court at any office in that State or Territory of the Registry of the Court all or any of the functions referred to in </w:t>
      </w:r>
      <w:r w:rsidR="00654F44">
        <w:t>subsection (</w:t>
      </w:r>
      <w:r w:rsidRPr="00654F44">
        <w:t>6).</w:t>
      </w:r>
    </w:p>
    <w:p w:rsidR="00910679" w:rsidRPr="00654F44" w:rsidRDefault="00910679">
      <w:pPr>
        <w:pStyle w:val="subsection"/>
      </w:pPr>
      <w:r w:rsidRPr="00654F44">
        <w:tab/>
        <w:t>(5)</w:t>
      </w:r>
      <w:r w:rsidRPr="00654F44">
        <w:tab/>
        <w:t xml:space="preserve">The Chief Justice may arrange with the Chief Justice of the Federal Court of Australia for an officer or officers of the Federal Court of Australia to perform on behalf of the High Court at an office or offices of the Registry of the High Court referred to in the arrangement all or any of the functions referred to in </w:t>
      </w:r>
      <w:r w:rsidR="00654F44">
        <w:t>subsection (</w:t>
      </w:r>
      <w:r w:rsidRPr="00654F44">
        <w:t>6).</w:t>
      </w:r>
    </w:p>
    <w:p w:rsidR="00910679" w:rsidRPr="00654F44" w:rsidRDefault="00910679">
      <w:pPr>
        <w:pStyle w:val="subsection"/>
      </w:pPr>
      <w:r w:rsidRPr="00654F44">
        <w:tab/>
        <w:t>(6)</w:t>
      </w:r>
      <w:r w:rsidRPr="00654F44">
        <w:tab/>
        <w:t xml:space="preserve">The functions to which an arrangement under </w:t>
      </w:r>
      <w:r w:rsidR="00654F44">
        <w:t>subsection (</w:t>
      </w:r>
      <w:r w:rsidRPr="00654F44">
        <w:t>4) or (5) may relate are:</w:t>
      </w:r>
    </w:p>
    <w:p w:rsidR="00910679" w:rsidRPr="00654F44" w:rsidRDefault="00910679">
      <w:pPr>
        <w:pStyle w:val="paragraph"/>
      </w:pPr>
      <w:r w:rsidRPr="00654F44">
        <w:tab/>
        <w:t>(a)</w:t>
      </w:r>
      <w:r w:rsidRPr="00654F44">
        <w:tab/>
        <w:t>the receipt of documents to be lodged with or filed in the High Court;</w:t>
      </w:r>
    </w:p>
    <w:p w:rsidR="00910679" w:rsidRPr="00654F44" w:rsidRDefault="00910679">
      <w:pPr>
        <w:pStyle w:val="paragraph"/>
      </w:pPr>
      <w:r w:rsidRPr="00654F44">
        <w:tab/>
        <w:t>(b)</w:t>
      </w:r>
      <w:r w:rsidRPr="00654F44">
        <w:tab/>
        <w:t>the signing and issuing of writs, commissions and process;</w:t>
      </w:r>
    </w:p>
    <w:p w:rsidR="00910679" w:rsidRPr="00654F44" w:rsidRDefault="00910679">
      <w:pPr>
        <w:pStyle w:val="paragraph"/>
      </w:pPr>
      <w:r w:rsidRPr="00654F44">
        <w:tab/>
        <w:t>(c)</w:t>
      </w:r>
      <w:r w:rsidRPr="00654F44">
        <w:tab/>
        <w:t>the administration of oaths and affirmations for the purposes of any proceedings in the High Court; and</w:t>
      </w:r>
    </w:p>
    <w:p w:rsidR="00910679" w:rsidRPr="00654F44" w:rsidRDefault="00910679">
      <w:pPr>
        <w:pStyle w:val="paragraph"/>
      </w:pPr>
      <w:r w:rsidRPr="00654F44">
        <w:tab/>
        <w:t>(d)</w:t>
      </w:r>
      <w:r w:rsidRPr="00654F44">
        <w:tab/>
        <w:t>such other functions as are permitted by Rules of Court to be performed in pursuance of such an arrangement.</w:t>
      </w:r>
    </w:p>
    <w:p w:rsidR="00910679" w:rsidRPr="00654F44" w:rsidRDefault="00910679">
      <w:pPr>
        <w:pStyle w:val="subsection"/>
      </w:pPr>
      <w:r w:rsidRPr="00654F44">
        <w:lastRenderedPageBreak/>
        <w:tab/>
        <w:t>(7)</w:t>
      </w:r>
      <w:r w:rsidRPr="00654F44">
        <w:tab/>
        <w:t>Documents received at any office of the Registry for lodgment with or filing in the Court shall be deemed to be received at the Registry.</w:t>
      </w:r>
    </w:p>
    <w:p w:rsidR="00910679" w:rsidRPr="00654F44" w:rsidRDefault="00910679">
      <w:pPr>
        <w:pStyle w:val="subsection"/>
        <w:rPr>
          <w:i/>
        </w:rPr>
      </w:pPr>
      <w:r w:rsidRPr="00654F44">
        <w:tab/>
        <w:t>(8)</w:t>
      </w:r>
      <w:r w:rsidRPr="00654F44">
        <w:tab/>
        <w:t xml:space="preserve">A copy of an arrangement made under </w:t>
      </w:r>
      <w:r w:rsidR="00654F44">
        <w:t>subsection (</w:t>
      </w:r>
      <w:r w:rsidRPr="00654F44">
        <w:t xml:space="preserve">4) or (5) shall be published in the </w:t>
      </w:r>
      <w:r w:rsidRPr="00654F44">
        <w:rPr>
          <w:i/>
        </w:rPr>
        <w:t>Gazette.</w:t>
      </w:r>
    </w:p>
    <w:p w:rsidR="00910679" w:rsidRPr="00654F44" w:rsidRDefault="00910679">
      <w:pPr>
        <w:pStyle w:val="subsection"/>
      </w:pPr>
      <w:r w:rsidRPr="00654F44">
        <w:rPr>
          <w:i/>
        </w:rPr>
        <w:tab/>
      </w:r>
      <w:r w:rsidRPr="00654F44">
        <w:t>(9)</w:t>
      </w:r>
      <w:r w:rsidRPr="00654F44">
        <w:tab/>
        <w:t xml:space="preserve">Where an office of the Registry is established at a place not specifically mentioned in </w:t>
      </w:r>
      <w:r w:rsidR="00654F44">
        <w:t>subsection (</w:t>
      </w:r>
      <w:r w:rsidRPr="00654F44">
        <w:t>3), a notice stating that an office of the Registry has been established at that place shall be published in the Gazette.</w:t>
      </w:r>
    </w:p>
    <w:p w:rsidR="00910679" w:rsidRPr="00654F44" w:rsidRDefault="00910679" w:rsidP="00BF69CF">
      <w:pPr>
        <w:pStyle w:val="ActHead5"/>
      </w:pPr>
      <w:bookmarkStart w:id="37" w:name="_Toc392593262"/>
      <w:r w:rsidRPr="00654F44">
        <w:rPr>
          <w:rStyle w:val="CharSectno"/>
        </w:rPr>
        <w:t>31</w:t>
      </w:r>
      <w:r w:rsidRPr="00654F44">
        <w:t xml:space="preserve">  Transfer of proceedings</w:t>
      </w:r>
      <w:bookmarkEnd w:id="37"/>
    </w:p>
    <w:p w:rsidR="00910679" w:rsidRPr="00654F44" w:rsidRDefault="00910679">
      <w:pPr>
        <w:pStyle w:val="subsection"/>
      </w:pPr>
      <w:r w:rsidRPr="00654F44">
        <w:tab/>
        <w:t>(1)</w:t>
      </w:r>
      <w:r w:rsidRPr="00654F44">
        <w:tab/>
        <w:t>Subject to section</w:t>
      </w:r>
      <w:r w:rsidR="00654F44">
        <w:t> </w:t>
      </w:r>
      <w:r w:rsidRPr="00654F44">
        <w:t>80 of the Constitution, the High Court may, at any stage of a proceeding, direct that the proceeding or a part of the proceeding be held or continued at a place specified in the order, subject to such conditions (if any) as the Court imposes.</w:t>
      </w:r>
    </w:p>
    <w:p w:rsidR="00910679" w:rsidRPr="00654F44" w:rsidRDefault="00910679">
      <w:pPr>
        <w:pStyle w:val="subsection"/>
      </w:pPr>
      <w:r w:rsidRPr="00654F44">
        <w:tab/>
        <w:t>(2)</w:t>
      </w:r>
      <w:r w:rsidRPr="00654F44">
        <w:tab/>
        <w:t>The Rules of Court may make provision for the transmission of documents between offices of the Registry of the Court, including transmission by telegraph, telex or any similar means of communication.</w:t>
      </w:r>
    </w:p>
    <w:p w:rsidR="00910679" w:rsidRPr="00654F44" w:rsidRDefault="00910679" w:rsidP="00BF69CF">
      <w:pPr>
        <w:pStyle w:val="ActHead5"/>
      </w:pPr>
      <w:bookmarkStart w:id="38" w:name="_Toc392593263"/>
      <w:r w:rsidRPr="00654F44">
        <w:rPr>
          <w:rStyle w:val="CharSectno"/>
        </w:rPr>
        <w:t>32</w:t>
      </w:r>
      <w:r w:rsidRPr="00654F44">
        <w:t xml:space="preserve">  Seals</w:t>
      </w:r>
      <w:bookmarkEnd w:id="38"/>
    </w:p>
    <w:p w:rsidR="00910679" w:rsidRPr="00654F44" w:rsidRDefault="00910679">
      <w:pPr>
        <w:pStyle w:val="subsection"/>
      </w:pPr>
      <w:r w:rsidRPr="00654F44">
        <w:tab/>
        <w:t>(1)</w:t>
      </w:r>
      <w:r w:rsidRPr="00654F44">
        <w:tab/>
        <w:t>The High Court shall have a seal on which are inscribed the words “The Seal of the High Court of Australia”.</w:t>
      </w:r>
    </w:p>
    <w:p w:rsidR="00910679" w:rsidRPr="00654F44" w:rsidRDefault="00910679">
      <w:pPr>
        <w:pStyle w:val="subsection"/>
      </w:pPr>
      <w:r w:rsidRPr="00654F44">
        <w:tab/>
        <w:t>(2)</w:t>
      </w:r>
      <w:r w:rsidRPr="00654F44">
        <w:tab/>
        <w:t>A duplicate of the seal of the Court shall be kept at each office of the Registry of the Court.</w:t>
      </w:r>
    </w:p>
    <w:p w:rsidR="00910679" w:rsidRPr="00654F44" w:rsidRDefault="00910679">
      <w:pPr>
        <w:pStyle w:val="subsection"/>
      </w:pPr>
      <w:r w:rsidRPr="00654F44">
        <w:tab/>
        <w:t>(3)</w:t>
      </w:r>
      <w:r w:rsidRPr="00654F44">
        <w:tab/>
        <w:t>Such other seals as are required for the business of the Court shall be kept and used at each office of the Registry and shall be in such form and kept in such custody as the Chief Justice directs.</w:t>
      </w:r>
    </w:p>
    <w:p w:rsidR="00910679" w:rsidRPr="00654F44" w:rsidRDefault="00910679">
      <w:pPr>
        <w:pStyle w:val="subsection"/>
      </w:pPr>
      <w:r w:rsidRPr="00654F44">
        <w:tab/>
        <w:t>(4)</w:t>
      </w:r>
      <w:r w:rsidRPr="00654F44">
        <w:tab/>
        <w:t xml:space="preserve">A document, a copy of a document or an exemplification purporting to be sealed with the seal of the High Court or a duplicate of that seal, or with a seal referred to in </w:t>
      </w:r>
      <w:r w:rsidR="00654F44">
        <w:t>subsection (</w:t>
      </w:r>
      <w:r w:rsidRPr="00654F44">
        <w:t>3), is receivable in evidence without further proof of the seal.</w:t>
      </w:r>
    </w:p>
    <w:p w:rsidR="00910679" w:rsidRPr="00654F44" w:rsidRDefault="00910679" w:rsidP="00BF69CF">
      <w:pPr>
        <w:pStyle w:val="ActHead5"/>
      </w:pPr>
      <w:bookmarkStart w:id="39" w:name="_Toc392593264"/>
      <w:r w:rsidRPr="00654F44">
        <w:rPr>
          <w:rStyle w:val="CharSectno"/>
        </w:rPr>
        <w:lastRenderedPageBreak/>
        <w:t>33</w:t>
      </w:r>
      <w:r w:rsidRPr="00654F44">
        <w:t xml:space="preserve">  Writs etc.</w:t>
      </w:r>
      <w:bookmarkEnd w:id="39"/>
    </w:p>
    <w:p w:rsidR="00910679" w:rsidRPr="00654F44" w:rsidRDefault="00910679">
      <w:pPr>
        <w:pStyle w:val="subsection"/>
      </w:pPr>
      <w:r w:rsidRPr="00654F44">
        <w:tab/>
      </w:r>
      <w:r w:rsidRPr="00654F44">
        <w:tab/>
        <w:t>All writs, commissions and process issued from the High Court shall be:</w:t>
      </w:r>
    </w:p>
    <w:p w:rsidR="00910679" w:rsidRPr="00654F44" w:rsidRDefault="00910679">
      <w:pPr>
        <w:pStyle w:val="paragraph"/>
      </w:pPr>
      <w:r w:rsidRPr="00654F44">
        <w:tab/>
        <w:t>(a)</w:t>
      </w:r>
      <w:r w:rsidRPr="00654F44">
        <w:tab/>
        <w:t>in the name of the Queen;</w:t>
      </w:r>
    </w:p>
    <w:p w:rsidR="00910679" w:rsidRPr="00654F44" w:rsidRDefault="00910679">
      <w:pPr>
        <w:pStyle w:val="paragraph"/>
      </w:pPr>
      <w:r w:rsidRPr="00654F44">
        <w:tab/>
        <w:t>(b)</w:t>
      </w:r>
      <w:r w:rsidRPr="00654F44">
        <w:tab/>
        <w:t>under the seal of the Court or a duplicate of that seal or such other seal as is prescribed by Rules of Court; and</w:t>
      </w:r>
    </w:p>
    <w:p w:rsidR="00910679" w:rsidRPr="00654F44" w:rsidRDefault="00910679">
      <w:pPr>
        <w:pStyle w:val="paragraph"/>
      </w:pPr>
      <w:r w:rsidRPr="00654F44">
        <w:tab/>
        <w:t>(c)</w:t>
      </w:r>
      <w:r w:rsidRPr="00654F44">
        <w:tab/>
        <w:t>signed by:</w:t>
      </w:r>
    </w:p>
    <w:p w:rsidR="00910679" w:rsidRPr="00654F44" w:rsidRDefault="00910679">
      <w:pPr>
        <w:pStyle w:val="paragraphsub"/>
      </w:pPr>
      <w:r w:rsidRPr="00654F44">
        <w:tab/>
        <w:t xml:space="preserve">(i) </w:t>
      </w:r>
      <w:r w:rsidRPr="00654F44">
        <w:tab/>
        <w:t>the Chief Executive and Principal Registrar or an officer acting with the authority of the Chief Executive and Principal Registrar; or</w:t>
      </w:r>
    </w:p>
    <w:p w:rsidR="00910679" w:rsidRPr="00654F44" w:rsidRDefault="00910679">
      <w:pPr>
        <w:pStyle w:val="paragraphsub"/>
      </w:pPr>
      <w:r w:rsidRPr="00654F44">
        <w:tab/>
        <w:t>(ii)</w:t>
      </w:r>
      <w:r w:rsidRPr="00654F44">
        <w:tab/>
        <w:t>an officer authorized by an arrangement in force under subsection</w:t>
      </w:r>
      <w:r w:rsidR="00654F44">
        <w:t> </w:t>
      </w:r>
      <w:r w:rsidRPr="00654F44">
        <w:t>30(4) or (5) or a person acting with the authority of such an officer.</w:t>
      </w:r>
    </w:p>
    <w:p w:rsidR="00910679" w:rsidRPr="00654F44" w:rsidRDefault="00910679" w:rsidP="00BF69CF">
      <w:pPr>
        <w:pStyle w:val="ActHead5"/>
      </w:pPr>
      <w:bookmarkStart w:id="40" w:name="_Toc392593265"/>
      <w:r w:rsidRPr="00654F44">
        <w:rPr>
          <w:rStyle w:val="CharSectno"/>
        </w:rPr>
        <w:t>34</w:t>
      </w:r>
      <w:r w:rsidRPr="00654F44">
        <w:t xml:space="preserve">  Date of process</w:t>
      </w:r>
      <w:bookmarkEnd w:id="40"/>
    </w:p>
    <w:p w:rsidR="00910679" w:rsidRPr="00654F44" w:rsidRDefault="00910679">
      <w:pPr>
        <w:pStyle w:val="subsection"/>
      </w:pPr>
      <w:r w:rsidRPr="00654F44">
        <w:tab/>
      </w:r>
      <w:r w:rsidRPr="00654F44">
        <w:tab/>
        <w:t>All writs, commissions and process issued from the High Court shall be dated as of the day on which they are issued.</w:t>
      </w:r>
    </w:p>
    <w:p w:rsidR="00910679" w:rsidRPr="00654F44" w:rsidRDefault="00910679" w:rsidP="00E12D7E">
      <w:pPr>
        <w:pStyle w:val="ActHead2"/>
        <w:pageBreakBefore/>
      </w:pPr>
      <w:bookmarkStart w:id="41" w:name="_Toc392593266"/>
      <w:r w:rsidRPr="00654F44">
        <w:rPr>
          <w:rStyle w:val="CharPartNo"/>
        </w:rPr>
        <w:lastRenderedPageBreak/>
        <w:t>Part</w:t>
      </w:r>
      <w:r w:rsidR="00E12D7E" w:rsidRPr="00654F44">
        <w:rPr>
          <w:rStyle w:val="CharPartNo"/>
        </w:rPr>
        <w:t> </w:t>
      </w:r>
      <w:r w:rsidRPr="00654F44">
        <w:rPr>
          <w:rStyle w:val="CharPartNo"/>
        </w:rPr>
        <w:t>V</w:t>
      </w:r>
      <w:r w:rsidRPr="00654F44">
        <w:t>—</w:t>
      </w:r>
      <w:r w:rsidRPr="00654F44">
        <w:rPr>
          <w:rStyle w:val="CharPartText"/>
        </w:rPr>
        <w:t>Finance</w:t>
      </w:r>
      <w:bookmarkEnd w:id="41"/>
    </w:p>
    <w:p w:rsidR="00910679" w:rsidRPr="00654F44" w:rsidRDefault="00BF69CF">
      <w:pPr>
        <w:pStyle w:val="Header"/>
      </w:pPr>
      <w:r w:rsidRPr="00654F44">
        <w:rPr>
          <w:rStyle w:val="CharDivNo"/>
        </w:rPr>
        <w:t xml:space="preserve"> </w:t>
      </w:r>
      <w:r w:rsidRPr="00654F44">
        <w:rPr>
          <w:rStyle w:val="CharDivText"/>
        </w:rPr>
        <w:t xml:space="preserve"> </w:t>
      </w:r>
    </w:p>
    <w:p w:rsidR="00910679" w:rsidRPr="00654F44" w:rsidRDefault="00910679" w:rsidP="00BF69CF">
      <w:pPr>
        <w:pStyle w:val="ActHead5"/>
      </w:pPr>
      <w:bookmarkStart w:id="42" w:name="_Toc392593267"/>
      <w:r w:rsidRPr="00654F44">
        <w:rPr>
          <w:rStyle w:val="CharSectno"/>
        </w:rPr>
        <w:t>35</w:t>
      </w:r>
      <w:r w:rsidRPr="00654F44">
        <w:t xml:space="preserve">  Moneys appropriated for the Court</w:t>
      </w:r>
      <w:bookmarkEnd w:id="42"/>
    </w:p>
    <w:p w:rsidR="00910679" w:rsidRPr="00654F44" w:rsidRDefault="00910679">
      <w:pPr>
        <w:pStyle w:val="subsection"/>
      </w:pPr>
      <w:r w:rsidRPr="00654F44">
        <w:tab/>
        <w:t>(1)</w:t>
      </w:r>
      <w:r w:rsidRPr="00654F44">
        <w:tab/>
        <w:t>There are payable to the High Court such moneys as are appropriated by the Parliament for the purposes of the Court.</w:t>
      </w:r>
    </w:p>
    <w:p w:rsidR="00910679" w:rsidRPr="00654F44" w:rsidRDefault="00910679">
      <w:pPr>
        <w:pStyle w:val="subsection"/>
      </w:pPr>
      <w:r w:rsidRPr="00654F44">
        <w:tab/>
        <w:t>(2)</w:t>
      </w:r>
      <w:r w:rsidRPr="00654F44">
        <w:tab/>
        <w:t xml:space="preserve">The </w:t>
      </w:r>
      <w:r w:rsidR="00427D9D" w:rsidRPr="00654F44">
        <w:t>Finance Minister</w:t>
      </w:r>
      <w:r w:rsidRPr="00654F44">
        <w:t xml:space="preserve"> may give directions as to the amounts in which, and the times at which, moneys referred to in </w:t>
      </w:r>
      <w:r w:rsidR="00654F44">
        <w:t>subsection (</w:t>
      </w:r>
      <w:r w:rsidRPr="00654F44">
        <w:t>1) are to be paid to the Court.</w:t>
      </w:r>
    </w:p>
    <w:p w:rsidR="00910679" w:rsidRPr="00654F44" w:rsidRDefault="00910679" w:rsidP="00BF69CF">
      <w:pPr>
        <w:pStyle w:val="ActHead5"/>
      </w:pPr>
      <w:bookmarkStart w:id="43" w:name="_Toc392593268"/>
      <w:r w:rsidRPr="00654F44">
        <w:rPr>
          <w:rStyle w:val="CharSectno"/>
        </w:rPr>
        <w:t>36</w:t>
      </w:r>
      <w:r w:rsidRPr="00654F44">
        <w:t xml:space="preserve">  Estimates</w:t>
      </w:r>
      <w:bookmarkEnd w:id="43"/>
    </w:p>
    <w:p w:rsidR="00910679" w:rsidRPr="00654F44" w:rsidRDefault="00910679">
      <w:pPr>
        <w:pStyle w:val="subsection"/>
      </w:pPr>
      <w:r w:rsidRPr="00654F44">
        <w:tab/>
        <w:t>(1)</w:t>
      </w:r>
      <w:r w:rsidRPr="00654F44">
        <w:tab/>
        <w:t>The High Court shall prepare estimates, in such form as the Minister approves, of receipts and expenditure in respect of the administration of the affairs of the Court under section</w:t>
      </w:r>
      <w:r w:rsidR="00654F44">
        <w:t> </w:t>
      </w:r>
      <w:r w:rsidRPr="00654F44">
        <w:t>17 for each financial year and, if so requested by the Minister, for any other period, and shall submit estimates so prepared to the Minister not later than such date as the Minister specifies.</w:t>
      </w:r>
    </w:p>
    <w:p w:rsidR="00910679" w:rsidRPr="00654F44" w:rsidRDefault="00910679">
      <w:pPr>
        <w:pStyle w:val="subsection"/>
      </w:pPr>
      <w:r w:rsidRPr="00654F44">
        <w:tab/>
        <w:t>(2)</w:t>
      </w:r>
      <w:r w:rsidRPr="00654F44">
        <w:tab/>
        <w:t>Moneys paid to the Court under section</w:t>
      </w:r>
      <w:r w:rsidR="00654F44">
        <w:t> </w:t>
      </w:r>
      <w:r w:rsidRPr="00654F44">
        <w:t>35 shall not be expended otherwise than in accordance with the estimates of expenditure approved by the Minister.</w:t>
      </w:r>
    </w:p>
    <w:p w:rsidR="00910679" w:rsidRPr="00654F44" w:rsidRDefault="00910679" w:rsidP="00BF69CF">
      <w:pPr>
        <w:pStyle w:val="ActHead5"/>
      </w:pPr>
      <w:bookmarkStart w:id="44" w:name="_Toc392593269"/>
      <w:r w:rsidRPr="00654F44">
        <w:rPr>
          <w:rStyle w:val="CharSectno"/>
        </w:rPr>
        <w:t>37</w:t>
      </w:r>
      <w:r w:rsidRPr="00654F44">
        <w:t xml:space="preserve">  Application of moneys appropriated for the Court</w:t>
      </w:r>
      <w:bookmarkEnd w:id="44"/>
    </w:p>
    <w:p w:rsidR="00910679" w:rsidRPr="00654F44" w:rsidRDefault="00910679">
      <w:pPr>
        <w:pStyle w:val="subsection"/>
      </w:pPr>
      <w:r w:rsidRPr="00654F44">
        <w:tab/>
      </w:r>
      <w:r w:rsidRPr="00654F44">
        <w:tab/>
        <w:t>Moneys paid to the High Court under section</w:t>
      </w:r>
      <w:r w:rsidR="00654F44">
        <w:t> </w:t>
      </w:r>
      <w:r w:rsidRPr="00654F44">
        <w:t>35 shall be applied only:</w:t>
      </w:r>
    </w:p>
    <w:p w:rsidR="00910679" w:rsidRPr="00654F44" w:rsidRDefault="00910679">
      <w:pPr>
        <w:pStyle w:val="paragraph"/>
      </w:pPr>
      <w:r w:rsidRPr="00654F44">
        <w:tab/>
        <w:t>(a)</w:t>
      </w:r>
      <w:r w:rsidRPr="00654F44">
        <w:tab/>
        <w:t>in payment or discharge of the costs and expenses of the administration of the affairs of the Court under section</w:t>
      </w:r>
      <w:r w:rsidR="00654F44">
        <w:t> </w:t>
      </w:r>
      <w:r w:rsidRPr="00654F44">
        <w:t>17; and</w:t>
      </w:r>
    </w:p>
    <w:p w:rsidR="00910679" w:rsidRPr="00654F44" w:rsidRDefault="00910679">
      <w:pPr>
        <w:pStyle w:val="paragraph"/>
      </w:pPr>
      <w:r w:rsidRPr="00654F44">
        <w:tab/>
        <w:t>(b)</w:t>
      </w:r>
      <w:r w:rsidRPr="00654F44">
        <w:tab/>
        <w:t>in payment of any remuneration and allowances payable under this Act to any person other than a Justice.</w:t>
      </w:r>
    </w:p>
    <w:p w:rsidR="00910679" w:rsidRPr="00654F44" w:rsidRDefault="00910679" w:rsidP="00BF69CF">
      <w:pPr>
        <w:pStyle w:val="ActHead5"/>
      </w:pPr>
      <w:bookmarkStart w:id="45" w:name="_Toc392593270"/>
      <w:r w:rsidRPr="00654F44">
        <w:rPr>
          <w:rStyle w:val="CharSectno"/>
        </w:rPr>
        <w:lastRenderedPageBreak/>
        <w:t>38</w:t>
      </w:r>
      <w:r w:rsidRPr="00654F44">
        <w:t xml:space="preserve">  Trust moneys</w:t>
      </w:r>
      <w:bookmarkEnd w:id="45"/>
    </w:p>
    <w:p w:rsidR="00910679" w:rsidRPr="00654F44" w:rsidRDefault="00910679">
      <w:pPr>
        <w:pStyle w:val="subsection"/>
      </w:pPr>
      <w:r w:rsidRPr="00654F44">
        <w:tab/>
        <w:t>(1)</w:t>
      </w:r>
      <w:r w:rsidRPr="00654F44">
        <w:tab/>
        <w:t>A separate account or separate accounts shall be kept in the books of the High Court in respect of moneys held by the Court upon trust.</w:t>
      </w:r>
    </w:p>
    <w:p w:rsidR="00910679" w:rsidRPr="00654F44" w:rsidRDefault="00910679">
      <w:pPr>
        <w:pStyle w:val="subsection"/>
      </w:pPr>
      <w:r w:rsidRPr="00654F44">
        <w:tab/>
        <w:t>(2)</w:t>
      </w:r>
      <w:r w:rsidRPr="00654F44">
        <w:tab/>
        <w:t>Any moneys or other property held by the Court upon trust shall be dealt with in accordance with the powers and duties of the Court as trustee.</w:t>
      </w:r>
    </w:p>
    <w:p w:rsidR="00910679" w:rsidRPr="00654F44" w:rsidRDefault="00910679" w:rsidP="00BF69CF">
      <w:pPr>
        <w:pStyle w:val="ActHead5"/>
      </w:pPr>
      <w:bookmarkStart w:id="46" w:name="_Toc392593271"/>
      <w:r w:rsidRPr="00654F44">
        <w:rPr>
          <w:rStyle w:val="CharSectno"/>
        </w:rPr>
        <w:t>39</w:t>
      </w:r>
      <w:r w:rsidRPr="00654F44">
        <w:t xml:space="preserve">  Other moneys</w:t>
      </w:r>
      <w:bookmarkEnd w:id="46"/>
    </w:p>
    <w:p w:rsidR="00910679" w:rsidRPr="00654F44" w:rsidRDefault="00910679">
      <w:pPr>
        <w:pStyle w:val="subsection"/>
      </w:pPr>
      <w:r w:rsidRPr="00654F44">
        <w:tab/>
        <w:t>(1)</w:t>
      </w:r>
      <w:r w:rsidRPr="00654F44">
        <w:tab/>
        <w:t>Any moneys held by the Court other than:</w:t>
      </w:r>
    </w:p>
    <w:p w:rsidR="00910679" w:rsidRPr="00654F44" w:rsidRDefault="00910679">
      <w:pPr>
        <w:pStyle w:val="paragraph"/>
      </w:pPr>
      <w:r w:rsidRPr="00654F44">
        <w:tab/>
        <w:t>(a)</w:t>
      </w:r>
      <w:r w:rsidRPr="00654F44">
        <w:tab/>
        <w:t>moneys held by the Court upon trust; and</w:t>
      </w:r>
    </w:p>
    <w:p w:rsidR="00910679" w:rsidRPr="00654F44" w:rsidRDefault="00910679">
      <w:pPr>
        <w:pStyle w:val="paragraph"/>
        <w:keepNext/>
      </w:pPr>
      <w:r w:rsidRPr="00654F44">
        <w:tab/>
        <w:t>(b)</w:t>
      </w:r>
      <w:r w:rsidRPr="00654F44">
        <w:tab/>
        <w:t>moneys paid to the Court under section</w:t>
      </w:r>
      <w:r w:rsidR="00654F44">
        <w:t> </w:t>
      </w:r>
      <w:r w:rsidRPr="00654F44">
        <w:t>35;</w:t>
      </w:r>
    </w:p>
    <w:p w:rsidR="00910679" w:rsidRPr="00654F44" w:rsidRDefault="00910679">
      <w:pPr>
        <w:pStyle w:val="subsection2"/>
      </w:pPr>
      <w:r w:rsidRPr="00654F44">
        <w:t>may be expended for the purposes of the Court.</w:t>
      </w:r>
    </w:p>
    <w:p w:rsidR="00910679" w:rsidRPr="00654F44" w:rsidRDefault="00910679">
      <w:pPr>
        <w:pStyle w:val="subsection"/>
      </w:pPr>
      <w:r w:rsidRPr="00654F44">
        <w:tab/>
        <w:t>(2)</w:t>
      </w:r>
      <w:r w:rsidRPr="00654F44">
        <w:tab/>
        <w:t xml:space="preserve">Moneys to which </w:t>
      </w:r>
      <w:r w:rsidR="00654F44">
        <w:t>subsection (</w:t>
      </w:r>
      <w:r w:rsidRPr="00654F44">
        <w:t>1) applies that are not immediately required to be expended may be invested:</w:t>
      </w:r>
    </w:p>
    <w:p w:rsidR="00910679" w:rsidRPr="00654F44" w:rsidRDefault="00910679">
      <w:pPr>
        <w:pStyle w:val="paragraph"/>
      </w:pPr>
      <w:r w:rsidRPr="00654F44">
        <w:tab/>
        <w:t>(a)</w:t>
      </w:r>
      <w:r w:rsidRPr="00654F44">
        <w:tab/>
        <w:t>on deposit with an ADI;</w:t>
      </w:r>
    </w:p>
    <w:p w:rsidR="00910679" w:rsidRPr="00654F44" w:rsidRDefault="00910679">
      <w:pPr>
        <w:pStyle w:val="paragraph"/>
      </w:pPr>
      <w:r w:rsidRPr="00654F44">
        <w:tab/>
        <w:t>(b)</w:t>
      </w:r>
      <w:r w:rsidRPr="00654F44">
        <w:tab/>
        <w:t>in securities of the Commonwealth; or</w:t>
      </w:r>
    </w:p>
    <w:p w:rsidR="00910679" w:rsidRPr="00654F44" w:rsidRDefault="00910679">
      <w:pPr>
        <w:pStyle w:val="paragraph"/>
      </w:pPr>
      <w:r w:rsidRPr="00654F44">
        <w:tab/>
        <w:t>(c)</w:t>
      </w:r>
      <w:r w:rsidRPr="00654F44">
        <w:tab/>
        <w:t xml:space="preserve">in any other manner approved by the </w:t>
      </w:r>
      <w:r w:rsidR="00775B96" w:rsidRPr="00654F44">
        <w:t>Finance Minister</w:t>
      </w:r>
      <w:r w:rsidRPr="00654F44">
        <w:t>.</w:t>
      </w:r>
    </w:p>
    <w:p w:rsidR="00EF1037" w:rsidRPr="00654F44" w:rsidRDefault="00EF1037" w:rsidP="00EF1037">
      <w:pPr>
        <w:pStyle w:val="subsection"/>
      </w:pPr>
      <w:r w:rsidRPr="00654F44">
        <w:tab/>
        <w:t>(3)</w:t>
      </w:r>
      <w:r w:rsidRPr="00654F44">
        <w:tab/>
        <w:t xml:space="preserve">The Finance Minister may, by written instrument, delegate any of the Finance Minister’s powers or functions under this section to an official (within the meaning of the </w:t>
      </w:r>
      <w:r w:rsidR="0052596E" w:rsidRPr="00654F44">
        <w:rPr>
          <w:i/>
        </w:rPr>
        <w:t>Public Governance, Performance and Accountability Act 2013</w:t>
      </w:r>
      <w:r w:rsidR="0052596E" w:rsidRPr="00654F44">
        <w:t>) of a non</w:t>
      </w:r>
      <w:r w:rsidR="00654F44">
        <w:noBreakHyphen/>
      </w:r>
      <w:r w:rsidR="0052596E" w:rsidRPr="00654F44">
        <w:t>corporate Commonwealth entity (within the meaning of that Act)</w:t>
      </w:r>
      <w:r w:rsidRPr="00654F44">
        <w:t>. In exercising powers or functions under a delegation, the official must comply with any directions of the Finance Minister.</w:t>
      </w:r>
    </w:p>
    <w:p w:rsidR="00910679" w:rsidRPr="00654F44" w:rsidRDefault="00910679" w:rsidP="00BF69CF">
      <w:pPr>
        <w:pStyle w:val="ActHead5"/>
      </w:pPr>
      <w:bookmarkStart w:id="47" w:name="_Toc392593272"/>
      <w:r w:rsidRPr="00654F44">
        <w:rPr>
          <w:rStyle w:val="CharSectno"/>
        </w:rPr>
        <w:t>40</w:t>
      </w:r>
      <w:r w:rsidRPr="00654F44">
        <w:t xml:space="preserve">  Limitation on contracts</w:t>
      </w:r>
      <w:bookmarkEnd w:id="47"/>
    </w:p>
    <w:p w:rsidR="00910679" w:rsidRPr="00654F44" w:rsidRDefault="00910679">
      <w:pPr>
        <w:pStyle w:val="subsection"/>
      </w:pPr>
      <w:r w:rsidRPr="00654F44">
        <w:tab/>
      </w:r>
      <w:r w:rsidRPr="00654F44">
        <w:tab/>
        <w:t>The High Court shall not, except with the approval of the Minister, enter into a contract under which the Court is to pay or to receive an amount exceeding $250,000 or, if a higher amount is prescribed, that higher amount.</w:t>
      </w:r>
    </w:p>
    <w:p w:rsidR="00910679" w:rsidRPr="00654F44" w:rsidRDefault="00910679" w:rsidP="00BF69CF">
      <w:pPr>
        <w:pStyle w:val="ActHead5"/>
      </w:pPr>
      <w:bookmarkStart w:id="48" w:name="_Toc392593273"/>
      <w:r w:rsidRPr="00654F44">
        <w:rPr>
          <w:rStyle w:val="CharSectno"/>
        </w:rPr>
        <w:lastRenderedPageBreak/>
        <w:t>41</w:t>
      </w:r>
      <w:r w:rsidRPr="00654F44">
        <w:t xml:space="preserve">  Accounts with ADIs</w:t>
      </w:r>
      <w:bookmarkEnd w:id="48"/>
    </w:p>
    <w:p w:rsidR="00910679" w:rsidRPr="00654F44" w:rsidRDefault="00910679">
      <w:pPr>
        <w:pStyle w:val="subsection"/>
      </w:pPr>
      <w:r w:rsidRPr="00654F44">
        <w:tab/>
        <w:t>(1)</w:t>
      </w:r>
      <w:r w:rsidRPr="00654F44">
        <w:tab/>
        <w:t>The Chief Executive and Principal Registrar may, on behalf of and in the name of the High Court, open and maintain an account or accounts with an ADI or ADIs and shall maintain at all times at least one such account.</w:t>
      </w:r>
    </w:p>
    <w:p w:rsidR="00910679" w:rsidRPr="00654F44" w:rsidRDefault="00910679">
      <w:pPr>
        <w:pStyle w:val="subsection"/>
      </w:pPr>
      <w:r w:rsidRPr="00654F44">
        <w:tab/>
        <w:t>(2)</w:t>
      </w:r>
      <w:r w:rsidRPr="00654F44">
        <w:tab/>
        <w:t>The Chief Executive and Principal Registrar shall pay all moneys received by the Court into an account referred to in this section.</w:t>
      </w:r>
    </w:p>
    <w:p w:rsidR="00910679" w:rsidRPr="00654F44" w:rsidRDefault="00910679" w:rsidP="00BF69CF">
      <w:pPr>
        <w:pStyle w:val="ActHead5"/>
      </w:pPr>
      <w:bookmarkStart w:id="49" w:name="_Toc392593274"/>
      <w:r w:rsidRPr="00654F44">
        <w:rPr>
          <w:rStyle w:val="CharSectno"/>
        </w:rPr>
        <w:t>42</w:t>
      </w:r>
      <w:r w:rsidRPr="00654F44">
        <w:t xml:space="preserve">  Proper accounts to be kept</w:t>
      </w:r>
      <w:bookmarkEnd w:id="49"/>
    </w:p>
    <w:p w:rsidR="00910679" w:rsidRPr="00654F44" w:rsidRDefault="00910679">
      <w:pPr>
        <w:pStyle w:val="subsection"/>
      </w:pPr>
      <w:r w:rsidRPr="00654F44">
        <w:tab/>
      </w:r>
      <w:r w:rsidRPr="00654F44">
        <w:tab/>
        <w:t>The High Court shall cause to be kept proper accounts and records of the transactions and affairs relating to the administration of the affairs of the Court under section</w:t>
      </w:r>
      <w:r w:rsidR="00654F44">
        <w:t> </w:t>
      </w:r>
      <w:r w:rsidRPr="00654F44">
        <w:t>17 and shall do all things necessary to ensure that all payments out of the moneys held by the Court are correctly made and properly authorized and that adequate control is maintained over the assets held by, or in the custody of, the Court and over the incurring of liabilities by the Court.</w:t>
      </w:r>
    </w:p>
    <w:p w:rsidR="00910679" w:rsidRPr="00654F44" w:rsidRDefault="00910679" w:rsidP="00BF69CF">
      <w:pPr>
        <w:pStyle w:val="ActHead5"/>
      </w:pPr>
      <w:bookmarkStart w:id="50" w:name="_Toc392593275"/>
      <w:r w:rsidRPr="00654F44">
        <w:rPr>
          <w:rStyle w:val="CharSectno"/>
        </w:rPr>
        <w:t>43</w:t>
      </w:r>
      <w:r w:rsidRPr="00654F44">
        <w:t xml:space="preserve">  Audit</w:t>
      </w:r>
      <w:bookmarkEnd w:id="50"/>
    </w:p>
    <w:p w:rsidR="00910679" w:rsidRPr="00654F44" w:rsidRDefault="00910679">
      <w:pPr>
        <w:pStyle w:val="subsection"/>
      </w:pPr>
      <w:r w:rsidRPr="00654F44">
        <w:tab/>
        <w:t>(1)</w:t>
      </w:r>
      <w:r w:rsidRPr="00654F44">
        <w:tab/>
        <w:t>The Auditor</w:t>
      </w:r>
      <w:r w:rsidR="00654F44">
        <w:noBreakHyphen/>
      </w:r>
      <w:r w:rsidRPr="00654F44">
        <w:t>General shall inspect and audit the accounts and records of financial transactions relating to the administration of the affairs of the High Court under section</w:t>
      </w:r>
      <w:r w:rsidR="00654F44">
        <w:t> </w:t>
      </w:r>
      <w:r w:rsidRPr="00654F44">
        <w:t>17 and the records relating to assets held by, or in the custody of, the Court and shall forthwith draw the attention of the Minister to any irregularity disclosed by the inspection and audit that, in the opinion of the Auditor</w:t>
      </w:r>
      <w:r w:rsidR="00654F44">
        <w:noBreakHyphen/>
      </w:r>
      <w:r w:rsidRPr="00654F44">
        <w:t>General, is of sufficient importance to justify his or her so doing.</w:t>
      </w:r>
    </w:p>
    <w:p w:rsidR="00910679" w:rsidRPr="00654F44" w:rsidRDefault="00910679">
      <w:pPr>
        <w:pStyle w:val="subsection"/>
      </w:pPr>
      <w:r w:rsidRPr="00654F44">
        <w:tab/>
        <w:t>(2)</w:t>
      </w:r>
      <w:r w:rsidRPr="00654F44">
        <w:tab/>
        <w:t>The Auditor</w:t>
      </w:r>
      <w:r w:rsidR="00654F44">
        <w:noBreakHyphen/>
      </w:r>
      <w:r w:rsidRPr="00654F44">
        <w:t xml:space="preserve">General may, at his or her discretion, dispense with all or any part of the detailed inspection and audit of any accounts or records referred to in </w:t>
      </w:r>
      <w:r w:rsidR="00654F44">
        <w:t>subsection (</w:t>
      </w:r>
      <w:r w:rsidRPr="00654F44">
        <w:t>1).</w:t>
      </w:r>
    </w:p>
    <w:p w:rsidR="00910679" w:rsidRPr="00654F44" w:rsidRDefault="00910679">
      <w:pPr>
        <w:pStyle w:val="subsection"/>
      </w:pPr>
      <w:r w:rsidRPr="00654F44">
        <w:tab/>
        <w:t>(3)</w:t>
      </w:r>
      <w:r w:rsidRPr="00654F44">
        <w:tab/>
        <w:t>The Auditor</w:t>
      </w:r>
      <w:r w:rsidR="00654F44">
        <w:noBreakHyphen/>
      </w:r>
      <w:r w:rsidRPr="00654F44">
        <w:t xml:space="preserve">General shall, at least once in each financial year, report to the Minister the results of the inspection and audit carried out under </w:t>
      </w:r>
      <w:r w:rsidR="00654F44">
        <w:t>subsection (</w:t>
      </w:r>
      <w:r w:rsidRPr="00654F44">
        <w:t>1).</w:t>
      </w:r>
    </w:p>
    <w:p w:rsidR="00910679" w:rsidRPr="00654F44" w:rsidRDefault="00910679">
      <w:pPr>
        <w:pStyle w:val="subsection"/>
      </w:pPr>
      <w:r w:rsidRPr="00654F44">
        <w:lastRenderedPageBreak/>
        <w:tab/>
        <w:t>(4)</w:t>
      </w:r>
      <w:r w:rsidRPr="00654F44">
        <w:tab/>
        <w:t>The Auditor</w:t>
      </w:r>
      <w:r w:rsidR="00654F44">
        <w:noBreakHyphen/>
      </w:r>
      <w:r w:rsidRPr="00654F44">
        <w:t>General or a person authorized by him or her is entitled at all reasonable times to full and free access to all accounts and records maintained by the Court relating directly or indirectly to the receipt or payment of moneys, or to the acquisition, receipt, custody or disposal of assets, by the Court.</w:t>
      </w:r>
    </w:p>
    <w:p w:rsidR="00910679" w:rsidRPr="00654F44" w:rsidRDefault="00910679">
      <w:pPr>
        <w:pStyle w:val="subsection"/>
      </w:pPr>
      <w:r w:rsidRPr="00654F44">
        <w:tab/>
        <w:t>(5)</w:t>
      </w:r>
      <w:r w:rsidRPr="00654F44">
        <w:tab/>
        <w:t>The Auditor</w:t>
      </w:r>
      <w:r w:rsidR="00654F44">
        <w:noBreakHyphen/>
      </w:r>
      <w:r w:rsidRPr="00654F44">
        <w:t>General or a person authorized by him or her may make copies of, or take extracts from, any such accounts and records.</w:t>
      </w:r>
    </w:p>
    <w:p w:rsidR="00910679" w:rsidRPr="00654F44" w:rsidRDefault="00910679">
      <w:pPr>
        <w:pStyle w:val="subsection"/>
      </w:pPr>
      <w:r w:rsidRPr="00654F44">
        <w:tab/>
        <w:t>(6)</w:t>
      </w:r>
      <w:r w:rsidRPr="00654F44">
        <w:tab/>
        <w:t>The Auditor</w:t>
      </w:r>
      <w:r w:rsidR="00654F44">
        <w:noBreakHyphen/>
      </w:r>
      <w:r w:rsidRPr="00654F44">
        <w:t>General or a person authorized by him or her may require any person to furnish him or her with such information in the possession of the person or to which the person has access as the Auditor</w:t>
      </w:r>
      <w:r w:rsidR="00654F44">
        <w:noBreakHyphen/>
      </w:r>
      <w:r w:rsidRPr="00654F44">
        <w:t>General or authorized person considers necessary for the purposes of the functions of the Auditor</w:t>
      </w:r>
      <w:r w:rsidR="00654F44">
        <w:noBreakHyphen/>
      </w:r>
      <w:r w:rsidRPr="00654F44">
        <w:t>General under this Act, and the person shall comply with the requirement.</w:t>
      </w:r>
    </w:p>
    <w:p w:rsidR="00910679" w:rsidRPr="00654F44" w:rsidRDefault="00910679">
      <w:pPr>
        <w:pStyle w:val="subsection"/>
      </w:pPr>
      <w:r w:rsidRPr="00654F44">
        <w:tab/>
        <w:t>(7)</w:t>
      </w:r>
      <w:r w:rsidRPr="00654F44">
        <w:tab/>
        <w:t xml:space="preserve">A person who contravenes </w:t>
      </w:r>
      <w:r w:rsidR="00654F44">
        <w:t>subsection (</w:t>
      </w:r>
      <w:r w:rsidRPr="00654F44">
        <w:t>6) is guilty of an offence and is punishable, upon conviction, by a fine not exceeding $200.</w:t>
      </w:r>
    </w:p>
    <w:p w:rsidR="00910679" w:rsidRPr="00654F44" w:rsidRDefault="00910679">
      <w:pPr>
        <w:pStyle w:val="subsection"/>
      </w:pPr>
      <w:r w:rsidRPr="00654F44">
        <w:tab/>
        <w:t>(8)</w:t>
      </w:r>
      <w:r w:rsidRPr="00654F44">
        <w:tab/>
      </w:r>
      <w:r w:rsidR="00654F44">
        <w:t>Subsection (</w:t>
      </w:r>
      <w:r w:rsidRPr="00654F44">
        <w:t>7) is an offence of strict liability.</w:t>
      </w:r>
    </w:p>
    <w:p w:rsidR="00910679" w:rsidRPr="00654F44" w:rsidRDefault="00910679">
      <w:pPr>
        <w:pStyle w:val="notetext"/>
      </w:pPr>
      <w:r w:rsidRPr="00654F44">
        <w:t>Note:</w:t>
      </w:r>
      <w:r w:rsidRPr="00654F44">
        <w:tab/>
        <w:t xml:space="preserve">For </w:t>
      </w:r>
      <w:r w:rsidRPr="00654F44">
        <w:rPr>
          <w:b/>
          <w:i/>
        </w:rPr>
        <w:t>strict liability</w:t>
      </w:r>
      <w:r w:rsidRPr="00654F44">
        <w:t>, see section</w:t>
      </w:r>
      <w:r w:rsidR="00654F44">
        <w:t> </w:t>
      </w:r>
      <w:r w:rsidRPr="00654F44">
        <w:t xml:space="preserve">6.1 of the </w:t>
      </w:r>
      <w:r w:rsidRPr="00654F44">
        <w:rPr>
          <w:i/>
        </w:rPr>
        <w:t>Criminal Code</w:t>
      </w:r>
      <w:r w:rsidRPr="00654F44">
        <w:t>.</w:t>
      </w:r>
    </w:p>
    <w:p w:rsidR="00910679" w:rsidRPr="00654F44" w:rsidRDefault="00910679" w:rsidP="00BF69CF">
      <w:pPr>
        <w:pStyle w:val="ActHead5"/>
      </w:pPr>
      <w:bookmarkStart w:id="51" w:name="_Toc392593276"/>
      <w:r w:rsidRPr="00654F44">
        <w:rPr>
          <w:rStyle w:val="CharSectno"/>
        </w:rPr>
        <w:t>44</w:t>
      </w:r>
      <w:r w:rsidRPr="00654F44">
        <w:t xml:space="preserve">  Exemption from taxation</w:t>
      </w:r>
      <w:bookmarkEnd w:id="51"/>
    </w:p>
    <w:p w:rsidR="00910679" w:rsidRPr="00654F44" w:rsidRDefault="00910679">
      <w:pPr>
        <w:pStyle w:val="subsection"/>
      </w:pPr>
      <w:r w:rsidRPr="00654F44">
        <w:tab/>
      </w:r>
      <w:r w:rsidRPr="00654F44">
        <w:tab/>
        <w:t>The High Court is not subject to taxation under any law of the Commonwealth or of a State or Territory.</w:t>
      </w:r>
    </w:p>
    <w:p w:rsidR="00910679" w:rsidRPr="00654F44" w:rsidRDefault="00910679" w:rsidP="00E12D7E">
      <w:pPr>
        <w:pStyle w:val="ActHead2"/>
        <w:pageBreakBefore/>
      </w:pPr>
      <w:bookmarkStart w:id="52" w:name="_Toc392593277"/>
      <w:r w:rsidRPr="00654F44">
        <w:rPr>
          <w:rStyle w:val="CharPartNo"/>
        </w:rPr>
        <w:lastRenderedPageBreak/>
        <w:t>Part</w:t>
      </w:r>
      <w:r w:rsidR="00E12D7E" w:rsidRPr="00654F44">
        <w:rPr>
          <w:rStyle w:val="CharPartNo"/>
        </w:rPr>
        <w:t> </w:t>
      </w:r>
      <w:r w:rsidRPr="00654F44">
        <w:rPr>
          <w:rStyle w:val="CharPartNo"/>
        </w:rPr>
        <w:t>VI</w:t>
      </w:r>
      <w:r w:rsidRPr="00654F44">
        <w:t>—</w:t>
      </w:r>
      <w:r w:rsidRPr="00654F44">
        <w:rPr>
          <w:rStyle w:val="CharPartText"/>
        </w:rPr>
        <w:t>Miscellaneous</w:t>
      </w:r>
      <w:bookmarkEnd w:id="52"/>
    </w:p>
    <w:p w:rsidR="00910679" w:rsidRPr="00654F44" w:rsidRDefault="00BF69CF">
      <w:pPr>
        <w:pStyle w:val="Header"/>
      </w:pPr>
      <w:r w:rsidRPr="00654F44">
        <w:rPr>
          <w:rStyle w:val="CharDivNo"/>
        </w:rPr>
        <w:t xml:space="preserve"> </w:t>
      </w:r>
      <w:r w:rsidRPr="00654F44">
        <w:rPr>
          <w:rStyle w:val="CharDivText"/>
        </w:rPr>
        <w:t xml:space="preserve"> </w:t>
      </w:r>
    </w:p>
    <w:p w:rsidR="00910679" w:rsidRPr="00654F44" w:rsidRDefault="00910679" w:rsidP="00BF69CF">
      <w:pPr>
        <w:pStyle w:val="ActHead5"/>
      </w:pPr>
      <w:bookmarkStart w:id="53" w:name="_Toc392593278"/>
      <w:r w:rsidRPr="00654F44">
        <w:rPr>
          <w:rStyle w:val="CharSectno"/>
        </w:rPr>
        <w:t>45</w:t>
      </w:r>
      <w:r w:rsidRPr="00654F44">
        <w:t xml:space="preserve">  Proceedings in respect of administration of the Court</w:t>
      </w:r>
      <w:bookmarkEnd w:id="53"/>
    </w:p>
    <w:p w:rsidR="00910679" w:rsidRPr="00654F44" w:rsidRDefault="00910679">
      <w:pPr>
        <w:pStyle w:val="subsection"/>
      </w:pPr>
      <w:r w:rsidRPr="00654F44">
        <w:tab/>
      </w:r>
      <w:r w:rsidRPr="00654F44">
        <w:tab/>
        <w:t>Any judicial or other proceedings relating to matters arising out of the administration of the affairs of the High Court under section</w:t>
      </w:r>
      <w:r w:rsidR="00654F44">
        <w:t> </w:t>
      </w:r>
      <w:r w:rsidRPr="00654F44">
        <w:t>17, including any proceedings relating to matters arising out of the performance of the functions or the exercise of the powers of the Chief Executive and Principal Registrar under this Act, may be instituted by or against the Commonwealth, as the case requires.</w:t>
      </w:r>
    </w:p>
    <w:p w:rsidR="00910679" w:rsidRPr="00654F44" w:rsidRDefault="00910679" w:rsidP="00BF69CF">
      <w:pPr>
        <w:pStyle w:val="ActHead5"/>
      </w:pPr>
      <w:bookmarkStart w:id="54" w:name="_Toc392593279"/>
      <w:r w:rsidRPr="00654F44">
        <w:rPr>
          <w:rStyle w:val="CharSectno"/>
        </w:rPr>
        <w:t>46</w:t>
      </w:r>
      <w:r w:rsidRPr="00654F44">
        <w:t xml:space="preserve">  Exercise of powers of the Court in administrative matters</w:t>
      </w:r>
      <w:bookmarkEnd w:id="54"/>
    </w:p>
    <w:p w:rsidR="00910679" w:rsidRPr="00654F44" w:rsidRDefault="00910679">
      <w:pPr>
        <w:pStyle w:val="subsection"/>
      </w:pPr>
      <w:r w:rsidRPr="00654F44">
        <w:tab/>
        <w:t>(1)</w:t>
      </w:r>
      <w:r w:rsidRPr="00654F44">
        <w:tab/>
        <w:t>Subject to this section, the powers of the High Court under this Act may be exercised by the Justices or by a majority of them.</w:t>
      </w:r>
    </w:p>
    <w:p w:rsidR="00910679" w:rsidRPr="00654F44" w:rsidRDefault="00910679">
      <w:pPr>
        <w:pStyle w:val="subsection"/>
      </w:pPr>
      <w:r w:rsidRPr="00654F44">
        <w:tab/>
        <w:t>(2)</w:t>
      </w:r>
      <w:r w:rsidRPr="00654F44">
        <w:tab/>
        <w:t>The Court may, either generally or as otherwise provided by the instrument of delegation, by writing signed by the Justices or a majority of them, delegate all or any of the powers of the Court under this Act (except this power of delegation) to any one or more of the Justices.</w:t>
      </w:r>
    </w:p>
    <w:p w:rsidR="00910679" w:rsidRPr="00654F44" w:rsidRDefault="00910679">
      <w:pPr>
        <w:pStyle w:val="subsection"/>
      </w:pPr>
      <w:r w:rsidRPr="00654F44">
        <w:tab/>
        <w:t>(3)</w:t>
      </w:r>
      <w:r w:rsidRPr="00654F44">
        <w:tab/>
        <w:t>A power so delegated, when exercised by the delegate or delegates, shall, for the purposes of this Act, be deemed to have been exercised by the Court.</w:t>
      </w:r>
    </w:p>
    <w:p w:rsidR="00910679" w:rsidRPr="00654F44" w:rsidRDefault="00910679">
      <w:pPr>
        <w:pStyle w:val="subsection"/>
      </w:pPr>
      <w:r w:rsidRPr="00654F44">
        <w:tab/>
        <w:t>(4)</w:t>
      </w:r>
      <w:r w:rsidRPr="00654F44">
        <w:tab/>
        <w:t>A delegation under this section does not prevent the exercise of a power by the Court.</w:t>
      </w:r>
    </w:p>
    <w:p w:rsidR="00910679" w:rsidRPr="00654F44" w:rsidRDefault="00910679">
      <w:pPr>
        <w:pStyle w:val="subsection"/>
      </w:pPr>
      <w:r w:rsidRPr="00654F44">
        <w:tab/>
        <w:t>(5)</w:t>
      </w:r>
      <w:r w:rsidRPr="00654F44">
        <w:tab/>
        <w:t>A decision of the Court, or of a delegate or delegates of the Court, in exercise of a power under this Act may be made known by the Chief Justice, who may give any directions or take any other action necessary to give effect to the decision.</w:t>
      </w:r>
    </w:p>
    <w:p w:rsidR="00910679" w:rsidRPr="00654F44" w:rsidRDefault="00910679" w:rsidP="00BF69CF">
      <w:pPr>
        <w:pStyle w:val="ActHead5"/>
      </w:pPr>
      <w:bookmarkStart w:id="55" w:name="_Toc392593280"/>
      <w:r w:rsidRPr="00654F44">
        <w:rPr>
          <w:rStyle w:val="CharSectno"/>
        </w:rPr>
        <w:lastRenderedPageBreak/>
        <w:t>47</w:t>
      </w:r>
      <w:r w:rsidRPr="00654F44">
        <w:t xml:space="preserve">  Annual reports and financial statements</w:t>
      </w:r>
      <w:bookmarkEnd w:id="55"/>
    </w:p>
    <w:p w:rsidR="00910679" w:rsidRPr="00654F44" w:rsidRDefault="00910679">
      <w:pPr>
        <w:pStyle w:val="subsection"/>
      </w:pPr>
      <w:r w:rsidRPr="00654F44">
        <w:tab/>
        <w:t>(1)</w:t>
      </w:r>
      <w:r w:rsidRPr="00654F44">
        <w:tab/>
        <w:t>The High Court shall, as soon as practicable after 30</w:t>
      </w:r>
      <w:r w:rsidR="00654F44">
        <w:t> </w:t>
      </w:r>
      <w:r w:rsidRPr="00654F44">
        <w:t>June in each year, prepare and submit to the Minister a report relating to the administration of the affairs of the Court under section</w:t>
      </w:r>
      <w:r w:rsidR="00654F44">
        <w:t> </w:t>
      </w:r>
      <w:r w:rsidRPr="00654F44">
        <w:t>17 during the year that ended on that 30</w:t>
      </w:r>
      <w:r w:rsidR="00654F44">
        <w:t> </w:t>
      </w:r>
      <w:r w:rsidRPr="00654F44">
        <w:t xml:space="preserve">June, together with financial statements in respect of that year in such form as the </w:t>
      </w:r>
      <w:r w:rsidR="00A30948" w:rsidRPr="00654F44">
        <w:t>Finance Minister</w:t>
      </w:r>
      <w:r w:rsidRPr="00654F44">
        <w:t xml:space="preserve"> approves.</w:t>
      </w:r>
    </w:p>
    <w:p w:rsidR="00910679" w:rsidRPr="00654F44" w:rsidRDefault="00910679">
      <w:pPr>
        <w:pStyle w:val="subsection"/>
      </w:pPr>
      <w:r w:rsidRPr="00654F44">
        <w:tab/>
        <w:t>(2)</w:t>
      </w:r>
      <w:r w:rsidRPr="00654F44">
        <w:tab/>
        <w:t xml:space="preserve">Before submitting financial statements to the Minister under </w:t>
      </w:r>
      <w:r w:rsidR="00654F44">
        <w:t>subsection (</w:t>
      </w:r>
      <w:r w:rsidRPr="00654F44">
        <w:t>1), the Court shall submit them to the Auditor</w:t>
      </w:r>
      <w:r w:rsidR="00654F44">
        <w:noBreakHyphen/>
      </w:r>
      <w:r w:rsidRPr="00654F44">
        <w:t>General, who shall report to the Minister:</w:t>
      </w:r>
    </w:p>
    <w:p w:rsidR="00910679" w:rsidRPr="00654F44" w:rsidRDefault="00910679">
      <w:pPr>
        <w:pStyle w:val="paragraph"/>
      </w:pPr>
      <w:r w:rsidRPr="00654F44">
        <w:tab/>
        <w:t>(a)</w:t>
      </w:r>
      <w:r w:rsidRPr="00654F44">
        <w:tab/>
        <w:t>whether, in his or her opinion, the statements are based on proper accounts and records;</w:t>
      </w:r>
    </w:p>
    <w:p w:rsidR="00910679" w:rsidRPr="00654F44" w:rsidRDefault="00910679">
      <w:pPr>
        <w:pStyle w:val="paragraph"/>
      </w:pPr>
      <w:r w:rsidRPr="00654F44">
        <w:tab/>
        <w:t>(b)</w:t>
      </w:r>
      <w:r w:rsidRPr="00654F44">
        <w:tab/>
        <w:t>whether the statements are in agreement with the accounts and records;</w:t>
      </w:r>
    </w:p>
    <w:p w:rsidR="00910679" w:rsidRPr="00654F44" w:rsidRDefault="00910679">
      <w:pPr>
        <w:pStyle w:val="paragraph"/>
      </w:pPr>
      <w:r w:rsidRPr="00654F44">
        <w:tab/>
        <w:t>(c)</w:t>
      </w:r>
      <w:r w:rsidRPr="00654F44">
        <w:tab/>
        <w:t>whether, in his or her opinion, the receipt, expenditure and investment of moneys, and the acquisition and disposal of assets, by the Court during the year have been in accordance with this Act; and</w:t>
      </w:r>
    </w:p>
    <w:p w:rsidR="00910679" w:rsidRPr="00654F44" w:rsidRDefault="00910679">
      <w:pPr>
        <w:pStyle w:val="paragraph"/>
      </w:pPr>
      <w:r w:rsidRPr="00654F44">
        <w:tab/>
        <w:t>(d)</w:t>
      </w:r>
      <w:r w:rsidRPr="00654F44">
        <w:tab/>
        <w:t>as to such other matters arising out of the statements as the Auditor</w:t>
      </w:r>
      <w:r w:rsidR="00654F44">
        <w:noBreakHyphen/>
      </w:r>
      <w:r w:rsidRPr="00654F44">
        <w:t>General considers should be reported to the Minister.</w:t>
      </w:r>
    </w:p>
    <w:p w:rsidR="00910679" w:rsidRPr="00654F44" w:rsidRDefault="00910679">
      <w:pPr>
        <w:pStyle w:val="subsection"/>
      </w:pPr>
      <w:r w:rsidRPr="00654F44">
        <w:tab/>
        <w:t>(3)</w:t>
      </w:r>
      <w:r w:rsidRPr="00654F44">
        <w:tab/>
        <w:t>The Minister shall cause a copy of the report and financial statements of the Court together with a copy of the report of the Auditor</w:t>
      </w:r>
      <w:r w:rsidR="00654F44">
        <w:noBreakHyphen/>
      </w:r>
      <w:r w:rsidRPr="00654F44">
        <w:t>General to be laid before each House of the Parliament within 15 sitting days of that House after their receipt by the Minister.</w:t>
      </w:r>
    </w:p>
    <w:p w:rsidR="00910679" w:rsidRPr="00654F44" w:rsidRDefault="00910679" w:rsidP="00BF69CF">
      <w:pPr>
        <w:pStyle w:val="ActHead5"/>
      </w:pPr>
      <w:bookmarkStart w:id="56" w:name="_Toc392593281"/>
      <w:r w:rsidRPr="00654F44">
        <w:rPr>
          <w:rStyle w:val="CharSectno"/>
        </w:rPr>
        <w:t>48</w:t>
      </w:r>
      <w:r w:rsidRPr="00654F44">
        <w:t xml:space="preserve">  Rules of Court</w:t>
      </w:r>
      <w:bookmarkEnd w:id="56"/>
    </w:p>
    <w:p w:rsidR="00910679" w:rsidRPr="00654F44" w:rsidRDefault="00910679">
      <w:pPr>
        <w:pStyle w:val="subsection"/>
      </w:pPr>
      <w:r w:rsidRPr="00654F44">
        <w:tab/>
      </w:r>
      <w:r w:rsidRPr="00654F44">
        <w:tab/>
        <w:t>The power of the Justices or of a majority of them to make Rules of Court under section</w:t>
      </w:r>
      <w:r w:rsidR="00654F44">
        <w:t> </w:t>
      </w:r>
      <w:r w:rsidRPr="00654F44">
        <w:t xml:space="preserve">86 of the </w:t>
      </w:r>
      <w:r w:rsidRPr="00654F44">
        <w:rPr>
          <w:i/>
        </w:rPr>
        <w:t xml:space="preserve">Judiciary Act 1903 </w:t>
      </w:r>
      <w:r w:rsidRPr="00654F44">
        <w:t>extends to making any Rules of Court required or permitted by this Act to be made or necessary or convenient to be made for carrying into effect the provisions of this Act.</w:t>
      </w:r>
    </w:p>
    <w:p w:rsidR="00910679" w:rsidRPr="00654F44" w:rsidRDefault="00910679" w:rsidP="00BF69CF">
      <w:pPr>
        <w:pStyle w:val="ActHead5"/>
      </w:pPr>
      <w:bookmarkStart w:id="57" w:name="_Toc392593282"/>
      <w:r w:rsidRPr="00654F44">
        <w:rPr>
          <w:rStyle w:val="CharSectno"/>
        </w:rPr>
        <w:lastRenderedPageBreak/>
        <w:t>49</w:t>
      </w:r>
      <w:r w:rsidRPr="00654F44">
        <w:t xml:space="preserve">  Regulations</w:t>
      </w:r>
      <w:bookmarkEnd w:id="57"/>
    </w:p>
    <w:p w:rsidR="00910679" w:rsidRPr="00654F44" w:rsidRDefault="00910679">
      <w:pPr>
        <w:pStyle w:val="subsection"/>
      </w:pPr>
      <w:r w:rsidRPr="00654F44">
        <w:tab/>
      </w:r>
      <w:r w:rsidRPr="00654F44">
        <w:tab/>
        <w:t>The Governor</w:t>
      </w:r>
      <w:r w:rsidR="00654F44">
        <w:noBreakHyphen/>
      </w:r>
      <w:r w:rsidRPr="00654F44">
        <w:t>General may make regulations prescribing matters:</w:t>
      </w:r>
    </w:p>
    <w:p w:rsidR="00910679" w:rsidRPr="00654F44" w:rsidRDefault="00910679">
      <w:pPr>
        <w:pStyle w:val="paragraph"/>
      </w:pPr>
      <w:r w:rsidRPr="00654F44">
        <w:tab/>
        <w:t>(a)</w:t>
      </w:r>
      <w:r w:rsidRPr="00654F44">
        <w:tab/>
        <w:t>required or permitted by this Act to be prescribed; or</w:t>
      </w:r>
    </w:p>
    <w:p w:rsidR="00910679" w:rsidRPr="00654F44" w:rsidRDefault="00910679">
      <w:pPr>
        <w:pStyle w:val="paragraph"/>
      </w:pPr>
      <w:r w:rsidRPr="00654F44">
        <w:tab/>
        <w:t>(b)</w:t>
      </w:r>
      <w:r w:rsidRPr="00654F44">
        <w:tab/>
        <w:t>necessary or convenient to be prescribed for carrying out or giving effect to this Act.</w:t>
      </w:r>
    </w:p>
    <w:p w:rsidR="00910679" w:rsidRPr="00654F44" w:rsidRDefault="00910679">
      <w:pPr>
        <w:sectPr w:rsidR="00910679" w:rsidRPr="00654F44" w:rsidSect="00132F60">
          <w:headerReference w:type="even" r:id="rId20"/>
          <w:headerReference w:type="default" r:id="rId21"/>
          <w:footerReference w:type="even" r:id="rId22"/>
          <w:footerReference w:type="default" r:id="rId23"/>
          <w:headerReference w:type="first" r:id="rId24"/>
          <w:footerReference w:type="first" r:id="rId25"/>
          <w:pgSz w:w="11907" w:h="16839" w:code="9"/>
          <w:pgMar w:top="2381" w:right="2410" w:bottom="4252" w:left="2410" w:header="720" w:footer="3402" w:gutter="0"/>
          <w:pgNumType w:start="1"/>
          <w:cols w:space="708"/>
          <w:docGrid w:linePitch="360"/>
        </w:sectPr>
      </w:pPr>
    </w:p>
    <w:p w:rsidR="00910679" w:rsidRPr="00654F44" w:rsidRDefault="00910679" w:rsidP="00654F44">
      <w:pPr>
        <w:pStyle w:val="ActHead1"/>
        <w:outlineLvl w:val="9"/>
      </w:pPr>
      <w:bookmarkStart w:id="58" w:name="_Toc392593283"/>
      <w:r w:rsidRPr="00654F44">
        <w:rPr>
          <w:rStyle w:val="CharChapNo"/>
        </w:rPr>
        <w:lastRenderedPageBreak/>
        <w:t>Schedule</w:t>
      </w:r>
      <w:bookmarkEnd w:id="58"/>
      <w:r w:rsidR="00A95926" w:rsidRPr="00654F44">
        <w:rPr>
          <w:rStyle w:val="CharChapText"/>
        </w:rPr>
        <w:t xml:space="preserve"> </w:t>
      </w:r>
      <w:r w:rsidR="00A95926" w:rsidRPr="00654F44">
        <w:t xml:space="preserve"> </w:t>
      </w:r>
    </w:p>
    <w:p w:rsidR="00910679" w:rsidRPr="00654F44" w:rsidRDefault="00910679">
      <w:pPr>
        <w:pStyle w:val="notemargin"/>
      </w:pPr>
      <w:r w:rsidRPr="00654F44">
        <w:t>Section</w:t>
      </w:r>
      <w:r w:rsidR="00654F44">
        <w:t> </w:t>
      </w:r>
      <w:r w:rsidRPr="00654F44">
        <w:t>11</w:t>
      </w:r>
      <w:r w:rsidRPr="00654F44">
        <w:tab/>
      </w:r>
    </w:p>
    <w:p w:rsidR="00910679" w:rsidRPr="00654F44" w:rsidRDefault="00BF69CF">
      <w:pPr>
        <w:pStyle w:val="Header"/>
      </w:pPr>
      <w:r w:rsidRPr="00654F44">
        <w:rPr>
          <w:rStyle w:val="CharPartNo"/>
        </w:rPr>
        <w:t xml:space="preserve"> </w:t>
      </w:r>
      <w:r w:rsidRPr="00654F44">
        <w:rPr>
          <w:rStyle w:val="CharPartText"/>
        </w:rPr>
        <w:t xml:space="preserve"> </w:t>
      </w:r>
    </w:p>
    <w:p w:rsidR="00910679" w:rsidRPr="00654F44" w:rsidRDefault="00BF69CF">
      <w:pPr>
        <w:pStyle w:val="Header"/>
      </w:pPr>
      <w:r w:rsidRPr="00654F44">
        <w:rPr>
          <w:rStyle w:val="CharDivNo"/>
        </w:rPr>
        <w:t xml:space="preserve"> </w:t>
      </w:r>
      <w:r w:rsidRPr="00654F44">
        <w:rPr>
          <w:rStyle w:val="CharDivText"/>
        </w:rPr>
        <w:t xml:space="preserve"> </w:t>
      </w:r>
    </w:p>
    <w:p w:rsidR="00910679" w:rsidRPr="00654F44" w:rsidRDefault="00910679">
      <w:pPr>
        <w:spacing w:before="240"/>
        <w:ind w:left="567" w:firstLine="284"/>
      </w:pPr>
      <w:r w:rsidRPr="00654F44">
        <w:t>I,</w:t>
      </w:r>
      <w:r w:rsidRPr="00654F44">
        <w:tab/>
      </w:r>
      <w:r w:rsidRPr="00654F44">
        <w:tab/>
      </w:r>
      <w:r w:rsidRPr="00654F44">
        <w:tab/>
      </w:r>
      <w:r w:rsidRPr="00654F44">
        <w:tab/>
        <w:t>, do swear that I will bear true allegiance to Her Majesty Queen Elizabeth the Second, Her Heirs and Successors according to law, that I will well and truly serve Her in the Office of Chief Justice [</w:t>
      </w:r>
      <w:r w:rsidRPr="00654F44">
        <w:rPr>
          <w:i/>
        </w:rPr>
        <w:t xml:space="preserve">or </w:t>
      </w:r>
      <w:r w:rsidRPr="00654F44">
        <w:t>Justice] of the High Court of Australia and that I will do right to all manner of people according to law without fear or favour, affection or ill</w:t>
      </w:r>
      <w:r w:rsidR="00654F44">
        <w:noBreakHyphen/>
      </w:r>
      <w:r w:rsidRPr="00654F44">
        <w:t>will. So Help me God!</w:t>
      </w:r>
    </w:p>
    <w:p w:rsidR="00910679" w:rsidRPr="00654F44" w:rsidRDefault="00910679">
      <w:pPr>
        <w:spacing w:before="240"/>
        <w:ind w:left="567" w:firstLine="284"/>
        <w:jc w:val="center"/>
        <w:rPr>
          <w:i/>
        </w:rPr>
      </w:pPr>
      <w:r w:rsidRPr="00654F44">
        <w:rPr>
          <w:i/>
        </w:rPr>
        <w:t>or</w:t>
      </w:r>
    </w:p>
    <w:p w:rsidR="00910679" w:rsidRPr="00654F44" w:rsidRDefault="00910679">
      <w:pPr>
        <w:spacing w:before="240"/>
        <w:ind w:left="567" w:firstLine="284"/>
      </w:pPr>
      <w:r w:rsidRPr="00654F44">
        <w:t>I,</w:t>
      </w:r>
      <w:r w:rsidRPr="00654F44">
        <w:tab/>
      </w:r>
      <w:r w:rsidRPr="00654F44">
        <w:tab/>
      </w:r>
      <w:r w:rsidRPr="00654F44">
        <w:tab/>
      </w:r>
      <w:r w:rsidRPr="00654F44">
        <w:tab/>
        <w:t>, do solemnly and sincerely promise and declare that [as above, omitting the words “So help me God!”].</w:t>
      </w:r>
    </w:p>
    <w:p w:rsidR="0044415F" w:rsidRPr="00654F44" w:rsidRDefault="0044415F">
      <w:pPr>
        <w:sectPr w:rsidR="0044415F" w:rsidRPr="00654F44" w:rsidSect="00132F60">
          <w:headerReference w:type="even" r:id="rId26"/>
          <w:headerReference w:type="default" r:id="rId27"/>
          <w:pgSz w:w="11906" w:h="16838" w:code="9"/>
          <w:pgMar w:top="2268" w:right="2410" w:bottom="3827" w:left="2410" w:header="567" w:footer="3119" w:gutter="0"/>
          <w:cols w:space="708"/>
          <w:docGrid w:linePitch="360"/>
        </w:sectPr>
      </w:pPr>
    </w:p>
    <w:p w:rsidR="00F150A1" w:rsidRPr="00654F44" w:rsidRDefault="00F150A1" w:rsidP="00F150A1">
      <w:pPr>
        <w:pStyle w:val="ENotesHeading1"/>
        <w:keepNext/>
        <w:keepLines/>
        <w:pageBreakBefore/>
        <w:outlineLvl w:val="9"/>
      </w:pPr>
      <w:bookmarkStart w:id="59" w:name="_Toc392593284"/>
      <w:r w:rsidRPr="00654F44">
        <w:lastRenderedPageBreak/>
        <w:t>Endnotes</w:t>
      </w:r>
      <w:bookmarkEnd w:id="59"/>
    </w:p>
    <w:p w:rsidR="00F150A1" w:rsidRPr="00654F44" w:rsidRDefault="00F150A1" w:rsidP="00654F44">
      <w:pPr>
        <w:pStyle w:val="ENotesHeading2"/>
        <w:outlineLvl w:val="9"/>
      </w:pPr>
      <w:bookmarkStart w:id="60" w:name="_Toc392593285"/>
      <w:r w:rsidRPr="00654F44">
        <w:t>Endnote 1—About the endnotes</w:t>
      </w:r>
      <w:bookmarkEnd w:id="60"/>
    </w:p>
    <w:p w:rsidR="00F150A1" w:rsidRPr="00654F44" w:rsidRDefault="00F150A1" w:rsidP="00F150A1">
      <w:pPr>
        <w:rPr>
          <w:lang w:eastAsia="en-AU"/>
        </w:rPr>
      </w:pPr>
      <w:r w:rsidRPr="00654F44">
        <w:rPr>
          <w:lang w:eastAsia="en-AU"/>
        </w:rPr>
        <w:t>The endnotes provide details of the history of this legislation and its provisions. The following endnotes are included in each compilation:</w:t>
      </w:r>
    </w:p>
    <w:p w:rsidR="00F150A1" w:rsidRPr="00654F44" w:rsidRDefault="00F150A1" w:rsidP="00F150A1">
      <w:pPr>
        <w:rPr>
          <w:lang w:eastAsia="en-AU"/>
        </w:rPr>
      </w:pPr>
    </w:p>
    <w:p w:rsidR="00F150A1" w:rsidRPr="00654F44" w:rsidRDefault="00F150A1" w:rsidP="00F150A1">
      <w:pPr>
        <w:rPr>
          <w:lang w:eastAsia="en-AU"/>
        </w:rPr>
      </w:pPr>
      <w:r w:rsidRPr="00654F44">
        <w:rPr>
          <w:lang w:eastAsia="en-AU"/>
        </w:rPr>
        <w:t>Endnote 1—About the endnotes</w:t>
      </w:r>
    </w:p>
    <w:p w:rsidR="00F150A1" w:rsidRPr="00654F44" w:rsidRDefault="00F150A1" w:rsidP="00F150A1">
      <w:pPr>
        <w:rPr>
          <w:lang w:eastAsia="en-AU"/>
        </w:rPr>
      </w:pPr>
      <w:r w:rsidRPr="00654F44">
        <w:rPr>
          <w:lang w:eastAsia="en-AU"/>
        </w:rPr>
        <w:t>Endnote 2—Abbreviation key</w:t>
      </w:r>
    </w:p>
    <w:p w:rsidR="00F150A1" w:rsidRPr="00654F44" w:rsidRDefault="00F150A1" w:rsidP="00F150A1">
      <w:pPr>
        <w:rPr>
          <w:lang w:eastAsia="en-AU"/>
        </w:rPr>
      </w:pPr>
      <w:r w:rsidRPr="00654F44">
        <w:rPr>
          <w:lang w:eastAsia="en-AU"/>
        </w:rPr>
        <w:t>Endnote 3—Legislation history</w:t>
      </w:r>
    </w:p>
    <w:p w:rsidR="00F150A1" w:rsidRPr="00654F44" w:rsidRDefault="00F150A1" w:rsidP="00F150A1">
      <w:pPr>
        <w:rPr>
          <w:lang w:eastAsia="en-AU"/>
        </w:rPr>
      </w:pPr>
      <w:r w:rsidRPr="00654F44">
        <w:rPr>
          <w:lang w:eastAsia="en-AU"/>
        </w:rPr>
        <w:t>Endnote 4—Amendment history</w:t>
      </w:r>
    </w:p>
    <w:p w:rsidR="00F150A1" w:rsidRPr="00654F44" w:rsidRDefault="00F150A1" w:rsidP="00F150A1">
      <w:pPr>
        <w:rPr>
          <w:lang w:eastAsia="en-AU"/>
        </w:rPr>
      </w:pPr>
      <w:r w:rsidRPr="00654F44">
        <w:rPr>
          <w:lang w:eastAsia="en-AU"/>
        </w:rPr>
        <w:t>Endnote 5—Uncommenced amendments</w:t>
      </w:r>
    </w:p>
    <w:p w:rsidR="00F150A1" w:rsidRPr="00654F44" w:rsidRDefault="00F150A1" w:rsidP="00F150A1">
      <w:pPr>
        <w:rPr>
          <w:lang w:eastAsia="en-AU"/>
        </w:rPr>
      </w:pPr>
      <w:r w:rsidRPr="00654F44">
        <w:rPr>
          <w:lang w:eastAsia="en-AU"/>
        </w:rPr>
        <w:t>Endnote 6—Modifications</w:t>
      </w:r>
    </w:p>
    <w:p w:rsidR="00F150A1" w:rsidRPr="00654F44" w:rsidRDefault="00F150A1" w:rsidP="00F150A1">
      <w:pPr>
        <w:rPr>
          <w:lang w:eastAsia="en-AU"/>
        </w:rPr>
      </w:pPr>
      <w:r w:rsidRPr="00654F44">
        <w:rPr>
          <w:lang w:eastAsia="en-AU"/>
        </w:rPr>
        <w:t>Endnote 7—Misdescribed amendments</w:t>
      </w:r>
    </w:p>
    <w:p w:rsidR="00F150A1" w:rsidRPr="00654F44" w:rsidRDefault="00F150A1" w:rsidP="00F150A1">
      <w:pPr>
        <w:rPr>
          <w:lang w:eastAsia="en-AU"/>
        </w:rPr>
      </w:pPr>
      <w:r w:rsidRPr="00654F44">
        <w:rPr>
          <w:lang w:eastAsia="en-AU"/>
        </w:rPr>
        <w:t>Endnote 8—Miscellaneous</w:t>
      </w:r>
    </w:p>
    <w:p w:rsidR="00F150A1" w:rsidRPr="00654F44" w:rsidRDefault="00F150A1" w:rsidP="00F150A1">
      <w:pPr>
        <w:rPr>
          <w:b/>
          <w:lang w:eastAsia="en-AU"/>
        </w:rPr>
      </w:pPr>
    </w:p>
    <w:p w:rsidR="00F150A1" w:rsidRPr="00654F44" w:rsidRDefault="00F150A1" w:rsidP="00F150A1">
      <w:pPr>
        <w:rPr>
          <w:lang w:eastAsia="en-AU"/>
        </w:rPr>
      </w:pPr>
      <w:r w:rsidRPr="00654F44">
        <w:rPr>
          <w:lang w:eastAsia="en-AU"/>
        </w:rPr>
        <w:t>If there is no information under a particular endnote, the word “none” will appear in square brackets after the endnote heading.</w:t>
      </w:r>
    </w:p>
    <w:p w:rsidR="00F150A1" w:rsidRPr="00654F44" w:rsidRDefault="00F150A1" w:rsidP="00F150A1">
      <w:pPr>
        <w:rPr>
          <w:b/>
          <w:lang w:eastAsia="en-AU"/>
        </w:rPr>
      </w:pPr>
    </w:p>
    <w:p w:rsidR="00F150A1" w:rsidRPr="00654F44" w:rsidRDefault="00F150A1" w:rsidP="00F150A1">
      <w:pPr>
        <w:rPr>
          <w:lang w:eastAsia="en-AU"/>
        </w:rPr>
      </w:pPr>
      <w:r w:rsidRPr="00654F44">
        <w:rPr>
          <w:b/>
          <w:lang w:eastAsia="en-AU"/>
        </w:rPr>
        <w:t>Abbreviation key—Endnote 2</w:t>
      </w:r>
    </w:p>
    <w:p w:rsidR="00F150A1" w:rsidRPr="00654F44" w:rsidRDefault="00F150A1" w:rsidP="00F150A1">
      <w:pPr>
        <w:rPr>
          <w:lang w:eastAsia="en-AU"/>
        </w:rPr>
      </w:pPr>
      <w:r w:rsidRPr="00654F44">
        <w:rPr>
          <w:lang w:eastAsia="en-AU"/>
        </w:rPr>
        <w:t>The abbreviation key in this endnote sets out abbreviations that may be used in the endnotes.</w:t>
      </w:r>
    </w:p>
    <w:p w:rsidR="00F150A1" w:rsidRPr="00654F44" w:rsidRDefault="00F150A1" w:rsidP="00F150A1">
      <w:pPr>
        <w:rPr>
          <w:lang w:eastAsia="en-AU"/>
        </w:rPr>
      </w:pPr>
    </w:p>
    <w:p w:rsidR="00F150A1" w:rsidRPr="00654F44" w:rsidRDefault="00F150A1" w:rsidP="00F150A1">
      <w:pPr>
        <w:rPr>
          <w:b/>
          <w:lang w:eastAsia="en-AU"/>
        </w:rPr>
      </w:pPr>
      <w:r w:rsidRPr="00654F44">
        <w:rPr>
          <w:b/>
          <w:lang w:eastAsia="en-AU"/>
        </w:rPr>
        <w:t>Legislation history and amendment history—Endnotes 3 and 4</w:t>
      </w:r>
    </w:p>
    <w:p w:rsidR="00F150A1" w:rsidRPr="00654F44" w:rsidRDefault="00F150A1" w:rsidP="00F150A1">
      <w:pPr>
        <w:rPr>
          <w:lang w:eastAsia="en-AU"/>
        </w:rPr>
      </w:pPr>
      <w:r w:rsidRPr="00654F44">
        <w:rPr>
          <w:lang w:eastAsia="en-AU"/>
        </w:rPr>
        <w:t>Amending laws are annotated in the legislation history and amendment history.</w:t>
      </w:r>
    </w:p>
    <w:p w:rsidR="00F150A1" w:rsidRPr="00654F44" w:rsidRDefault="00F150A1" w:rsidP="00F150A1">
      <w:pPr>
        <w:rPr>
          <w:lang w:eastAsia="en-AU"/>
        </w:rPr>
      </w:pPr>
    </w:p>
    <w:p w:rsidR="00F150A1" w:rsidRPr="00654F44" w:rsidRDefault="00F150A1" w:rsidP="00F150A1">
      <w:pPr>
        <w:rPr>
          <w:lang w:eastAsia="en-AU"/>
        </w:rPr>
      </w:pPr>
      <w:r w:rsidRPr="00654F44">
        <w:rPr>
          <w:lang w:eastAsia="en-AU"/>
        </w:rPr>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F150A1" w:rsidRPr="00654F44" w:rsidRDefault="00F150A1" w:rsidP="00F150A1">
      <w:pPr>
        <w:rPr>
          <w:lang w:eastAsia="en-AU"/>
        </w:rPr>
      </w:pPr>
    </w:p>
    <w:p w:rsidR="00F150A1" w:rsidRPr="00654F44" w:rsidRDefault="00F150A1" w:rsidP="00F150A1">
      <w:pPr>
        <w:rPr>
          <w:lang w:eastAsia="en-AU"/>
        </w:rPr>
      </w:pPr>
      <w:r w:rsidRPr="00654F44">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F150A1" w:rsidRPr="00654F44" w:rsidRDefault="00F150A1" w:rsidP="00F150A1">
      <w:pPr>
        <w:rPr>
          <w:b/>
          <w:lang w:eastAsia="en-AU"/>
        </w:rPr>
      </w:pPr>
    </w:p>
    <w:p w:rsidR="00F150A1" w:rsidRPr="00654F44" w:rsidRDefault="00F150A1" w:rsidP="00F150A1">
      <w:pPr>
        <w:keepNext/>
        <w:rPr>
          <w:b/>
          <w:lang w:eastAsia="en-AU"/>
        </w:rPr>
      </w:pPr>
      <w:r w:rsidRPr="00654F44">
        <w:rPr>
          <w:b/>
          <w:lang w:eastAsia="en-AU"/>
        </w:rPr>
        <w:lastRenderedPageBreak/>
        <w:t>Uncommenced amendments—Endnote 5</w:t>
      </w:r>
    </w:p>
    <w:p w:rsidR="00F150A1" w:rsidRPr="00654F44" w:rsidRDefault="00F150A1" w:rsidP="00F150A1">
      <w:pPr>
        <w:rPr>
          <w:lang w:eastAsia="en-AU"/>
        </w:rPr>
      </w:pPr>
      <w:r w:rsidRPr="00654F44">
        <w:rPr>
          <w:lang w:eastAsia="en-AU"/>
        </w:rPr>
        <w:t>The effect of uncommenced amendments is not reflected in the text of the compiled law but the text of the amendments is included in endnote 5.</w:t>
      </w:r>
    </w:p>
    <w:p w:rsidR="00F150A1" w:rsidRPr="00654F44" w:rsidRDefault="00F150A1" w:rsidP="00F150A1">
      <w:pPr>
        <w:rPr>
          <w:lang w:eastAsia="en-AU"/>
        </w:rPr>
      </w:pPr>
    </w:p>
    <w:p w:rsidR="00F150A1" w:rsidRPr="00654F44" w:rsidRDefault="00F150A1" w:rsidP="00F150A1">
      <w:pPr>
        <w:keepNext/>
        <w:rPr>
          <w:b/>
          <w:lang w:eastAsia="en-AU"/>
        </w:rPr>
      </w:pPr>
      <w:r w:rsidRPr="00654F44">
        <w:rPr>
          <w:b/>
          <w:lang w:eastAsia="en-AU"/>
        </w:rPr>
        <w:t>Modifications—Endnote 6</w:t>
      </w:r>
    </w:p>
    <w:p w:rsidR="00F150A1" w:rsidRPr="00654F44" w:rsidRDefault="00F150A1" w:rsidP="00F150A1">
      <w:pPr>
        <w:rPr>
          <w:lang w:eastAsia="en-AU"/>
        </w:rPr>
      </w:pPr>
      <w:r w:rsidRPr="00654F44">
        <w:rPr>
          <w:lang w:eastAsia="en-AU"/>
        </w:rPr>
        <w:t>If the compiled law is affected by a modification that is in force, details of the modification are included in endnote 6.</w:t>
      </w:r>
    </w:p>
    <w:p w:rsidR="00F150A1" w:rsidRPr="00654F44" w:rsidRDefault="00F150A1" w:rsidP="00F150A1">
      <w:pPr>
        <w:rPr>
          <w:lang w:eastAsia="en-AU"/>
        </w:rPr>
      </w:pPr>
    </w:p>
    <w:p w:rsidR="00F150A1" w:rsidRPr="00654F44" w:rsidRDefault="00F150A1" w:rsidP="00F150A1">
      <w:pPr>
        <w:keepNext/>
        <w:rPr>
          <w:lang w:eastAsia="en-AU"/>
        </w:rPr>
      </w:pPr>
      <w:r w:rsidRPr="00654F44">
        <w:rPr>
          <w:b/>
          <w:lang w:eastAsia="en-AU"/>
        </w:rPr>
        <w:t>Misdescribed amendments—Endnote 7</w:t>
      </w:r>
    </w:p>
    <w:p w:rsidR="00F150A1" w:rsidRPr="00654F44" w:rsidRDefault="00F150A1" w:rsidP="00F150A1">
      <w:pPr>
        <w:rPr>
          <w:lang w:eastAsia="en-AU"/>
        </w:rPr>
      </w:pPr>
      <w:r w:rsidRPr="00654F44">
        <w:rPr>
          <w:lang w:eastAsia="en-AU"/>
        </w:rPr>
        <w:t>An amendment is a misdescribed amendment if the effect of the amendment cannot be incorporated into the text of the compilation. Any misdescribed amendment is included in endnote 7.</w:t>
      </w:r>
    </w:p>
    <w:p w:rsidR="00F150A1" w:rsidRPr="00654F44" w:rsidRDefault="00F150A1" w:rsidP="00F150A1">
      <w:pPr>
        <w:rPr>
          <w:lang w:eastAsia="en-AU"/>
        </w:rPr>
      </w:pPr>
    </w:p>
    <w:p w:rsidR="00F150A1" w:rsidRPr="00654F44" w:rsidRDefault="00F150A1" w:rsidP="00F150A1">
      <w:pPr>
        <w:rPr>
          <w:b/>
          <w:lang w:eastAsia="en-AU"/>
        </w:rPr>
      </w:pPr>
      <w:r w:rsidRPr="00654F44">
        <w:rPr>
          <w:b/>
          <w:lang w:eastAsia="en-AU"/>
        </w:rPr>
        <w:t>Miscellaneous—Endnote 8</w:t>
      </w:r>
    </w:p>
    <w:p w:rsidR="00F150A1" w:rsidRPr="00654F44" w:rsidRDefault="00F150A1" w:rsidP="00F150A1">
      <w:pPr>
        <w:rPr>
          <w:lang w:eastAsia="en-AU"/>
        </w:rPr>
      </w:pPr>
      <w:r w:rsidRPr="00654F44">
        <w:rPr>
          <w:lang w:eastAsia="en-AU"/>
        </w:rPr>
        <w:t>Endnote 8 includes any additional information that may be helpful for a reader of the compilation.</w:t>
      </w:r>
    </w:p>
    <w:p w:rsidR="00F150A1" w:rsidRPr="00654F44" w:rsidRDefault="00F150A1" w:rsidP="00F150A1">
      <w:pPr>
        <w:rPr>
          <w:b/>
          <w:lang w:eastAsia="en-AU"/>
        </w:rPr>
      </w:pPr>
    </w:p>
    <w:p w:rsidR="00F150A1" w:rsidRPr="00654F44" w:rsidRDefault="00F150A1" w:rsidP="00F150A1">
      <w:pPr>
        <w:pStyle w:val="ENotesHeading2"/>
        <w:pageBreakBefore/>
        <w:outlineLvl w:val="9"/>
      </w:pPr>
      <w:bookmarkStart w:id="61" w:name="_Toc392593286"/>
      <w:r w:rsidRPr="00654F44">
        <w:lastRenderedPageBreak/>
        <w:t>Endnote 2—Abbreviation key</w:t>
      </w:r>
      <w:bookmarkEnd w:id="61"/>
    </w:p>
    <w:p w:rsidR="00F150A1" w:rsidRPr="00654F44" w:rsidRDefault="00F150A1" w:rsidP="00F150A1">
      <w:pPr>
        <w:pStyle w:val="Tabletext"/>
      </w:pPr>
    </w:p>
    <w:tbl>
      <w:tblPr>
        <w:tblW w:w="0" w:type="auto"/>
        <w:tblInd w:w="113" w:type="dxa"/>
        <w:tblLayout w:type="fixed"/>
        <w:tblLook w:val="0000" w:firstRow="0" w:lastRow="0" w:firstColumn="0" w:lastColumn="0" w:noHBand="0" w:noVBand="0"/>
      </w:tblPr>
      <w:tblGrid>
        <w:gridCol w:w="3543"/>
        <w:gridCol w:w="3543"/>
      </w:tblGrid>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ad = added or inserted</w:t>
            </w:r>
          </w:p>
        </w:tc>
        <w:tc>
          <w:tcPr>
            <w:tcW w:w="3543" w:type="dxa"/>
            <w:shd w:val="clear" w:color="auto" w:fill="auto"/>
          </w:tcPr>
          <w:p w:rsidR="00F150A1" w:rsidRPr="00654F44" w:rsidRDefault="00F150A1" w:rsidP="00E73430">
            <w:pPr>
              <w:pStyle w:val="ENoteTableText"/>
              <w:rPr>
                <w:sz w:val="20"/>
              </w:rPr>
            </w:pPr>
            <w:r w:rsidRPr="00654F44">
              <w:rPr>
                <w:sz w:val="20"/>
              </w:rPr>
              <w:t>pres = present</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am = amended</w:t>
            </w:r>
          </w:p>
        </w:tc>
        <w:tc>
          <w:tcPr>
            <w:tcW w:w="3543" w:type="dxa"/>
            <w:shd w:val="clear" w:color="auto" w:fill="auto"/>
          </w:tcPr>
          <w:p w:rsidR="00F150A1" w:rsidRPr="00654F44" w:rsidRDefault="00F150A1" w:rsidP="00E73430">
            <w:pPr>
              <w:pStyle w:val="ENoteTableText"/>
              <w:rPr>
                <w:sz w:val="20"/>
              </w:rPr>
            </w:pPr>
            <w:r w:rsidRPr="00654F44">
              <w:rPr>
                <w:sz w:val="20"/>
              </w:rPr>
              <w:t>prev = previous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c = clause(s)</w:t>
            </w:r>
          </w:p>
        </w:tc>
        <w:tc>
          <w:tcPr>
            <w:tcW w:w="3543" w:type="dxa"/>
            <w:shd w:val="clear" w:color="auto" w:fill="auto"/>
          </w:tcPr>
          <w:p w:rsidR="00F150A1" w:rsidRPr="00654F44" w:rsidRDefault="00F150A1" w:rsidP="00E73430">
            <w:pPr>
              <w:pStyle w:val="ENoteTableText"/>
              <w:rPr>
                <w:sz w:val="20"/>
              </w:rPr>
            </w:pPr>
            <w:r w:rsidRPr="00654F44">
              <w:rPr>
                <w:sz w:val="20"/>
              </w:rPr>
              <w:t>(prev) = previously</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Ch = Chapter(s)</w:t>
            </w:r>
          </w:p>
        </w:tc>
        <w:tc>
          <w:tcPr>
            <w:tcW w:w="3543" w:type="dxa"/>
            <w:shd w:val="clear" w:color="auto" w:fill="auto"/>
          </w:tcPr>
          <w:p w:rsidR="00F150A1" w:rsidRPr="00654F44" w:rsidRDefault="00F150A1" w:rsidP="00E73430">
            <w:pPr>
              <w:pStyle w:val="ENoteTableText"/>
              <w:rPr>
                <w:sz w:val="20"/>
              </w:rPr>
            </w:pPr>
            <w:r w:rsidRPr="00654F44">
              <w:rPr>
                <w:sz w:val="20"/>
              </w:rPr>
              <w:t>Pt = Part(s)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def = definition(s)</w:t>
            </w:r>
          </w:p>
        </w:tc>
        <w:tc>
          <w:tcPr>
            <w:tcW w:w="3543" w:type="dxa"/>
            <w:shd w:val="clear" w:color="auto" w:fill="auto"/>
          </w:tcPr>
          <w:p w:rsidR="00F150A1" w:rsidRPr="00654F44" w:rsidRDefault="00F150A1" w:rsidP="00E73430">
            <w:pPr>
              <w:pStyle w:val="ENoteTableText"/>
              <w:rPr>
                <w:sz w:val="20"/>
              </w:rPr>
            </w:pPr>
            <w:r w:rsidRPr="00654F44">
              <w:rPr>
                <w:sz w:val="20"/>
              </w:rPr>
              <w:t>r = regulation(s)/rule(s)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Dict = Dictionary</w:t>
            </w:r>
          </w:p>
        </w:tc>
        <w:tc>
          <w:tcPr>
            <w:tcW w:w="3543" w:type="dxa"/>
            <w:shd w:val="clear" w:color="auto" w:fill="auto"/>
          </w:tcPr>
          <w:p w:rsidR="00F150A1" w:rsidRPr="00654F44" w:rsidRDefault="00F150A1" w:rsidP="00E73430">
            <w:pPr>
              <w:pStyle w:val="ENoteTableText"/>
              <w:rPr>
                <w:sz w:val="20"/>
              </w:rPr>
            </w:pPr>
            <w:r w:rsidRPr="00654F44">
              <w:rPr>
                <w:sz w:val="20"/>
              </w:rPr>
              <w:t>Reg = Regulation/Regulations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disallowed = disallowed by Parliament</w:t>
            </w:r>
          </w:p>
        </w:tc>
        <w:tc>
          <w:tcPr>
            <w:tcW w:w="3543" w:type="dxa"/>
            <w:shd w:val="clear" w:color="auto" w:fill="auto"/>
          </w:tcPr>
          <w:p w:rsidR="00F150A1" w:rsidRPr="00654F44" w:rsidRDefault="00F150A1" w:rsidP="00E73430">
            <w:pPr>
              <w:pStyle w:val="ENoteTableText"/>
              <w:rPr>
                <w:sz w:val="20"/>
              </w:rPr>
            </w:pPr>
            <w:r w:rsidRPr="00654F44">
              <w:rPr>
                <w:sz w:val="20"/>
              </w:rPr>
              <w:t>reloc = relocated</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Div = Division(s)</w:t>
            </w:r>
          </w:p>
        </w:tc>
        <w:tc>
          <w:tcPr>
            <w:tcW w:w="3543" w:type="dxa"/>
            <w:shd w:val="clear" w:color="auto" w:fill="auto"/>
          </w:tcPr>
          <w:p w:rsidR="00F150A1" w:rsidRPr="00654F44" w:rsidRDefault="00F150A1" w:rsidP="00E73430">
            <w:pPr>
              <w:pStyle w:val="ENoteTableText"/>
              <w:rPr>
                <w:sz w:val="20"/>
              </w:rPr>
            </w:pPr>
            <w:r w:rsidRPr="00654F44">
              <w:rPr>
                <w:sz w:val="20"/>
              </w:rPr>
              <w:t>renum = renumbered</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exp = expired or ceased to have effect</w:t>
            </w:r>
          </w:p>
        </w:tc>
        <w:tc>
          <w:tcPr>
            <w:tcW w:w="3543" w:type="dxa"/>
            <w:shd w:val="clear" w:color="auto" w:fill="auto"/>
          </w:tcPr>
          <w:p w:rsidR="00F150A1" w:rsidRPr="00654F44" w:rsidRDefault="00F150A1" w:rsidP="00E73430">
            <w:pPr>
              <w:pStyle w:val="ENoteTableText"/>
              <w:rPr>
                <w:sz w:val="20"/>
              </w:rPr>
            </w:pPr>
            <w:r w:rsidRPr="00654F44">
              <w:rPr>
                <w:sz w:val="20"/>
              </w:rPr>
              <w:t>rep = repealed</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hdg = heading(s)</w:t>
            </w:r>
          </w:p>
        </w:tc>
        <w:tc>
          <w:tcPr>
            <w:tcW w:w="3543" w:type="dxa"/>
            <w:shd w:val="clear" w:color="auto" w:fill="auto"/>
          </w:tcPr>
          <w:p w:rsidR="00F150A1" w:rsidRPr="00654F44" w:rsidRDefault="00F150A1" w:rsidP="00E73430">
            <w:pPr>
              <w:pStyle w:val="ENoteTableText"/>
              <w:rPr>
                <w:sz w:val="20"/>
              </w:rPr>
            </w:pPr>
            <w:r w:rsidRPr="00654F44">
              <w:rPr>
                <w:sz w:val="20"/>
              </w:rPr>
              <w:t>rs = repealed and substituted</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LI = Legislative Instrument</w:t>
            </w:r>
          </w:p>
        </w:tc>
        <w:tc>
          <w:tcPr>
            <w:tcW w:w="3543" w:type="dxa"/>
            <w:shd w:val="clear" w:color="auto" w:fill="auto"/>
          </w:tcPr>
          <w:p w:rsidR="00F150A1" w:rsidRPr="00654F44" w:rsidRDefault="00F150A1" w:rsidP="00E73430">
            <w:pPr>
              <w:pStyle w:val="ENoteTableText"/>
              <w:rPr>
                <w:sz w:val="20"/>
              </w:rPr>
            </w:pPr>
            <w:r w:rsidRPr="00654F44">
              <w:rPr>
                <w:sz w:val="20"/>
              </w:rPr>
              <w:t>s = section(s)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 xml:space="preserve">LIA = </w:t>
            </w:r>
            <w:r w:rsidRPr="00654F44">
              <w:rPr>
                <w:i/>
                <w:sz w:val="20"/>
              </w:rPr>
              <w:t>Legislative Instruments Act 2003</w:t>
            </w:r>
          </w:p>
        </w:tc>
        <w:tc>
          <w:tcPr>
            <w:tcW w:w="3543" w:type="dxa"/>
            <w:shd w:val="clear" w:color="auto" w:fill="auto"/>
          </w:tcPr>
          <w:p w:rsidR="00F150A1" w:rsidRPr="00654F44" w:rsidRDefault="00F150A1" w:rsidP="00E73430">
            <w:pPr>
              <w:pStyle w:val="ENoteTableText"/>
              <w:rPr>
                <w:sz w:val="20"/>
              </w:rPr>
            </w:pPr>
            <w:r w:rsidRPr="00654F44">
              <w:rPr>
                <w:sz w:val="20"/>
              </w:rPr>
              <w:t>Sch = Schedule(s)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mod = modified/modification</w:t>
            </w:r>
          </w:p>
        </w:tc>
        <w:tc>
          <w:tcPr>
            <w:tcW w:w="3543" w:type="dxa"/>
            <w:shd w:val="clear" w:color="auto" w:fill="auto"/>
          </w:tcPr>
          <w:p w:rsidR="00F150A1" w:rsidRPr="00654F44" w:rsidRDefault="00F150A1" w:rsidP="00E73430">
            <w:pPr>
              <w:pStyle w:val="ENoteTableText"/>
              <w:rPr>
                <w:sz w:val="20"/>
              </w:rPr>
            </w:pPr>
            <w:r w:rsidRPr="00654F44">
              <w:rPr>
                <w:sz w:val="20"/>
              </w:rPr>
              <w:t>Sdiv = Subdivision(s)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No = Number(s)</w:t>
            </w:r>
          </w:p>
        </w:tc>
        <w:tc>
          <w:tcPr>
            <w:tcW w:w="3543" w:type="dxa"/>
            <w:shd w:val="clear" w:color="auto" w:fill="auto"/>
          </w:tcPr>
          <w:p w:rsidR="00F150A1" w:rsidRPr="00654F44" w:rsidRDefault="00F150A1" w:rsidP="00E73430">
            <w:pPr>
              <w:pStyle w:val="ENoteTableText"/>
              <w:rPr>
                <w:sz w:val="20"/>
              </w:rPr>
            </w:pPr>
            <w:r w:rsidRPr="00654F44">
              <w:rPr>
                <w:sz w:val="20"/>
              </w:rPr>
              <w:t>SLI = Select Legislative Instrument</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o = order(s)</w:t>
            </w:r>
          </w:p>
        </w:tc>
        <w:tc>
          <w:tcPr>
            <w:tcW w:w="3543" w:type="dxa"/>
            <w:shd w:val="clear" w:color="auto" w:fill="auto"/>
          </w:tcPr>
          <w:p w:rsidR="00F150A1" w:rsidRPr="00654F44" w:rsidRDefault="00F150A1" w:rsidP="00E73430">
            <w:pPr>
              <w:pStyle w:val="ENoteTableText"/>
              <w:rPr>
                <w:sz w:val="20"/>
              </w:rPr>
            </w:pPr>
            <w:r w:rsidRPr="00654F44">
              <w:rPr>
                <w:sz w:val="20"/>
              </w:rPr>
              <w:t>SR = Statutory Rules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Ord = Ordinance</w:t>
            </w:r>
          </w:p>
        </w:tc>
        <w:tc>
          <w:tcPr>
            <w:tcW w:w="3543" w:type="dxa"/>
            <w:shd w:val="clear" w:color="auto" w:fill="auto"/>
          </w:tcPr>
          <w:p w:rsidR="00F150A1" w:rsidRPr="00654F44" w:rsidRDefault="00F150A1" w:rsidP="00E73430">
            <w:pPr>
              <w:pStyle w:val="ENoteTableText"/>
              <w:rPr>
                <w:sz w:val="20"/>
              </w:rPr>
            </w:pPr>
            <w:r w:rsidRPr="00654F44">
              <w:rPr>
                <w:sz w:val="20"/>
              </w:rPr>
              <w:t>Sub</w:t>
            </w:r>
            <w:r w:rsidR="00654F44">
              <w:rPr>
                <w:sz w:val="20"/>
              </w:rPr>
              <w:noBreakHyphen/>
            </w:r>
            <w:r w:rsidRPr="00654F44">
              <w:rPr>
                <w:sz w:val="20"/>
              </w:rPr>
              <w:t>Ch = Sub</w:t>
            </w:r>
            <w:r w:rsidR="00654F44">
              <w:rPr>
                <w:sz w:val="20"/>
              </w:rPr>
              <w:noBreakHyphen/>
            </w:r>
            <w:r w:rsidRPr="00654F44">
              <w:rPr>
                <w:sz w:val="20"/>
              </w:rPr>
              <w:t>Chapter(s)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orig = original</w:t>
            </w:r>
          </w:p>
        </w:tc>
        <w:tc>
          <w:tcPr>
            <w:tcW w:w="3543" w:type="dxa"/>
            <w:shd w:val="clear" w:color="auto" w:fill="auto"/>
          </w:tcPr>
          <w:p w:rsidR="00F150A1" w:rsidRPr="00654F44" w:rsidRDefault="00F150A1" w:rsidP="00E73430">
            <w:pPr>
              <w:pStyle w:val="ENoteTableText"/>
              <w:rPr>
                <w:sz w:val="20"/>
              </w:rPr>
            </w:pPr>
            <w:r w:rsidRPr="00654F44">
              <w:rPr>
                <w:sz w:val="20"/>
              </w:rPr>
              <w:t>SubPt = Subpart(s)</w:t>
            </w:r>
          </w:p>
        </w:tc>
      </w:tr>
      <w:tr w:rsidR="00F150A1" w:rsidRPr="00654F44" w:rsidTr="00E73430">
        <w:tc>
          <w:tcPr>
            <w:tcW w:w="3543" w:type="dxa"/>
            <w:shd w:val="clear" w:color="auto" w:fill="auto"/>
          </w:tcPr>
          <w:p w:rsidR="00F150A1" w:rsidRPr="00654F44" w:rsidRDefault="00F150A1" w:rsidP="00E73430">
            <w:pPr>
              <w:pStyle w:val="ENoteTableText"/>
              <w:rPr>
                <w:sz w:val="20"/>
              </w:rPr>
            </w:pPr>
            <w:r w:rsidRPr="00654F44">
              <w:rPr>
                <w:sz w:val="20"/>
              </w:rPr>
              <w:t>par = paragraph(s)/subparagraph(s)</w:t>
            </w:r>
          </w:p>
          <w:p w:rsidR="00F150A1" w:rsidRPr="00654F44" w:rsidRDefault="00F150A1" w:rsidP="00E73430">
            <w:pPr>
              <w:pStyle w:val="ENoteTableText"/>
              <w:ind w:left="397"/>
              <w:rPr>
                <w:sz w:val="20"/>
              </w:rPr>
            </w:pPr>
            <w:r w:rsidRPr="00654F44">
              <w:rPr>
                <w:sz w:val="20"/>
              </w:rPr>
              <w:t>/sub</w:t>
            </w:r>
            <w:r w:rsidR="00654F44">
              <w:rPr>
                <w:sz w:val="20"/>
              </w:rPr>
              <w:noBreakHyphen/>
            </w:r>
            <w:r w:rsidRPr="00654F44">
              <w:rPr>
                <w:sz w:val="20"/>
              </w:rPr>
              <w:t>subparagraph(s)</w:t>
            </w:r>
          </w:p>
        </w:tc>
        <w:tc>
          <w:tcPr>
            <w:tcW w:w="3543" w:type="dxa"/>
            <w:shd w:val="clear" w:color="auto" w:fill="auto"/>
          </w:tcPr>
          <w:p w:rsidR="00F150A1" w:rsidRPr="00654F44" w:rsidRDefault="00F150A1" w:rsidP="00E73430">
            <w:pPr>
              <w:pStyle w:val="ENoteTableText"/>
              <w:rPr>
                <w:sz w:val="20"/>
              </w:rPr>
            </w:pPr>
          </w:p>
        </w:tc>
      </w:tr>
    </w:tbl>
    <w:p w:rsidR="00F150A1" w:rsidRPr="00654F44" w:rsidRDefault="00F150A1" w:rsidP="00F150A1">
      <w:pPr>
        <w:pStyle w:val="Tabletext"/>
      </w:pPr>
    </w:p>
    <w:p w:rsidR="00F150A1" w:rsidRPr="00654F44" w:rsidRDefault="00F150A1" w:rsidP="00F150A1">
      <w:pPr>
        <w:pStyle w:val="ENotesHeading2"/>
        <w:pageBreakBefore/>
        <w:outlineLvl w:val="9"/>
      </w:pPr>
      <w:bookmarkStart w:id="62" w:name="_Toc392593287"/>
      <w:r w:rsidRPr="00654F44">
        <w:lastRenderedPageBreak/>
        <w:t>Endnote 3—Legislation history</w:t>
      </w:r>
      <w:bookmarkEnd w:id="62"/>
    </w:p>
    <w:p w:rsidR="00F150A1" w:rsidRPr="00654F44" w:rsidRDefault="00F150A1" w:rsidP="00F150A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150A1" w:rsidRPr="00654F44" w:rsidTr="00E73430">
        <w:trPr>
          <w:cantSplit/>
          <w:tblHeader/>
        </w:trPr>
        <w:tc>
          <w:tcPr>
            <w:tcW w:w="1838" w:type="dxa"/>
            <w:tcBorders>
              <w:top w:val="single" w:sz="12" w:space="0" w:color="auto"/>
              <w:bottom w:val="single" w:sz="12" w:space="0" w:color="auto"/>
            </w:tcBorders>
            <w:shd w:val="clear" w:color="auto" w:fill="auto"/>
          </w:tcPr>
          <w:p w:rsidR="00F150A1" w:rsidRPr="00654F44" w:rsidRDefault="00F150A1" w:rsidP="00E73430">
            <w:pPr>
              <w:pStyle w:val="ENoteTableHeading"/>
            </w:pPr>
            <w:r w:rsidRPr="00654F44">
              <w:t>Act</w:t>
            </w:r>
          </w:p>
        </w:tc>
        <w:tc>
          <w:tcPr>
            <w:tcW w:w="992" w:type="dxa"/>
            <w:tcBorders>
              <w:top w:val="single" w:sz="12" w:space="0" w:color="auto"/>
              <w:bottom w:val="single" w:sz="12" w:space="0" w:color="auto"/>
            </w:tcBorders>
            <w:shd w:val="clear" w:color="auto" w:fill="auto"/>
          </w:tcPr>
          <w:p w:rsidR="00F150A1" w:rsidRPr="00654F44" w:rsidRDefault="00F150A1" w:rsidP="00E73430">
            <w:pPr>
              <w:pStyle w:val="ENoteTableHeading"/>
            </w:pPr>
            <w:r w:rsidRPr="00654F44">
              <w:t>Number and year</w:t>
            </w:r>
          </w:p>
        </w:tc>
        <w:tc>
          <w:tcPr>
            <w:tcW w:w="993" w:type="dxa"/>
            <w:tcBorders>
              <w:top w:val="single" w:sz="12" w:space="0" w:color="auto"/>
              <w:bottom w:val="single" w:sz="12" w:space="0" w:color="auto"/>
            </w:tcBorders>
            <w:shd w:val="clear" w:color="auto" w:fill="auto"/>
          </w:tcPr>
          <w:p w:rsidR="00F150A1" w:rsidRPr="00654F44" w:rsidRDefault="00F150A1" w:rsidP="00E73430">
            <w:pPr>
              <w:pStyle w:val="ENoteTableHeading"/>
            </w:pPr>
            <w:r w:rsidRPr="00654F44">
              <w:t>Assent</w:t>
            </w:r>
          </w:p>
        </w:tc>
        <w:tc>
          <w:tcPr>
            <w:tcW w:w="1845" w:type="dxa"/>
            <w:tcBorders>
              <w:top w:val="single" w:sz="12" w:space="0" w:color="auto"/>
              <w:bottom w:val="single" w:sz="12" w:space="0" w:color="auto"/>
            </w:tcBorders>
            <w:shd w:val="clear" w:color="auto" w:fill="auto"/>
          </w:tcPr>
          <w:p w:rsidR="00F150A1" w:rsidRPr="00654F44" w:rsidRDefault="00F150A1" w:rsidP="00E73430">
            <w:pPr>
              <w:pStyle w:val="ENoteTableHeading"/>
            </w:pPr>
            <w:r w:rsidRPr="00654F44">
              <w:t>Commencement</w:t>
            </w:r>
          </w:p>
        </w:tc>
        <w:tc>
          <w:tcPr>
            <w:tcW w:w="1417" w:type="dxa"/>
            <w:tcBorders>
              <w:top w:val="single" w:sz="12" w:space="0" w:color="auto"/>
              <w:bottom w:val="single" w:sz="12" w:space="0" w:color="auto"/>
            </w:tcBorders>
            <w:shd w:val="clear" w:color="auto" w:fill="auto"/>
          </w:tcPr>
          <w:p w:rsidR="00F150A1" w:rsidRPr="00654F44" w:rsidRDefault="00F150A1" w:rsidP="00E73430">
            <w:pPr>
              <w:pStyle w:val="ENoteTableHeading"/>
            </w:pPr>
            <w:r w:rsidRPr="00654F44">
              <w:t>Application, saving and transitional provisions</w:t>
            </w:r>
          </w:p>
        </w:tc>
      </w:tr>
      <w:tr w:rsidR="00BF69CF" w:rsidRPr="00654F44" w:rsidTr="00E73430">
        <w:trPr>
          <w:cantSplit/>
        </w:trPr>
        <w:tc>
          <w:tcPr>
            <w:tcW w:w="1838" w:type="dxa"/>
            <w:tcBorders>
              <w:top w:val="single" w:sz="12" w:space="0" w:color="auto"/>
              <w:bottom w:val="single" w:sz="4" w:space="0" w:color="auto"/>
            </w:tcBorders>
            <w:shd w:val="clear" w:color="auto" w:fill="auto"/>
          </w:tcPr>
          <w:p w:rsidR="00BF69CF" w:rsidRPr="00654F44" w:rsidRDefault="00BF69CF" w:rsidP="00BF69CF">
            <w:pPr>
              <w:pStyle w:val="ENoteTableText"/>
            </w:pPr>
            <w:r w:rsidRPr="00654F44">
              <w:t>High Court of Australia Act 1979</w:t>
            </w:r>
          </w:p>
        </w:tc>
        <w:tc>
          <w:tcPr>
            <w:tcW w:w="992" w:type="dxa"/>
            <w:tcBorders>
              <w:top w:val="single" w:sz="12" w:space="0" w:color="auto"/>
              <w:bottom w:val="single" w:sz="4" w:space="0" w:color="auto"/>
            </w:tcBorders>
            <w:shd w:val="clear" w:color="auto" w:fill="auto"/>
          </w:tcPr>
          <w:p w:rsidR="00BF69CF" w:rsidRPr="00654F44" w:rsidRDefault="00BF69CF" w:rsidP="00BF69CF">
            <w:pPr>
              <w:pStyle w:val="ENoteTableText"/>
            </w:pPr>
            <w:r w:rsidRPr="00654F44">
              <w:t>137, 1979</w:t>
            </w:r>
          </w:p>
        </w:tc>
        <w:tc>
          <w:tcPr>
            <w:tcW w:w="993" w:type="dxa"/>
            <w:tcBorders>
              <w:top w:val="single" w:sz="12" w:space="0" w:color="auto"/>
              <w:bottom w:val="single" w:sz="4" w:space="0" w:color="auto"/>
            </w:tcBorders>
            <w:shd w:val="clear" w:color="auto" w:fill="auto"/>
          </w:tcPr>
          <w:p w:rsidR="00BF69CF" w:rsidRPr="00654F44" w:rsidRDefault="00BF69CF" w:rsidP="00BF69CF">
            <w:pPr>
              <w:pStyle w:val="ENoteTableText"/>
            </w:pPr>
            <w:smartTag w:uri="urn:schemas-microsoft-com:office:smarttags" w:element="date">
              <w:smartTagPr>
                <w:attr w:name="Month" w:val="11"/>
                <w:attr w:name="Day" w:val="23"/>
                <w:attr w:name="Year" w:val="1979"/>
              </w:smartTagPr>
              <w:r w:rsidRPr="00654F44">
                <w:t>23 Nov 1979</w:t>
              </w:r>
            </w:smartTag>
          </w:p>
        </w:tc>
        <w:tc>
          <w:tcPr>
            <w:tcW w:w="1845" w:type="dxa"/>
            <w:tcBorders>
              <w:top w:val="single" w:sz="12" w:space="0" w:color="auto"/>
              <w:bottom w:val="single" w:sz="4" w:space="0" w:color="auto"/>
            </w:tcBorders>
            <w:shd w:val="clear" w:color="auto" w:fill="auto"/>
          </w:tcPr>
          <w:p w:rsidR="00BF69CF" w:rsidRPr="00654F44" w:rsidRDefault="00BF69CF" w:rsidP="00BF69CF">
            <w:pPr>
              <w:pStyle w:val="ENoteTableText"/>
            </w:pPr>
            <w:smartTag w:uri="urn:schemas-microsoft-com:office:smarttags" w:element="date">
              <w:smartTagPr>
                <w:attr w:name="Month" w:val="4"/>
                <w:attr w:name="Day" w:val="21"/>
                <w:attr w:name="Year" w:val="1980"/>
              </w:smartTagPr>
              <w:r w:rsidRPr="00654F44">
                <w:t>21 Apr 1980</w:t>
              </w:r>
            </w:smartTag>
            <w:r w:rsidRPr="00654F44">
              <w:t xml:space="preserve"> (</w:t>
            </w:r>
            <w:r w:rsidRPr="00654F44">
              <w:rPr>
                <w:i/>
              </w:rPr>
              <w:t xml:space="preserve">see Gazette </w:t>
            </w:r>
            <w:r w:rsidRPr="00654F44">
              <w:t xml:space="preserve">1980, No. S82) </w:t>
            </w:r>
          </w:p>
        </w:tc>
        <w:tc>
          <w:tcPr>
            <w:tcW w:w="1417" w:type="dxa"/>
            <w:tcBorders>
              <w:top w:val="single" w:sz="12" w:space="0" w:color="auto"/>
              <w:bottom w:val="single" w:sz="4" w:space="0" w:color="auto"/>
            </w:tcBorders>
            <w:shd w:val="clear" w:color="auto" w:fill="auto"/>
          </w:tcPr>
          <w:p w:rsidR="00BF69CF" w:rsidRPr="00654F44" w:rsidRDefault="00BF69CF" w:rsidP="00BF69CF">
            <w:pPr>
              <w:pStyle w:val="ENoteTableText"/>
            </w:pP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Public Service Reform Act 1984</w:t>
            </w:r>
          </w:p>
        </w:tc>
        <w:tc>
          <w:tcPr>
            <w:tcW w:w="992" w:type="dxa"/>
            <w:shd w:val="clear" w:color="auto" w:fill="auto"/>
          </w:tcPr>
          <w:p w:rsidR="00BF69CF" w:rsidRPr="00654F44" w:rsidRDefault="00BF69CF" w:rsidP="00BF69CF">
            <w:pPr>
              <w:pStyle w:val="ENoteTableText"/>
            </w:pPr>
            <w:r w:rsidRPr="00654F44">
              <w:t>63, 1984</w:t>
            </w:r>
          </w:p>
        </w:tc>
        <w:tc>
          <w:tcPr>
            <w:tcW w:w="993" w:type="dxa"/>
            <w:shd w:val="clear" w:color="auto" w:fill="auto"/>
          </w:tcPr>
          <w:p w:rsidR="00BF69CF" w:rsidRPr="00654F44" w:rsidRDefault="00BF69CF" w:rsidP="00BF69CF">
            <w:pPr>
              <w:pStyle w:val="ENoteTableText"/>
            </w:pPr>
            <w:r w:rsidRPr="00654F44">
              <w:t>25</w:t>
            </w:r>
            <w:r w:rsidR="00654F44">
              <w:t> </w:t>
            </w:r>
            <w:r w:rsidRPr="00654F44">
              <w:t>June 1984</w:t>
            </w:r>
          </w:p>
        </w:tc>
        <w:tc>
          <w:tcPr>
            <w:tcW w:w="1845" w:type="dxa"/>
            <w:shd w:val="clear" w:color="auto" w:fill="auto"/>
          </w:tcPr>
          <w:p w:rsidR="00BF69CF" w:rsidRPr="00654F44" w:rsidRDefault="00E12D7E" w:rsidP="00BF69CF">
            <w:pPr>
              <w:pStyle w:val="ENoteTableText"/>
            </w:pPr>
            <w:r w:rsidRPr="00654F44">
              <w:t>s.</w:t>
            </w:r>
            <w:r w:rsidR="00BF69CF" w:rsidRPr="00654F44">
              <w:t xml:space="preserve"> 151(1): 1</w:t>
            </w:r>
            <w:r w:rsidR="00654F44">
              <w:t> </w:t>
            </w:r>
            <w:r w:rsidR="00BF69CF" w:rsidRPr="00654F44">
              <w:t>July 1984 (</w:t>
            </w:r>
            <w:r w:rsidR="00BF69CF" w:rsidRPr="00654F44">
              <w:rPr>
                <w:i/>
              </w:rPr>
              <w:t xml:space="preserve">see Gazette </w:t>
            </w:r>
            <w:r w:rsidR="00BF69CF" w:rsidRPr="00654F44">
              <w:t xml:space="preserve">1984, No. S245) </w:t>
            </w:r>
            <w:r w:rsidR="00BF69CF" w:rsidRPr="00654F44">
              <w:rPr>
                <w:i/>
              </w:rPr>
              <w:t>(a)</w:t>
            </w:r>
          </w:p>
        </w:tc>
        <w:tc>
          <w:tcPr>
            <w:tcW w:w="1417" w:type="dxa"/>
            <w:shd w:val="clear" w:color="auto" w:fill="auto"/>
          </w:tcPr>
          <w:p w:rsidR="00BF69CF" w:rsidRPr="00654F44" w:rsidRDefault="00E12D7E" w:rsidP="00BF69CF">
            <w:pPr>
              <w:pStyle w:val="ENoteTableText"/>
            </w:pPr>
            <w:r w:rsidRPr="00654F44">
              <w:t>s.</w:t>
            </w:r>
            <w:r w:rsidR="00BF69CF" w:rsidRPr="00654F44">
              <w:t xml:space="preserve"> 151(9) </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Statute Law (Miscellaneous Provisions) Act (No.</w:t>
            </w:r>
            <w:r w:rsidR="00654F44">
              <w:t> </w:t>
            </w:r>
            <w:r w:rsidRPr="00654F44">
              <w:t>1) 1985</w:t>
            </w:r>
          </w:p>
        </w:tc>
        <w:tc>
          <w:tcPr>
            <w:tcW w:w="992" w:type="dxa"/>
            <w:shd w:val="clear" w:color="auto" w:fill="auto"/>
          </w:tcPr>
          <w:p w:rsidR="00BF69CF" w:rsidRPr="00654F44" w:rsidRDefault="00BF69CF" w:rsidP="00BF69CF">
            <w:pPr>
              <w:pStyle w:val="ENoteTableText"/>
            </w:pPr>
            <w:r w:rsidRPr="00654F44">
              <w:t>65, 1985</w:t>
            </w:r>
          </w:p>
        </w:tc>
        <w:tc>
          <w:tcPr>
            <w:tcW w:w="993" w:type="dxa"/>
            <w:shd w:val="clear" w:color="auto" w:fill="auto"/>
          </w:tcPr>
          <w:p w:rsidR="00BF69CF" w:rsidRPr="00654F44" w:rsidRDefault="00BF69CF" w:rsidP="00BF69CF">
            <w:pPr>
              <w:pStyle w:val="ENoteTableText"/>
            </w:pPr>
            <w:r w:rsidRPr="00654F44">
              <w:t>5</w:t>
            </w:r>
            <w:r w:rsidR="00654F44">
              <w:t> </w:t>
            </w:r>
            <w:r w:rsidRPr="00654F44">
              <w:t>June 1985</w:t>
            </w:r>
          </w:p>
        </w:tc>
        <w:tc>
          <w:tcPr>
            <w:tcW w:w="1845" w:type="dxa"/>
            <w:shd w:val="clear" w:color="auto" w:fill="auto"/>
          </w:tcPr>
          <w:p w:rsidR="00BF69CF" w:rsidRPr="00654F44" w:rsidRDefault="00E12D7E" w:rsidP="00BF69CF">
            <w:pPr>
              <w:pStyle w:val="ENoteTableText"/>
            </w:pPr>
            <w:r w:rsidRPr="00654F44">
              <w:t>s.</w:t>
            </w:r>
            <w:r w:rsidR="00BF69CF" w:rsidRPr="00654F44">
              <w:t xml:space="preserve"> 3: 3</w:t>
            </w:r>
            <w:r w:rsidR="00654F44">
              <w:t> </w:t>
            </w:r>
            <w:r w:rsidR="00BF69CF" w:rsidRPr="00654F44">
              <w:t xml:space="preserve">July 1985 </w:t>
            </w:r>
            <w:r w:rsidR="00BF69CF" w:rsidRPr="00654F44">
              <w:rPr>
                <w:i/>
              </w:rPr>
              <w:t>(b)</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Statutory Instruments (Tabling and Disallowance) Legislation Amendment Act 1988</w:t>
            </w:r>
          </w:p>
        </w:tc>
        <w:tc>
          <w:tcPr>
            <w:tcW w:w="992" w:type="dxa"/>
            <w:shd w:val="clear" w:color="auto" w:fill="auto"/>
          </w:tcPr>
          <w:p w:rsidR="00BF69CF" w:rsidRPr="00654F44" w:rsidRDefault="00BF69CF" w:rsidP="00BF69CF">
            <w:pPr>
              <w:pStyle w:val="ENoteTableText"/>
            </w:pPr>
            <w:r w:rsidRPr="00654F44">
              <w:t>99, 1988</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2"/>
                <w:attr w:name="Day" w:val="2"/>
                <w:attr w:name="Year" w:val="1988"/>
              </w:smartTagPr>
              <w:r w:rsidRPr="00654F44">
                <w:t>2 Dec 1988</w:t>
              </w:r>
            </w:smartTag>
          </w:p>
        </w:tc>
        <w:tc>
          <w:tcPr>
            <w:tcW w:w="1845" w:type="dxa"/>
            <w:shd w:val="clear" w:color="auto" w:fill="auto"/>
          </w:tcPr>
          <w:p w:rsidR="00BF69CF" w:rsidRPr="00654F44" w:rsidRDefault="00BF69CF" w:rsidP="00BF69CF">
            <w:pPr>
              <w:pStyle w:val="ENoteTableText"/>
            </w:pPr>
            <w:smartTag w:uri="urn:schemas-microsoft-com:office:smarttags" w:element="date">
              <w:smartTagPr>
                <w:attr w:name="Month" w:val="12"/>
                <w:attr w:name="Day" w:val="2"/>
                <w:attr w:name="Year" w:val="1988"/>
              </w:smartTagPr>
              <w:r w:rsidRPr="00654F44">
                <w:t>2 Dec 1988</w:t>
              </w:r>
            </w:smartTag>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Lands Acquisition (Repeal and Consequential Provisions) Act 1989</w:t>
            </w:r>
          </w:p>
        </w:tc>
        <w:tc>
          <w:tcPr>
            <w:tcW w:w="992" w:type="dxa"/>
            <w:shd w:val="clear" w:color="auto" w:fill="auto"/>
          </w:tcPr>
          <w:p w:rsidR="00BF69CF" w:rsidRPr="00654F44" w:rsidRDefault="00BF69CF" w:rsidP="00BF69CF">
            <w:pPr>
              <w:pStyle w:val="ENoteTableText"/>
            </w:pPr>
            <w:r w:rsidRPr="00654F44">
              <w:t>21, 1989</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4"/>
                <w:attr w:name="Day" w:val="20"/>
                <w:attr w:name="Year" w:val="1989"/>
              </w:smartTagPr>
              <w:r w:rsidRPr="00654F44">
                <w:t>20 Apr 1989</w:t>
              </w:r>
            </w:smartTag>
          </w:p>
        </w:tc>
        <w:tc>
          <w:tcPr>
            <w:tcW w:w="1845" w:type="dxa"/>
            <w:shd w:val="clear" w:color="auto" w:fill="auto"/>
          </w:tcPr>
          <w:p w:rsidR="00BF69CF" w:rsidRPr="00654F44" w:rsidRDefault="00BF69CF" w:rsidP="00BF69CF">
            <w:pPr>
              <w:pStyle w:val="ENoteTableText"/>
            </w:pPr>
            <w:r w:rsidRPr="00654F44">
              <w:t>9</w:t>
            </w:r>
            <w:r w:rsidR="00654F44">
              <w:t> </w:t>
            </w:r>
            <w:r w:rsidRPr="00654F44">
              <w:t>June 1989 (</w:t>
            </w:r>
            <w:r w:rsidRPr="00654F44">
              <w:rPr>
                <w:i/>
              </w:rPr>
              <w:t xml:space="preserve">see </w:t>
            </w:r>
            <w:r w:rsidRPr="00654F44">
              <w:t xml:space="preserve">s. 2 and </w:t>
            </w:r>
            <w:r w:rsidRPr="00654F44">
              <w:rPr>
                <w:i/>
              </w:rPr>
              <w:t xml:space="preserve">Gazette </w:t>
            </w:r>
            <w:r w:rsidRPr="00654F44">
              <w:t>1989, No. S185)</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Courts and Tribunals Administration Amendment Act 1989</w:t>
            </w:r>
          </w:p>
        </w:tc>
        <w:tc>
          <w:tcPr>
            <w:tcW w:w="992" w:type="dxa"/>
            <w:shd w:val="clear" w:color="auto" w:fill="auto"/>
          </w:tcPr>
          <w:p w:rsidR="00BF69CF" w:rsidRPr="00654F44" w:rsidRDefault="00BF69CF" w:rsidP="00BF69CF">
            <w:pPr>
              <w:pStyle w:val="ENoteTableText"/>
            </w:pPr>
            <w:r w:rsidRPr="00654F44">
              <w:t>157, 1989</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2"/>
                <w:attr w:name="Day" w:val="5"/>
                <w:attr w:name="Year" w:val="1989"/>
              </w:smartTagPr>
              <w:r w:rsidRPr="00654F44">
                <w:t>5 Dec 1989</w:t>
              </w:r>
            </w:smartTag>
          </w:p>
        </w:tc>
        <w:tc>
          <w:tcPr>
            <w:tcW w:w="1845" w:type="dxa"/>
            <w:shd w:val="clear" w:color="auto" w:fill="auto"/>
          </w:tcPr>
          <w:p w:rsidR="00BF69CF" w:rsidRPr="00654F44" w:rsidRDefault="00BF69CF" w:rsidP="008108FC">
            <w:pPr>
              <w:pStyle w:val="ENoteTableText"/>
            </w:pPr>
            <w:r w:rsidRPr="00654F44">
              <w:t>Parts</w:t>
            </w:r>
            <w:r w:rsidR="00654F44">
              <w:t> </w:t>
            </w:r>
            <w:r w:rsidRPr="00654F44">
              <w:t>1 and 6 (ss.</w:t>
            </w:r>
            <w:r w:rsidR="00654F44">
              <w:t> </w:t>
            </w:r>
            <w:r w:rsidRPr="00654F44">
              <w:t>1, 2, 17, 18): Royal Assent</w:t>
            </w:r>
            <w:r w:rsidRPr="00654F44">
              <w:br/>
            </w:r>
            <w:r w:rsidR="00E12D7E" w:rsidRPr="00654F44">
              <w:t>ss.</w:t>
            </w:r>
            <w:r w:rsidR="00654F44">
              <w:t> </w:t>
            </w:r>
            <w:r w:rsidRPr="00654F44">
              <w:t>3–16 and 19–25: 1</w:t>
            </w:r>
            <w:r w:rsidR="008108FC" w:rsidRPr="00654F44">
              <w:t> </w:t>
            </w:r>
            <w:r w:rsidRPr="00654F44">
              <w:t>Jan 1990 (</w:t>
            </w:r>
            <w:r w:rsidRPr="00654F44">
              <w:rPr>
                <w:i/>
              </w:rPr>
              <w:t xml:space="preserve">see Gazette </w:t>
            </w:r>
            <w:r w:rsidRPr="00654F44">
              <w:t>1989, No. S398)</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Industrial Relations Legislation Amendment Act 1991</w:t>
            </w:r>
          </w:p>
        </w:tc>
        <w:tc>
          <w:tcPr>
            <w:tcW w:w="992" w:type="dxa"/>
            <w:shd w:val="clear" w:color="auto" w:fill="auto"/>
          </w:tcPr>
          <w:p w:rsidR="00BF69CF" w:rsidRPr="00654F44" w:rsidRDefault="00BF69CF" w:rsidP="00BF69CF">
            <w:pPr>
              <w:pStyle w:val="ENoteTableText"/>
            </w:pPr>
            <w:r w:rsidRPr="00654F44">
              <w:t>122, 1991</w:t>
            </w:r>
          </w:p>
        </w:tc>
        <w:tc>
          <w:tcPr>
            <w:tcW w:w="993" w:type="dxa"/>
            <w:shd w:val="clear" w:color="auto" w:fill="auto"/>
          </w:tcPr>
          <w:p w:rsidR="00BF69CF" w:rsidRPr="00654F44" w:rsidRDefault="00BF69CF" w:rsidP="00BF69CF">
            <w:pPr>
              <w:pStyle w:val="ENoteTableText"/>
            </w:pPr>
            <w:r w:rsidRPr="00654F44">
              <w:t>27</w:t>
            </w:r>
            <w:r w:rsidR="00654F44">
              <w:t> </w:t>
            </w:r>
            <w:r w:rsidRPr="00654F44">
              <w:t>June 1991</w:t>
            </w:r>
          </w:p>
        </w:tc>
        <w:tc>
          <w:tcPr>
            <w:tcW w:w="1845" w:type="dxa"/>
            <w:shd w:val="clear" w:color="auto" w:fill="auto"/>
          </w:tcPr>
          <w:p w:rsidR="00BF69CF" w:rsidRPr="00654F44" w:rsidRDefault="00E12D7E" w:rsidP="00BF69CF">
            <w:pPr>
              <w:pStyle w:val="ENoteTableText"/>
            </w:pPr>
            <w:r w:rsidRPr="00654F44">
              <w:t>ss.</w:t>
            </w:r>
            <w:r w:rsidR="00654F44">
              <w:t> </w:t>
            </w:r>
            <w:r w:rsidR="00BF69CF" w:rsidRPr="00654F44">
              <w:t xml:space="preserve">4(1), 10(b) and 15–20: </w:t>
            </w:r>
            <w:smartTag w:uri="urn:schemas-microsoft-com:office:smarttags" w:element="date">
              <w:smartTagPr>
                <w:attr w:name="Month" w:val="12"/>
                <w:attr w:name="Day" w:val="1"/>
                <w:attr w:name="Year" w:val="1988"/>
              </w:smartTagPr>
              <w:r w:rsidR="00BF69CF" w:rsidRPr="00654F44">
                <w:t>1 Dec 1988</w:t>
              </w:r>
            </w:smartTag>
            <w:r w:rsidR="00BF69CF" w:rsidRPr="00654F44">
              <w:br/>
            </w:r>
            <w:r w:rsidRPr="00654F44">
              <w:t>ss.</w:t>
            </w:r>
            <w:r w:rsidR="00654F44">
              <w:t> </w:t>
            </w:r>
            <w:r w:rsidR="00BF69CF" w:rsidRPr="00654F44">
              <w:t>28(b)–(e), 30 and 31: 10 Dec 1991 (</w:t>
            </w:r>
            <w:r w:rsidR="00BF69CF" w:rsidRPr="00654F44">
              <w:rPr>
                <w:i/>
              </w:rPr>
              <w:t xml:space="preserve">see Gazette </w:t>
            </w:r>
            <w:r w:rsidR="00BF69CF" w:rsidRPr="00654F44">
              <w:t>1991, No. S332)</w:t>
            </w:r>
            <w:r w:rsidR="00BF69CF" w:rsidRPr="00654F44">
              <w:br/>
              <w:t>Remainder: Royal Assent</w:t>
            </w:r>
          </w:p>
        </w:tc>
        <w:tc>
          <w:tcPr>
            <w:tcW w:w="1417" w:type="dxa"/>
            <w:shd w:val="clear" w:color="auto" w:fill="auto"/>
          </w:tcPr>
          <w:p w:rsidR="00BF69CF" w:rsidRPr="00654F44" w:rsidRDefault="00E12D7E" w:rsidP="00BF69CF">
            <w:pPr>
              <w:pStyle w:val="ENoteTableText"/>
            </w:pPr>
            <w:r w:rsidRPr="00654F44">
              <w:t>s.</w:t>
            </w:r>
            <w:r w:rsidR="00BF69CF" w:rsidRPr="00654F44">
              <w:t xml:space="preserve"> 31(2)</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lastRenderedPageBreak/>
              <w:t>Prime Minister and Cabinet Legislation Amendment Act 1991</w:t>
            </w:r>
          </w:p>
        </w:tc>
        <w:tc>
          <w:tcPr>
            <w:tcW w:w="992" w:type="dxa"/>
            <w:shd w:val="clear" w:color="auto" w:fill="auto"/>
          </w:tcPr>
          <w:p w:rsidR="00BF69CF" w:rsidRPr="00654F44" w:rsidRDefault="00BF69CF" w:rsidP="00BF69CF">
            <w:pPr>
              <w:pStyle w:val="ENoteTableText"/>
            </w:pPr>
            <w:r w:rsidRPr="00654F44">
              <w:t>199, 1991</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2"/>
                <w:attr w:name="Day" w:val="18"/>
                <w:attr w:name="Year" w:val="1991"/>
              </w:smartTagPr>
              <w:r w:rsidRPr="00654F44">
                <w:t>18 Dec 1991</w:t>
              </w:r>
            </w:smartTag>
          </w:p>
        </w:tc>
        <w:tc>
          <w:tcPr>
            <w:tcW w:w="1845" w:type="dxa"/>
            <w:shd w:val="clear" w:color="auto" w:fill="auto"/>
          </w:tcPr>
          <w:p w:rsidR="00BF69CF" w:rsidRPr="00654F44" w:rsidRDefault="00BF69CF" w:rsidP="00BF69CF">
            <w:pPr>
              <w:pStyle w:val="ENoteTableText"/>
            </w:pPr>
            <w:smartTag w:uri="urn:schemas-microsoft-com:office:smarttags" w:element="date">
              <w:smartTagPr>
                <w:attr w:name="Month" w:val="12"/>
                <w:attr w:name="Day" w:val="18"/>
                <w:attr w:name="Year" w:val="1991"/>
              </w:smartTagPr>
              <w:r w:rsidRPr="00654F44">
                <w:t>18 Dec 1991</w:t>
              </w:r>
            </w:smartTag>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Law and Justice Legislation Amendment Act 1993</w:t>
            </w:r>
          </w:p>
        </w:tc>
        <w:tc>
          <w:tcPr>
            <w:tcW w:w="992" w:type="dxa"/>
            <w:shd w:val="clear" w:color="auto" w:fill="auto"/>
          </w:tcPr>
          <w:p w:rsidR="00BF69CF" w:rsidRPr="00654F44" w:rsidRDefault="00BF69CF" w:rsidP="00BF69CF">
            <w:pPr>
              <w:pStyle w:val="ENoteTableText"/>
            </w:pPr>
            <w:r w:rsidRPr="00654F44">
              <w:t>13, 1994</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
                <w:attr w:name="Day" w:val="18"/>
                <w:attr w:name="Year" w:val="1994"/>
              </w:smartTagPr>
              <w:r w:rsidRPr="00654F44">
                <w:t>18 Jan 1994</w:t>
              </w:r>
            </w:smartTag>
          </w:p>
        </w:tc>
        <w:tc>
          <w:tcPr>
            <w:tcW w:w="1845" w:type="dxa"/>
            <w:shd w:val="clear" w:color="auto" w:fill="auto"/>
          </w:tcPr>
          <w:p w:rsidR="00BF69CF" w:rsidRPr="00654F44" w:rsidRDefault="00E12D7E" w:rsidP="008108FC">
            <w:pPr>
              <w:pStyle w:val="ENoteTableText"/>
            </w:pPr>
            <w:r w:rsidRPr="00654F44">
              <w:t>s.</w:t>
            </w:r>
            <w:r w:rsidR="00BF69CF" w:rsidRPr="00654F44">
              <w:t xml:space="preserve"> 22: </w:t>
            </w:r>
            <w:smartTag w:uri="urn:schemas-microsoft-com:office:smarttags" w:element="date">
              <w:smartTagPr>
                <w:attr w:name="Month" w:val="1"/>
                <w:attr w:name="Day" w:val="13"/>
                <w:attr w:name="Year" w:val="1993"/>
              </w:smartTagPr>
              <w:r w:rsidR="00BF69CF" w:rsidRPr="00654F44">
                <w:t>13 Jan 1993</w:t>
              </w:r>
            </w:smartTag>
            <w:r w:rsidR="00BF69CF" w:rsidRPr="00654F44">
              <w:br/>
              <w:t>Part</w:t>
            </w:r>
            <w:r w:rsidR="00654F44">
              <w:t> </w:t>
            </w:r>
            <w:r w:rsidR="00BF69CF" w:rsidRPr="00654F44">
              <w:t>6 (ss.</w:t>
            </w:r>
            <w:r w:rsidR="00654F44">
              <w:t> </w:t>
            </w:r>
            <w:r w:rsidR="00BF69CF" w:rsidRPr="00654F44">
              <w:t>27–41): 11</w:t>
            </w:r>
            <w:r w:rsidR="008108FC" w:rsidRPr="00654F44">
              <w:t> </w:t>
            </w:r>
            <w:r w:rsidR="00BF69CF" w:rsidRPr="00654F44">
              <w:t>Apr 1994 (</w:t>
            </w:r>
            <w:r w:rsidR="00BF69CF" w:rsidRPr="00654F44">
              <w:rPr>
                <w:i/>
              </w:rPr>
              <w:t xml:space="preserve">see Gazette </w:t>
            </w:r>
            <w:r w:rsidR="00BF69CF" w:rsidRPr="00654F44">
              <w:t>1994, No. S126)</w:t>
            </w:r>
            <w:r w:rsidR="00BF69CF" w:rsidRPr="00654F44">
              <w:br/>
              <w:t>Remainder: Royal Assent</w:t>
            </w:r>
          </w:p>
        </w:tc>
        <w:tc>
          <w:tcPr>
            <w:tcW w:w="1417" w:type="dxa"/>
            <w:shd w:val="clear" w:color="auto" w:fill="auto"/>
          </w:tcPr>
          <w:p w:rsidR="00BF69CF" w:rsidRPr="00654F44" w:rsidRDefault="00E12D7E" w:rsidP="00BF69CF">
            <w:pPr>
              <w:pStyle w:val="ENoteTableText"/>
            </w:pPr>
            <w:r w:rsidRPr="00654F44">
              <w:t>s.</w:t>
            </w:r>
            <w:r w:rsidR="00BF69CF" w:rsidRPr="00654F44">
              <w:t xml:space="preserve"> 34</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Statute Law Revision Act 1996</w:t>
            </w:r>
          </w:p>
        </w:tc>
        <w:tc>
          <w:tcPr>
            <w:tcW w:w="992" w:type="dxa"/>
            <w:shd w:val="clear" w:color="auto" w:fill="auto"/>
          </w:tcPr>
          <w:p w:rsidR="00BF69CF" w:rsidRPr="00654F44" w:rsidRDefault="00BF69CF" w:rsidP="00BF69CF">
            <w:pPr>
              <w:pStyle w:val="ENoteTableText"/>
            </w:pPr>
            <w:r w:rsidRPr="00654F44">
              <w:t>43, 1996</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0"/>
                <w:attr w:name="Day" w:val="25"/>
                <w:attr w:name="Year" w:val="1996"/>
              </w:smartTagPr>
              <w:r w:rsidRPr="00654F44">
                <w:t>25 Oct 1996</w:t>
              </w:r>
            </w:smartTag>
          </w:p>
        </w:tc>
        <w:tc>
          <w:tcPr>
            <w:tcW w:w="1845" w:type="dxa"/>
            <w:shd w:val="clear" w:color="auto" w:fill="auto"/>
          </w:tcPr>
          <w:p w:rsidR="00BF69CF" w:rsidRPr="00654F44" w:rsidRDefault="00BF69CF" w:rsidP="00BF69CF">
            <w:pPr>
              <w:pStyle w:val="ENoteTableText"/>
            </w:pPr>
            <w:r w:rsidRPr="00654F44">
              <w:t>Schedule</w:t>
            </w:r>
            <w:r w:rsidR="00654F44">
              <w:t> </w:t>
            </w:r>
            <w:r w:rsidRPr="00654F44">
              <w:t>4 (items</w:t>
            </w:r>
            <w:r w:rsidR="00654F44">
              <w:t> </w:t>
            </w:r>
            <w:r w:rsidRPr="00654F44">
              <w:t>87, 88) and Schedule</w:t>
            </w:r>
            <w:r w:rsidR="00654F44">
              <w:t> </w:t>
            </w:r>
            <w:r w:rsidRPr="00654F44">
              <w:t>5 (items</w:t>
            </w:r>
            <w:r w:rsidR="00654F44">
              <w:t> </w:t>
            </w:r>
            <w:r w:rsidRPr="00654F44">
              <w:t xml:space="preserve">72–74): Royal Assent </w:t>
            </w:r>
            <w:r w:rsidRPr="00654F44">
              <w:rPr>
                <w:i/>
              </w:rPr>
              <w:t>(c)</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Workplace Relations and Other Legislation Amendment Act 1996</w:t>
            </w:r>
          </w:p>
        </w:tc>
        <w:tc>
          <w:tcPr>
            <w:tcW w:w="992" w:type="dxa"/>
            <w:shd w:val="clear" w:color="auto" w:fill="auto"/>
          </w:tcPr>
          <w:p w:rsidR="00BF69CF" w:rsidRPr="00654F44" w:rsidRDefault="00BF69CF" w:rsidP="00BF69CF">
            <w:pPr>
              <w:pStyle w:val="ENoteTableText"/>
            </w:pPr>
            <w:r w:rsidRPr="00654F44">
              <w:t>60, 1996</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1"/>
                <w:attr w:name="Day" w:val="25"/>
                <w:attr w:name="Year" w:val="1996"/>
              </w:smartTagPr>
              <w:r w:rsidRPr="00654F44">
                <w:t>25 Nov 1996</w:t>
              </w:r>
            </w:smartTag>
          </w:p>
        </w:tc>
        <w:tc>
          <w:tcPr>
            <w:tcW w:w="1845" w:type="dxa"/>
            <w:shd w:val="clear" w:color="auto" w:fill="auto"/>
          </w:tcPr>
          <w:p w:rsidR="00BF69CF" w:rsidRPr="00654F44" w:rsidRDefault="00BF69CF" w:rsidP="00BF69CF">
            <w:pPr>
              <w:pStyle w:val="ENoteTableText"/>
            </w:pPr>
            <w:r w:rsidRPr="00654F44">
              <w:t>Schedule</w:t>
            </w:r>
            <w:r w:rsidR="00654F44">
              <w:t> </w:t>
            </w:r>
            <w:r w:rsidRPr="00654F44">
              <w:t>16 (item</w:t>
            </w:r>
            <w:r w:rsidR="00654F44">
              <w:t> </w:t>
            </w:r>
            <w:r w:rsidRPr="00654F44">
              <w:t>29): 25</w:t>
            </w:r>
            <w:r w:rsidR="00654F44">
              <w:t> </w:t>
            </w:r>
            <w:r w:rsidRPr="00654F44">
              <w:t xml:space="preserve">May 1997 </w:t>
            </w:r>
            <w:r w:rsidRPr="00654F44">
              <w:rPr>
                <w:i/>
              </w:rPr>
              <w:t>(d)</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Financial Sector Reform (Amendments and Transitional Provisions) Act (No.</w:t>
            </w:r>
            <w:r w:rsidR="00654F44">
              <w:t> </w:t>
            </w:r>
            <w:r w:rsidRPr="00654F44">
              <w:t>1) 1999</w:t>
            </w:r>
          </w:p>
        </w:tc>
        <w:tc>
          <w:tcPr>
            <w:tcW w:w="992" w:type="dxa"/>
            <w:shd w:val="clear" w:color="auto" w:fill="auto"/>
          </w:tcPr>
          <w:p w:rsidR="00BF69CF" w:rsidRPr="00654F44" w:rsidRDefault="00BF69CF" w:rsidP="00BF69CF">
            <w:pPr>
              <w:pStyle w:val="ENoteTableText"/>
            </w:pPr>
            <w:r w:rsidRPr="00654F44">
              <w:t>44, 1999</w:t>
            </w:r>
          </w:p>
        </w:tc>
        <w:tc>
          <w:tcPr>
            <w:tcW w:w="993" w:type="dxa"/>
            <w:shd w:val="clear" w:color="auto" w:fill="auto"/>
          </w:tcPr>
          <w:p w:rsidR="00BF69CF" w:rsidRPr="00654F44" w:rsidRDefault="00BF69CF" w:rsidP="00BF69CF">
            <w:pPr>
              <w:pStyle w:val="ENoteTableText"/>
            </w:pPr>
            <w:r w:rsidRPr="00654F44">
              <w:t>17</w:t>
            </w:r>
            <w:r w:rsidR="00654F44">
              <w:t> </w:t>
            </w:r>
            <w:r w:rsidRPr="00654F44">
              <w:t>June 1999</w:t>
            </w:r>
          </w:p>
        </w:tc>
        <w:tc>
          <w:tcPr>
            <w:tcW w:w="1845" w:type="dxa"/>
            <w:shd w:val="clear" w:color="auto" w:fill="auto"/>
          </w:tcPr>
          <w:p w:rsidR="00BF69CF" w:rsidRPr="00654F44" w:rsidRDefault="00BF69CF" w:rsidP="00BF69CF">
            <w:pPr>
              <w:pStyle w:val="ENoteTableText"/>
              <w:rPr>
                <w:i/>
              </w:rPr>
            </w:pPr>
            <w:r w:rsidRPr="00654F44">
              <w:t>Schedule</w:t>
            </w:r>
            <w:r w:rsidR="00654F44">
              <w:t> </w:t>
            </w:r>
            <w:r w:rsidRPr="00654F44">
              <w:t>6 (items</w:t>
            </w:r>
            <w:r w:rsidR="00654F44">
              <w:t> </w:t>
            </w:r>
            <w:r w:rsidRPr="00654F44">
              <w:t>21–24) and Schedule</w:t>
            </w:r>
            <w:r w:rsidR="00654F44">
              <w:t> </w:t>
            </w:r>
            <w:r w:rsidRPr="00654F44">
              <w:t>8 (item</w:t>
            </w:r>
            <w:r w:rsidR="00654F44">
              <w:t> </w:t>
            </w:r>
            <w:r w:rsidRPr="00654F44">
              <w:t xml:space="preserve">21): Royal Assent </w:t>
            </w:r>
            <w:r w:rsidRPr="00654F44">
              <w:rPr>
                <w:i/>
              </w:rPr>
              <w:t>(e)</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Law and Justice Legislation Amendment Act 1999</w:t>
            </w:r>
          </w:p>
        </w:tc>
        <w:tc>
          <w:tcPr>
            <w:tcW w:w="992" w:type="dxa"/>
            <w:shd w:val="clear" w:color="auto" w:fill="auto"/>
          </w:tcPr>
          <w:p w:rsidR="00BF69CF" w:rsidRPr="00654F44" w:rsidRDefault="00BF69CF" w:rsidP="00BF69CF">
            <w:pPr>
              <w:pStyle w:val="ENoteTableText"/>
            </w:pPr>
            <w:r w:rsidRPr="00654F44">
              <w:t>125, 1999</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0"/>
                <w:attr w:name="Day" w:val="13"/>
                <w:attr w:name="Year" w:val="1999"/>
              </w:smartTagPr>
              <w:r w:rsidRPr="00654F44">
                <w:t>13 Oct 1999</w:t>
              </w:r>
            </w:smartTag>
          </w:p>
        </w:tc>
        <w:tc>
          <w:tcPr>
            <w:tcW w:w="1845" w:type="dxa"/>
            <w:shd w:val="clear" w:color="auto" w:fill="auto"/>
          </w:tcPr>
          <w:p w:rsidR="00BF69CF" w:rsidRPr="00654F44" w:rsidRDefault="00BF69CF" w:rsidP="008108FC">
            <w:pPr>
              <w:pStyle w:val="ENoteTableText"/>
              <w:rPr>
                <w:i/>
              </w:rPr>
            </w:pPr>
            <w:r w:rsidRPr="00654F44">
              <w:t>Schedule</w:t>
            </w:r>
            <w:r w:rsidR="00654F44">
              <w:t> </w:t>
            </w:r>
            <w:r w:rsidRPr="00654F44">
              <w:t>8:</w:t>
            </w:r>
            <w:r w:rsidR="008108FC" w:rsidRPr="00654F44">
              <w:t xml:space="preserve"> </w:t>
            </w:r>
            <w:r w:rsidRPr="00654F44">
              <w:t xml:space="preserve">Royal Assent </w:t>
            </w:r>
            <w:r w:rsidRPr="00654F44">
              <w:rPr>
                <w:i/>
              </w:rPr>
              <w:t>(f)</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Public Employment (Consequential and Transitional) Amendment Act 1999</w:t>
            </w:r>
          </w:p>
        </w:tc>
        <w:tc>
          <w:tcPr>
            <w:tcW w:w="992" w:type="dxa"/>
            <w:shd w:val="clear" w:color="auto" w:fill="auto"/>
          </w:tcPr>
          <w:p w:rsidR="00BF69CF" w:rsidRPr="00654F44" w:rsidRDefault="00BF69CF" w:rsidP="00BF69CF">
            <w:pPr>
              <w:pStyle w:val="ENoteTableText"/>
            </w:pPr>
            <w:r w:rsidRPr="00654F44">
              <w:t>146, 1999</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1"/>
                <w:attr w:name="Day" w:val="11"/>
                <w:attr w:name="Year" w:val="1999"/>
              </w:smartTagPr>
              <w:r w:rsidRPr="00654F44">
                <w:t>11 Nov 1999</w:t>
              </w:r>
            </w:smartTag>
          </w:p>
        </w:tc>
        <w:tc>
          <w:tcPr>
            <w:tcW w:w="1845" w:type="dxa"/>
            <w:shd w:val="clear" w:color="auto" w:fill="auto"/>
          </w:tcPr>
          <w:p w:rsidR="00BF69CF" w:rsidRPr="00654F44" w:rsidRDefault="00BF69CF" w:rsidP="00BF69CF">
            <w:pPr>
              <w:pStyle w:val="ENoteTableText"/>
            </w:pPr>
            <w:r w:rsidRPr="00654F44">
              <w:t>Schedule</w:t>
            </w:r>
            <w:r w:rsidR="00654F44">
              <w:t> </w:t>
            </w:r>
            <w:r w:rsidRPr="00654F44">
              <w:t>1 (items</w:t>
            </w:r>
            <w:r w:rsidR="00654F44">
              <w:t> </w:t>
            </w:r>
            <w:r w:rsidRPr="00654F44">
              <w:t xml:space="preserve">511–514): </w:t>
            </w:r>
            <w:smartTag w:uri="urn:schemas-microsoft-com:office:smarttags" w:element="date">
              <w:smartTagPr>
                <w:attr w:name="Month" w:val="12"/>
                <w:attr w:name="Day" w:val="5"/>
                <w:attr w:name="Year" w:val="1999"/>
              </w:smartTagPr>
              <w:r w:rsidRPr="00654F44">
                <w:t>5 Dec 1999</w:t>
              </w:r>
            </w:smartTag>
            <w:r w:rsidRPr="00654F44">
              <w:t xml:space="preserve"> (</w:t>
            </w:r>
            <w:r w:rsidRPr="00654F44">
              <w:rPr>
                <w:i/>
              </w:rPr>
              <w:t xml:space="preserve">see Gazette </w:t>
            </w:r>
            <w:r w:rsidRPr="00654F44">
              <w:t xml:space="preserve">1999, No. S584) </w:t>
            </w:r>
            <w:r w:rsidRPr="00654F44">
              <w:rPr>
                <w:i/>
              </w:rPr>
              <w:t xml:space="preserve">(g) </w:t>
            </w:r>
          </w:p>
        </w:tc>
        <w:tc>
          <w:tcPr>
            <w:tcW w:w="1417" w:type="dxa"/>
            <w:shd w:val="clear" w:color="auto" w:fill="auto"/>
          </w:tcPr>
          <w:p w:rsidR="00BF69CF" w:rsidRPr="00654F44" w:rsidRDefault="00BF69CF" w:rsidP="00BF69CF">
            <w:pPr>
              <w:pStyle w:val="ENoteTableText"/>
            </w:pPr>
            <w:r w:rsidRPr="00654F44">
              <w:t>—</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t>Law and Justice Legislation Amendment (Application of Criminal Code) Act 2001</w:t>
            </w:r>
          </w:p>
        </w:tc>
        <w:tc>
          <w:tcPr>
            <w:tcW w:w="992" w:type="dxa"/>
            <w:shd w:val="clear" w:color="auto" w:fill="auto"/>
          </w:tcPr>
          <w:p w:rsidR="00BF69CF" w:rsidRPr="00654F44" w:rsidRDefault="00BF69CF" w:rsidP="00BF69CF">
            <w:pPr>
              <w:pStyle w:val="ENoteTableText"/>
            </w:pPr>
            <w:r w:rsidRPr="00654F44">
              <w:t>24, 2001</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4"/>
                <w:attr w:name="Day" w:val="6"/>
                <w:attr w:name="Year" w:val="2001"/>
              </w:smartTagPr>
              <w:r w:rsidRPr="00654F44">
                <w:t>6 Apr 2001</w:t>
              </w:r>
            </w:smartTag>
          </w:p>
        </w:tc>
        <w:tc>
          <w:tcPr>
            <w:tcW w:w="1845" w:type="dxa"/>
            <w:shd w:val="clear" w:color="auto" w:fill="auto"/>
          </w:tcPr>
          <w:p w:rsidR="00BF69CF" w:rsidRPr="00654F44" w:rsidRDefault="00E12D7E" w:rsidP="00BF69CF">
            <w:pPr>
              <w:pStyle w:val="ENoteTableText"/>
            </w:pPr>
            <w:r w:rsidRPr="00654F44">
              <w:t>s.</w:t>
            </w:r>
            <w:r w:rsidR="00BF69CF" w:rsidRPr="00654F44">
              <w:t xml:space="preserve"> 4(1), (2) and Schedule</w:t>
            </w:r>
            <w:r w:rsidR="00654F44">
              <w:t> </w:t>
            </w:r>
            <w:r w:rsidR="00BF69CF" w:rsidRPr="00654F44">
              <w:t xml:space="preserve">31: </w:t>
            </w:r>
            <w:r w:rsidR="00BF69CF" w:rsidRPr="00654F44">
              <w:rPr>
                <w:i/>
              </w:rPr>
              <w:t>(h)</w:t>
            </w:r>
          </w:p>
        </w:tc>
        <w:tc>
          <w:tcPr>
            <w:tcW w:w="1417" w:type="dxa"/>
            <w:shd w:val="clear" w:color="auto" w:fill="auto"/>
          </w:tcPr>
          <w:p w:rsidR="00BF69CF" w:rsidRPr="00654F44" w:rsidRDefault="00E12D7E" w:rsidP="008108FC">
            <w:pPr>
              <w:pStyle w:val="ENoteTableText"/>
            </w:pPr>
            <w:r w:rsidRPr="00654F44">
              <w:t>s.</w:t>
            </w:r>
            <w:r w:rsidR="00BF69CF" w:rsidRPr="00654F44">
              <w:t xml:space="preserve"> 4(1) and (2)</w:t>
            </w:r>
          </w:p>
        </w:tc>
      </w:tr>
      <w:tr w:rsidR="00BF69CF" w:rsidRPr="00654F44" w:rsidTr="00BF69CF">
        <w:trPr>
          <w:cantSplit/>
        </w:trPr>
        <w:tc>
          <w:tcPr>
            <w:tcW w:w="1838" w:type="dxa"/>
            <w:shd w:val="clear" w:color="auto" w:fill="auto"/>
          </w:tcPr>
          <w:p w:rsidR="00BF69CF" w:rsidRPr="00654F44" w:rsidRDefault="00BF69CF" w:rsidP="00BF69CF">
            <w:pPr>
              <w:pStyle w:val="ENoteTableText"/>
            </w:pPr>
            <w:r w:rsidRPr="00654F44">
              <w:lastRenderedPageBreak/>
              <w:t>Abolition of Compulsory Age Retirement (Statutory Officeholders) Act 2001</w:t>
            </w:r>
          </w:p>
        </w:tc>
        <w:tc>
          <w:tcPr>
            <w:tcW w:w="992" w:type="dxa"/>
            <w:shd w:val="clear" w:color="auto" w:fill="auto"/>
          </w:tcPr>
          <w:p w:rsidR="00BF69CF" w:rsidRPr="00654F44" w:rsidRDefault="00BF69CF" w:rsidP="00BF69CF">
            <w:pPr>
              <w:pStyle w:val="ENoteTableText"/>
            </w:pPr>
            <w:r w:rsidRPr="00654F44">
              <w:t>159, 2001</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10"/>
                <w:attr w:name="Day" w:val="1"/>
                <w:attr w:name="Year" w:val="2001"/>
              </w:smartTagPr>
              <w:r w:rsidRPr="00654F44">
                <w:t>1 Oct 2001</w:t>
              </w:r>
            </w:smartTag>
          </w:p>
        </w:tc>
        <w:tc>
          <w:tcPr>
            <w:tcW w:w="1845" w:type="dxa"/>
            <w:shd w:val="clear" w:color="auto" w:fill="auto"/>
          </w:tcPr>
          <w:p w:rsidR="00BF69CF" w:rsidRPr="00654F44" w:rsidRDefault="00BF69CF" w:rsidP="00BF69CF">
            <w:pPr>
              <w:pStyle w:val="ENoteTableText"/>
            </w:pPr>
            <w:smartTag w:uri="urn:schemas-microsoft-com:office:smarttags" w:element="date">
              <w:smartTagPr>
                <w:attr w:name="Month" w:val="10"/>
                <w:attr w:name="Day" w:val="29"/>
                <w:attr w:name="Year" w:val="2001"/>
              </w:smartTagPr>
              <w:r w:rsidRPr="00654F44">
                <w:t>29 Oct 2001</w:t>
              </w:r>
            </w:smartTag>
          </w:p>
        </w:tc>
        <w:tc>
          <w:tcPr>
            <w:tcW w:w="1417" w:type="dxa"/>
            <w:shd w:val="clear" w:color="auto" w:fill="auto"/>
          </w:tcPr>
          <w:p w:rsidR="00BF69CF" w:rsidRPr="00654F44" w:rsidRDefault="00BF69CF" w:rsidP="008108FC">
            <w:pPr>
              <w:pStyle w:val="ENoteTableText"/>
            </w:pPr>
            <w:r w:rsidRPr="00654F44">
              <w:t>Sch. 1 (item</w:t>
            </w:r>
            <w:r w:rsidR="00654F44">
              <w:t> </w:t>
            </w:r>
            <w:r w:rsidRPr="00654F44">
              <w:t>97)</w:t>
            </w:r>
          </w:p>
        </w:tc>
      </w:tr>
      <w:tr w:rsidR="00BF69CF" w:rsidRPr="00654F44" w:rsidTr="003F5F97">
        <w:trPr>
          <w:cantSplit/>
        </w:trPr>
        <w:tc>
          <w:tcPr>
            <w:tcW w:w="1838" w:type="dxa"/>
            <w:shd w:val="clear" w:color="auto" w:fill="auto"/>
          </w:tcPr>
          <w:p w:rsidR="00BF69CF" w:rsidRPr="00654F44" w:rsidRDefault="00BF69CF" w:rsidP="00BF69CF">
            <w:pPr>
              <w:pStyle w:val="ENoteTableText"/>
            </w:pPr>
            <w:r w:rsidRPr="00654F44">
              <w:t>Financial Framework Legislation Amendment Act 2005</w:t>
            </w:r>
          </w:p>
        </w:tc>
        <w:tc>
          <w:tcPr>
            <w:tcW w:w="992" w:type="dxa"/>
            <w:shd w:val="clear" w:color="auto" w:fill="auto"/>
          </w:tcPr>
          <w:p w:rsidR="00BF69CF" w:rsidRPr="00654F44" w:rsidRDefault="00BF69CF" w:rsidP="00BF69CF">
            <w:pPr>
              <w:pStyle w:val="ENoteTableText"/>
            </w:pPr>
            <w:r w:rsidRPr="00654F44">
              <w:t>8, 2005</w:t>
            </w:r>
          </w:p>
        </w:tc>
        <w:tc>
          <w:tcPr>
            <w:tcW w:w="993" w:type="dxa"/>
            <w:shd w:val="clear" w:color="auto" w:fill="auto"/>
          </w:tcPr>
          <w:p w:rsidR="00BF69CF" w:rsidRPr="00654F44" w:rsidRDefault="00BF69CF" w:rsidP="00BF69CF">
            <w:pPr>
              <w:pStyle w:val="ENoteTableText"/>
            </w:pPr>
            <w:smartTag w:uri="urn:schemas-microsoft-com:office:smarttags" w:element="date">
              <w:smartTagPr>
                <w:attr w:name="Month" w:val="2"/>
                <w:attr w:name="Day" w:val="22"/>
                <w:attr w:name="Year" w:val="2005"/>
              </w:smartTagPr>
              <w:r w:rsidRPr="00654F44">
                <w:t>22 Feb 2005</w:t>
              </w:r>
            </w:smartTag>
          </w:p>
        </w:tc>
        <w:tc>
          <w:tcPr>
            <w:tcW w:w="1845" w:type="dxa"/>
            <w:shd w:val="clear" w:color="auto" w:fill="auto"/>
          </w:tcPr>
          <w:p w:rsidR="00BF69CF" w:rsidRPr="00654F44" w:rsidRDefault="00BF69CF" w:rsidP="00BF69CF">
            <w:pPr>
              <w:pStyle w:val="ENoteTableText"/>
            </w:pPr>
            <w:r w:rsidRPr="00654F44">
              <w:t>Schedule</w:t>
            </w:r>
            <w:r w:rsidR="00654F44">
              <w:t> </w:t>
            </w:r>
            <w:r w:rsidRPr="00654F44">
              <w:t>2 (items</w:t>
            </w:r>
            <w:r w:rsidR="00654F44">
              <w:t> </w:t>
            </w:r>
            <w:r w:rsidRPr="00654F44">
              <w:t>125–129, 174): Royal Assent</w:t>
            </w:r>
          </w:p>
        </w:tc>
        <w:tc>
          <w:tcPr>
            <w:tcW w:w="1417" w:type="dxa"/>
            <w:shd w:val="clear" w:color="auto" w:fill="auto"/>
          </w:tcPr>
          <w:p w:rsidR="00BF69CF" w:rsidRPr="00654F44" w:rsidRDefault="00BF69CF" w:rsidP="008108FC">
            <w:pPr>
              <w:pStyle w:val="ENoteTableText"/>
            </w:pPr>
            <w:r w:rsidRPr="00654F44">
              <w:t>Sch. 2 (item</w:t>
            </w:r>
            <w:r w:rsidR="00654F44">
              <w:t> </w:t>
            </w:r>
            <w:r w:rsidRPr="00654F44">
              <w:t>174)</w:t>
            </w:r>
          </w:p>
        </w:tc>
      </w:tr>
      <w:tr w:rsidR="0052596E" w:rsidRPr="00654F44" w:rsidTr="00E73430">
        <w:trPr>
          <w:cantSplit/>
        </w:trPr>
        <w:tc>
          <w:tcPr>
            <w:tcW w:w="1838" w:type="dxa"/>
            <w:tcBorders>
              <w:bottom w:val="single" w:sz="12" w:space="0" w:color="auto"/>
            </w:tcBorders>
            <w:shd w:val="clear" w:color="auto" w:fill="auto"/>
          </w:tcPr>
          <w:p w:rsidR="0052596E" w:rsidRPr="00654F44" w:rsidRDefault="0052596E" w:rsidP="00BF69CF">
            <w:pPr>
              <w:pStyle w:val="ENoteTableText"/>
            </w:pPr>
            <w:r w:rsidRPr="00654F44">
              <w:t>Public Governance, Performance and Accountability (Consequential and Transitional Provisions) Act 2014</w:t>
            </w:r>
          </w:p>
        </w:tc>
        <w:tc>
          <w:tcPr>
            <w:tcW w:w="992" w:type="dxa"/>
            <w:tcBorders>
              <w:bottom w:val="single" w:sz="12" w:space="0" w:color="auto"/>
            </w:tcBorders>
            <w:shd w:val="clear" w:color="auto" w:fill="auto"/>
          </w:tcPr>
          <w:p w:rsidR="0052596E" w:rsidRPr="00654F44" w:rsidRDefault="0052596E" w:rsidP="00BF69CF">
            <w:pPr>
              <w:pStyle w:val="ENoteTableText"/>
            </w:pPr>
            <w:r w:rsidRPr="00654F44">
              <w:t>62, 2014</w:t>
            </w:r>
          </w:p>
        </w:tc>
        <w:tc>
          <w:tcPr>
            <w:tcW w:w="993" w:type="dxa"/>
            <w:tcBorders>
              <w:bottom w:val="single" w:sz="12" w:space="0" w:color="auto"/>
            </w:tcBorders>
            <w:shd w:val="clear" w:color="auto" w:fill="auto"/>
          </w:tcPr>
          <w:p w:rsidR="0052596E" w:rsidRPr="00654F44" w:rsidRDefault="0052596E" w:rsidP="00BF69CF">
            <w:pPr>
              <w:pStyle w:val="ENoteTableText"/>
            </w:pPr>
            <w:r w:rsidRPr="00654F44">
              <w:t>30</w:t>
            </w:r>
            <w:r w:rsidR="00654F44">
              <w:t> </w:t>
            </w:r>
            <w:r w:rsidRPr="00654F44">
              <w:t>June 2014</w:t>
            </w:r>
          </w:p>
        </w:tc>
        <w:tc>
          <w:tcPr>
            <w:tcW w:w="1845" w:type="dxa"/>
            <w:tcBorders>
              <w:bottom w:val="single" w:sz="12" w:space="0" w:color="auto"/>
            </w:tcBorders>
            <w:shd w:val="clear" w:color="auto" w:fill="auto"/>
          </w:tcPr>
          <w:p w:rsidR="0052596E" w:rsidRPr="00654F44" w:rsidRDefault="0052596E" w:rsidP="00BF69CF">
            <w:pPr>
              <w:pStyle w:val="ENoteTableText"/>
              <w:rPr>
                <w:i/>
              </w:rPr>
            </w:pPr>
            <w:r w:rsidRPr="00654F44">
              <w:t>Sch 9 (items</w:t>
            </w:r>
            <w:r w:rsidR="00654F44">
              <w:t> </w:t>
            </w:r>
            <w:r w:rsidRPr="00654F44">
              <w:t>159, 160):</w:t>
            </w:r>
            <w:r w:rsidR="00DD36AD" w:rsidRPr="00654F44">
              <w:t xml:space="preserve"> </w:t>
            </w:r>
            <w:r w:rsidR="00DD36AD" w:rsidRPr="00654F44">
              <w:rPr>
                <w:i/>
              </w:rPr>
              <w:t>(i)</w:t>
            </w:r>
          </w:p>
        </w:tc>
        <w:tc>
          <w:tcPr>
            <w:tcW w:w="1417" w:type="dxa"/>
            <w:tcBorders>
              <w:bottom w:val="single" w:sz="12" w:space="0" w:color="auto"/>
            </w:tcBorders>
            <w:shd w:val="clear" w:color="auto" w:fill="auto"/>
          </w:tcPr>
          <w:p w:rsidR="0052596E" w:rsidRPr="00654F44" w:rsidRDefault="0052596E" w:rsidP="008108FC">
            <w:pPr>
              <w:pStyle w:val="ENoteTableText"/>
            </w:pPr>
            <w:r w:rsidRPr="00654F44">
              <w:t>—</w:t>
            </w:r>
          </w:p>
        </w:tc>
      </w:tr>
    </w:tbl>
    <w:p w:rsidR="00BF69CF" w:rsidRPr="00654F44" w:rsidRDefault="00BF69CF" w:rsidP="00E73430">
      <w:pPr>
        <w:pStyle w:val="Tabletext"/>
      </w:pPr>
    </w:p>
    <w:p w:rsidR="00910679" w:rsidRPr="00654F44" w:rsidRDefault="00910679" w:rsidP="00BF69CF">
      <w:pPr>
        <w:pStyle w:val="EndNotespara"/>
      </w:pPr>
      <w:r w:rsidRPr="00654F44">
        <w:rPr>
          <w:i/>
        </w:rPr>
        <w:t>(a)</w:t>
      </w:r>
      <w:r w:rsidRPr="00654F44">
        <w:tab/>
        <w:t xml:space="preserve">The </w:t>
      </w:r>
      <w:r w:rsidRPr="00654F44">
        <w:rPr>
          <w:i/>
        </w:rPr>
        <w:t xml:space="preserve">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 </w:t>
      </w:r>
      <w:r w:rsidRPr="00654F44">
        <w:t>was amended by section</w:t>
      </w:r>
      <w:r w:rsidR="00654F44">
        <w:t> </w:t>
      </w:r>
      <w:r w:rsidRPr="00654F44">
        <w:t xml:space="preserve">151(1) only of the </w:t>
      </w:r>
      <w:r w:rsidRPr="00654F44">
        <w:rPr>
          <w:i/>
        </w:rPr>
        <w:t>Public Service Reform Act 1984</w:t>
      </w:r>
      <w:r w:rsidRPr="00654F44">
        <w:t>, subsection</w:t>
      </w:r>
      <w:r w:rsidR="00654F44">
        <w:t> </w:t>
      </w:r>
      <w:r w:rsidRPr="00654F44">
        <w:t>2(4) of which provides as follows:</w:t>
      </w:r>
    </w:p>
    <w:p w:rsidR="00910679" w:rsidRPr="00654F44" w:rsidRDefault="00910679" w:rsidP="00BF69CF">
      <w:pPr>
        <w:pStyle w:val="EndNotessubpara"/>
      </w:pPr>
      <w:r w:rsidRPr="00654F44">
        <w:tab/>
        <w:t>(4)</w:t>
      </w:r>
      <w:r w:rsidRPr="00654F44">
        <w:tab/>
        <w:t>The remaining provisions of this Act shall come into operation on such day as is, or on such respective days as are, fixed by Proclamation.</w:t>
      </w:r>
    </w:p>
    <w:p w:rsidR="00910679" w:rsidRPr="00654F44" w:rsidRDefault="00910679" w:rsidP="00BF69CF">
      <w:pPr>
        <w:pStyle w:val="EndNotespara"/>
      </w:pPr>
      <w:r w:rsidRPr="00654F44">
        <w:rPr>
          <w:i/>
        </w:rPr>
        <w:t>(b)</w:t>
      </w:r>
      <w:r w:rsidRPr="00654F44">
        <w:tab/>
        <w:t xml:space="preserve">The </w:t>
      </w:r>
      <w:r w:rsidRPr="00654F44">
        <w:rPr>
          <w:i/>
        </w:rPr>
        <w:t xml:space="preserve">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 </w:t>
      </w:r>
      <w:r w:rsidRPr="00654F44">
        <w:t>was amended by section</w:t>
      </w:r>
      <w:r w:rsidR="00654F44">
        <w:t> </w:t>
      </w:r>
      <w:r w:rsidRPr="00654F44">
        <w:t xml:space="preserve">3 only of the </w:t>
      </w:r>
      <w:r w:rsidRPr="00654F44">
        <w:rPr>
          <w:i/>
        </w:rPr>
        <w:t>Statute Law (Miscellaneous Provisions) Act (No.1) 1985</w:t>
      </w:r>
      <w:r w:rsidRPr="00654F44">
        <w:t>, subsection</w:t>
      </w:r>
      <w:r w:rsidR="00654F44">
        <w:t> </w:t>
      </w:r>
      <w:r w:rsidRPr="00654F44">
        <w:t>2(1) of which provides as follows:</w:t>
      </w:r>
    </w:p>
    <w:p w:rsidR="00910679" w:rsidRPr="00654F44" w:rsidRDefault="00910679" w:rsidP="00BF69CF">
      <w:pPr>
        <w:pStyle w:val="EndNotessubpara"/>
      </w:pPr>
      <w:r w:rsidRPr="00654F44">
        <w:tab/>
        <w:t>(1)</w:t>
      </w:r>
      <w:r w:rsidRPr="00654F44">
        <w:tab/>
        <w:t>Subject to this section, this Act shall come into operation on the twenty</w:t>
      </w:r>
      <w:r w:rsidR="00654F44">
        <w:noBreakHyphen/>
      </w:r>
      <w:r w:rsidRPr="00654F44">
        <w:t>eighth day after the day on which it receives the Royal Assent.</w:t>
      </w:r>
    </w:p>
    <w:p w:rsidR="00910679" w:rsidRPr="00654F44" w:rsidRDefault="00910679" w:rsidP="00BF69CF">
      <w:pPr>
        <w:pStyle w:val="EndNotespara"/>
      </w:pPr>
      <w:r w:rsidRPr="00654F44">
        <w:rPr>
          <w:i/>
        </w:rPr>
        <w:t>(c)</w:t>
      </w:r>
      <w:r w:rsidRPr="00654F44">
        <w:tab/>
        <w:t xml:space="preserve">The </w:t>
      </w:r>
      <w:r w:rsidRPr="00654F44">
        <w:rPr>
          <w:i/>
        </w:rPr>
        <w:t xml:space="preserve">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 </w:t>
      </w:r>
      <w:r w:rsidRPr="00654F44">
        <w:t>was amended by Schedule</w:t>
      </w:r>
      <w:r w:rsidR="00654F44">
        <w:t> </w:t>
      </w:r>
      <w:r w:rsidRPr="00654F44">
        <w:t>4 (items</w:t>
      </w:r>
      <w:r w:rsidR="00654F44">
        <w:t> </w:t>
      </w:r>
      <w:r w:rsidRPr="00654F44">
        <w:t>87, 88) and Schedule</w:t>
      </w:r>
      <w:r w:rsidR="00654F44">
        <w:t> </w:t>
      </w:r>
      <w:r w:rsidRPr="00654F44">
        <w:t>5 (items</w:t>
      </w:r>
      <w:r w:rsidR="00654F44">
        <w:t> </w:t>
      </w:r>
      <w:r w:rsidRPr="00654F44">
        <w:t>72</w:t>
      </w:r>
      <w:r w:rsidR="00104E03" w:rsidRPr="00654F44">
        <w:t>–</w:t>
      </w:r>
      <w:r w:rsidRPr="00654F44">
        <w:t xml:space="preserve">74) only of the </w:t>
      </w:r>
      <w:r w:rsidRPr="00654F44">
        <w:rPr>
          <w:i/>
        </w:rPr>
        <w:t>Statute Law Revision Act 1996</w:t>
      </w:r>
      <w:r w:rsidR="004B3456" w:rsidRPr="00654F44">
        <w:t>, subsection</w:t>
      </w:r>
      <w:r w:rsidR="00654F44">
        <w:t> </w:t>
      </w:r>
      <w:r w:rsidR="004B3456" w:rsidRPr="00654F44">
        <w:t xml:space="preserve">2(1) of which </w:t>
      </w:r>
      <w:r w:rsidRPr="00654F44">
        <w:t>provides as follows:</w:t>
      </w:r>
    </w:p>
    <w:p w:rsidR="00910679" w:rsidRPr="00654F44" w:rsidRDefault="00910679" w:rsidP="00BF69CF">
      <w:pPr>
        <w:pStyle w:val="EndNotessubpara"/>
      </w:pPr>
      <w:r w:rsidRPr="00654F44">
        <w:tab/>
        <w:t>(1)</w:t>
      </w:r>
      <w:r w:rsidRPr="00654F44">
        <w:tab/>
        <w:t xml:space="preserve">Subject to </w:t>
      </w:r>
      <w:r w:rsidR="00654F44">
        <w:t>subsections (</w:t>
      </w:r>
      <w:r w:rsidRPr="00654F44">
        <w:t>2) and (3), this Act commences on the day on which it receives the Royal Assent.</w:t>
      </w:r>
    </w:p>
    <w:p w:rsidR="00910679" w:rsidRPr="00654F44" w:rsidRDefault="00910679" w:rsidP="00BF69CF">
      <w:pPr>
        <w:pStyle w:val="EndNotespara"/>
      </w:pPr>
      <w:r w:rsidRPr="00654F44">
        <w:rPr>
          <w:i/>
        </w:rPr>
        <w:t>(d)</w:t>
      </w:r>
      <w:r w:rsidRPr="00654F44">
        <w:tab/>
        <w:t xml:space="preserve">The </w:t>
      </w:r>
      <w:r w:rsidRPr="00654F44">
        <w:rPr>
          <w:i/>
        </w:rPr>
        <w:t xml:space="preserve">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 </w:t>
      </w:r>
      <w:r w:rsidRPr="00654F44">
        <w:t>was amended by Schedule</w:t>
      </w:r>
      <w:r w:rsidR="00654F44">
        <w:t> </w:t>
      </w:r>
      <w:r w:rsidRPr="00654F44">
        <w:t>16 (item</w:t>
      </w:r>
      <w:r w:rsidR="00654F44">
        <w:t> </w:t>
      </w:r>
      <w:r w:rsidRPr="00654F44">
        <w:t xml:space="preserve">29) only of the </w:t>
      </w:r>
      <w:r w:rsidRPr="00654F44">
        <w:rPr>
          <w:i/>
        </w:rPr>
        <w:t>Workplace Relations and Other Legislation Amendment Act 1996</w:t>
      </w:r>
      <w:r w:rsidRPr="00654F44">
        <w:t>, subsections</w:t>
      </w:r>
      <w:r w:rsidR="00654F44">
        <w:t> </w:t>
      </w:r>
      <w:r w:rsidRPr="00654F44">
        <w:t xml:space="preserve">2(2) and (3) </w:t>
      </w:r>
      <w:r w:rsidR="004B3456" w:rsidRPr="00654F44">
        <w:t xml:space="preserve">of which </w:t>
      </w:r>
      <w:r w:rsidRPr="00654F44">
        <w:t>provide as follows:</w:t>
      </w:r>
    </w:p>
    <w:p w:rsidR="00910679" w:rsidRPr="00654F44" w:rsidRDefault="00910679" w:rsidP="00BF69CF">
      <w:pPr>
        <w:pStyle w:val="EndNotessubpara"/>
      </w:pPr>
      <w:r w:rsidRPr="00654F44">
        <w:tab/>
        <w:t>(2)</w:t>
      </w:r>
      <w:r w:rsidRPr="00654F44">
        <w:tab/>
        <w:t xml:space="preserve">Subject to </w:t>
      </w:r>
      <w:r w:rsidR="00654F44">
        <w:t>subsection (</w:t>
      </w:r>
      <w:r w:rsidRPr="00654F44">
        <w:t>3), the items of the Schedules, other than Schedule</w:t>
      </w:r>
      <w:r w:rsidR="00654F44">
        <w:t> </w:t>
      </w:r>
      <w:r w:rsidRPr="00654F44">
        <w:t>5, item</w:t>
      </w:r>
      <w:r w:rsidR="00654F44">
        <w:t> </w:t>
      </w:r>
      <w:r w:rsidRPr="00654F44">
        <w:t>1 of Schedule</w:t>
      </w:r>
      <w:r w:rsidR="00654F44">
        <w:t> </w:t>
      </w:r>
      <w:r w:rsidRPr="00654F44">
        <w:t>9. Items</w:t>
      </w:r>
      <w:r w:rsidR="00654F44">
        <w:t> </w:t>
      </w:r>
      <w:r w:rsidRPr="00654F44">
        <w:t>2 and 3 of Schedule</w:t>
      </w:r>
      <w:r w:rsidR="00654F44">
        <w:t> </w:t>
      </w:r>
      <w:r w:rsidRPr="00654F44">
        <w:t>12, item</w:t>
      </w:r>
      <w:r w:rsidR="00654F44">
        <w:t> </w:t>
      </w:r>
      <w:r w:rsidRPr="00654F44">
        <w:t xml:space="preserve">90 </w:t>
      </w:r>
      <w:r w:rsidRPr="00654F44">
        <w:lastRenderedPageBreak/>
        <w:t>of Schedule</w:t>
      </w:r>
      <w:r w:rsidR="00654F44">
        <w:t> </w:t>
      </w:r>
      <w:r w:rsidRPr="00654F44">
        <w:t>16 and the items of Schedule</w:t>
      </w:r>
      <w:r w:rsidR="00654F44">
        <w:t> </w:t>
      </w:r>
      <w:r w:rsidRPr="00654F44">
        <w:t>19, commence on the day or days to be fixed by Proclamation.</w:t>
      </w:r>
    </w:p>
    <w:p w:rsidR="00910679" w:rsidRPr="00654F44" w:rsidRDefault="00910679" w:rsidP="00BF69CF">
      <w:pPr>
        <w:pStyle w:val="EndNotessubpara"/>
      </w:pPr>
      <w:r w:rsidRPr="00654F44">
        <w:tab/>
        <w:t>(3)</w:t>
      </w:r>
      <w:r w:rsidRPr="00654F44">
        <w:tab/>
        <w:t xml:space="preserve">If an item of a Schedule does not commence under </w:t>
      </w:r>
      <w:r w:rsidR="00654F44">
        <w:t>subsection (</w:t>
      </w:r>
      <w:r w:rsidRPr="00654F44">
        <w:t>2) within the period of 6 months beginning on the day on which this Act receives the Royal Assent, it commences on the first day after the end of that period.</w:t>
      </w:r>
    </w:p>
    <w:p w:rsidR="00910679" w:rsidRPr="00654F44" w:rsidRDefault="00910679" w:rsidP="00BF69CF">
      <w:pPr>
        <w:pStyle w:val="EndNotespara"/>
      </w:pPr>
      <w:r w:rsidRPr="00654F44">
        <w:rPr>
          <w:i/>
        </w:rPr>
        <w:t>(e)</w:t>
      </w:r>
      <w:r w:rsidRPr="00654F44">
        <w:rPr>
          <w:i/>
        </w:rPr>
        <w:tab/>
      </w:r>
      <w:r w:rsidRPr="00654F44">
        <w:t>The</w:t>
      </w:r>
      <w:r w:rsidRPr="00654F44">
        <w:rPr>
          <w:i/>
        </w:rPr>
        <w:t xml:space="preserve"> 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 </w:t>
      </w:r>
      <w:r w:rsidRPr="00654F44">
        <w:t>was amended by Schedule</w:t>
      </w:r>
      <w:r w:rsidR="00654F44">
        <w:t> </w:t>
      </w:r>
      <w:r w:rsidRPr="00654F44">
        <w:t>6 (items</w:t>
      </w:r>
      <w:r w:rsidR="00654F44">
        <w:t> </w:t>
      </w:r>
      <w:r w:rsidRPr="00654F44">
        <w:t>21</w:t>
      </w:r>
      <w:r w:rsidR="00104E03" w:rsidRPr="00654F44">
        <w:t>–</w:t>
      </w:r>
      <w:r w:rsidRPr="00654F44">
        <w:t xml:space="preserve">24) only of the </w:t>
      </w:r>
      <w:r w:rsidRPr="00654F44">
        <w:rPr>
          <w:i/>
        </w:rPr>
        <w:t>Financial Sector Reform (Amendments and Transitional Provisions) Act (No.</w:t>
      </w:r>
      <w:r w:rsidR="00654F44">
        <w:rPr>
          <w:i/>
        </w:rPr>
        <w:t> </w:t>
      </w:r>
      <w:r w:rsidRPr="00654F44">
        <w:rPr>
          <w:i/>
        </w:rPr>
        <w:t>1) 1999</w:t>
      </w:r>
      <w:r w:rsidRPr="00654F44">
        <w:t>, subsection</w:t>
      </w:r>
      <w:r w:rsidR="00654F44">
        <w:t> </w:t>
      </w:r>
      <w:r w:rsidRPr="00654F44">
        <w:t>3(1) of which provides as follows:</w:t>
      </w:r>
    </w:p>
    <w:p w:rsidR="00910679" w:rsidRPr="00654F44" w:rsidRDefault="00910679" w:rsidP="00BF69CF">
      <w:pPr>
        <w:pStyle w:val="EndNotessubpara"/>
      </w:pPr>
      <w:r w:rsidRPr="00654F44">
        <w:tab/>
        <w:t>(1)</w:t>
      </w:r>
      <w:r w:rsidRPr="00654F44">
        <w:tab/>
        <w:t>Subject to this section, this Act commences on the day on which it receives the Royal Assent.</w:t>
      </w:r>
    </w:p>
    <w:p w:rsidR="00910679" w:rsidRPr="00654F44" w:rsidRDefault="00910679" w:rsidP="00BF69CF">
      <w:pPr>
        <w:pStyle w:val="EndNotespara"/>
      </w:pPr>
      <w:r w:rsidRPr="00654F44">
        <w:rPr>
          <w:i/>
        </w:rPr>
        <w:t>(f)</w:t>
      </w:r>
      <w:r w:rsidRPr="00654F44">
        <w:rPr>
          <w:i/>
        </w:rPr>
        <w:tab/>
      </w:r>
      <w:r w:rsidRPr="00654F44">
        <w:t>The</w:t>
      </w:r>
      <w:r w:rsidRPr="00654F44">
        <w:rPr>
          <w:i/>
        </w:rPr>
        <w:t xml:space="preserve"> High Court of </w:t>
      </w:r>
      <w:smartTag w:uri="urn:schemas-microsoft-com:office:smarttags" w:element="country-region">
        <w:smartTag w:uri="urn:schemas-microsoft-com:office:smarttags" w:element="place">
          <w:r w:rsidRPr="00654F44">
            <w:rPr>
              <w:i/>
            </w:rPr>
            <w:t>Australia</w:t>
          </w:r>
        </w:smartTag>
      </w:smartTag>
      <w:r w:rsidRPr="00654F44">
        <w:rPr>
          <w:i/>
        </w:rPr>
        <w:t xml:space="preserve"> Act 1979 </w:t>
      </w:r>
      <w:r w:rsidRPr="00654F44">
        <w:t>was amended by Schedule</w:t>
      </w:r>
      <w:r w:rsidR="00654F44">
        <w:t> </w:t>
      </w:r>
      <w:r w:rsidRPr="00654F44">
        <w:t xml:space="preserve">8 only of the </w:t>
      </w:r>
      <w:r w:rsidRPr="00654F44">
        <w:rPr>
          <w:i/>
        </w:rPr>
        <w:t>Law and Justice Legislation Amendment Act 1999</w:t>
      </w:r>
      <w:r w:rsidRPr="00654F44">
        <w:t>, subsection</w:t>
      </w:r>
      <w:r w:rsidR="00654F44">
        <w:t> </w:t>
      </w:r>
      <w:r w:rsidRPr="00654F44">
        <w:t>2(1) of which provides as follows:</w:t>
      </w:r>
    </w:p>
    <w:p w:rsidR="00910679" w:rsidRPr="00654F44" w:rsidRDefault="00910679" w:rsidP="00BF69CF">
      <w:pPr>
        <w:pStyle w:val="EndNotessubpara"/>
      </w:pPr>
      <w:r w:rsidRPr="00654F44">
        <w:tab/>
        <w:t>(1)</w:t>
      </w:r>
      <w:r w:rsidRPr="00654F44">
        <w:tab/>
        <w:t>Subject to this section, this Act commences on the day on which it receives the Royal Assent.</w:t>
      </w:r>
    </w:p>
    <w:p w:rsidR="00910679" w:rsidRPr="00654F44" w:rsidRDefault="00910679" w:rsidP="00BF69CF">
      <w:pPr>
        <w:pStyle w:val="EndNotespara"/>
      </w:pPr>
      <w:r w:rsidRPr="00654F44">
        <w:rPr>
          <w:i/>
        </w:rPr>
        <w:t>(g)</w:t>
      </w:r>
      <w:r w:rsidRPr="00654F44">
        <w:rPr>
          <w:i/>
        </w:rPr>
        <w:tab/>
      </w:r>
      <w:r w:rsidRPr="00654F44">
        <w:t>The</w:t>
      </w:r>
      <w:r w:rsidRPr="00654F44">
        <w:rPr>
          <w:i/>
        </w:rPr>
        <w:t xml:space="preserve"> High Court of Australia Act 1979 </w:t>
      </w:r>
      <w:r w:rsidRPr="00654F44">
        <w:t>was amended by Schedule</w:t>
      </w:r>
      <w:r w:rsidR="00654F44">
        <w:t> </w:t>
      </w:r>
      <w:r w:rsidRPr="00654F44">
        <w:t>1 (items</w:t>
      </w:r>
      <w:r w:rsidR="00654F44">
        <w:t> </w:t>
      </w:r>
      <w:r w:rsidRPr="00654F44">
        <w:t>511</w:t>
      </w:r>
      <w:r w:rsidR="00104E03" w:rsidRPr="00654F44">
        <w:t>–</w:t>
      </w:r>
      <w:r w:rsidRPr="00654F44">
        <w:t xml:space="preserve">514) only of the </w:t>
      </w:r>
      <w:r w:rsidRPr="00654F44">
        <w:rPr>
          <w:i/>
        </w:rPr>
        <w:t>Public Employment (Consequential and Transitional) Amendment Act 1999</w:t>
      </w:r>
      <w:r w:rsidRPr="00654F44">
        <w:t>, subsections</w:t>
      </w:r>
      <w:r w:rsidR="00654F44">
        <w:t> </w:t>
      </w:r>
      <w:r w:rsidRPr="00654F44">
        <w:t>2(1) and (2) of which provide as follows:</w:t>
      </w:r>
    </w:p>
    <w:p w:rsidR="00910679" w:rsidRPr="00654F44" w:rsidRDefault="00910679" w:rsidP="00BF69CF">
      <w:pPr>
        <w:pStyle w:val="EndNotessubpara"/>
      </w:pPr>
      <w:r w:rsidRPr="00654F44">
        <w:tab/>
        <w:t>(1)</w:t>
      </w:r>
      <w:r w:rsidRPr="00654F44">
        <w:tab/>
        <w:t xml:space="preserve">In this Act, </w:t>
      </w:r>
      <w:r w:rsidRPr="00654F44">
        <w:rPr>
          <w:b/>
          <w:i/>
        </w:rPr>
        <w:t xml:space="preserve">commencing time </w:t>
      </w:r>
      <w:r w:rsidRPr="00654F44">
        <w:t xml:space="preserve">means the time when the </w:t>
      </w:r>
      <w:r w:rsidRPr="00654F44">
        <w:rPr>
          <w:i/>
        </w:rPr>
        <w:t>Public Service Act 1999</w:t>
      </w:r>
      <w:r w:rsidRPr="00654F44">
        <w:t xml:space="preserve"> commences.</w:t>
      </w:r>
    </w:p>
    <w:p w:rsidR="00910679" w:rsidRPr="00654F44" w:rsidRDefault="00910679" w:rsidP="00BF69CF">
      <w:pPr>
        <w:pStyle w:val="EndNotessubpara"/>
      </w:pPr>
      <w:r w:rsidRPr="00654F44">
        <w:tab/>
        <w:t>(2)</w:t>
      </w:r>
      <w:r w:rsidRPr="00654F44">
        <w:tab/>
        <w:t>Subject to this section, this Act commences at the commencing time.</w:t>
      </w:r>
    </w:p>
    <w:p w:rsidR="00910679" w:rsidRPr="00654F44" w:rsidRDefault="00910679" w:rsidP="00BF69CF">
      <w:pPr>
        <w:pStyle w:val="EndNotespara"/>
      </w:pPr>
      <w:r w:rsidRPr="00654F44">
        <w:rPr>
          <w:i/>
        </w:rPr>
        <w:t>(h)</w:t>
      </w:r>
      <w:r w:rsidRPr="00654F44">
        <w:tab/>
        <w:t xml:space="preserve">The </w:t>
      </w:r>
      <w:r w:rsidRPr="00654F44">
        <w:rPr>
          <w:i/>
        </w:rPr>
        <w:t xml:space="preserve">High Court of Australia Act 1979 </w:t>
      </w:r>
      <w:r w:rsidRPr="00654F44">
        <w:t>was amended by Schedule</w:t>
      </w:r>
      <w:r w:rsidR="00654F44">
        <w:t> </w:t>
      </w:r>
      <w:r w:rsidRPr="00654F44">
        <w:t xml:space="preserve">31 only of the </w:t>
      </w:r>
      <w:r w:rsidRPr="00654F44">
        <w:rPr>
          <w:i/>
        </w:rPr>
        <w:t>Law and Justice Legislation Amendment (Application of Criminal Code) Act 2001</w:t>
      </w:r>
      <w:r w:rsidRPr="00654F44">
        <w:t>, subsection</w:t>
      </w:r>
      <w:r w:rsidR="00654F44">
        <w:t> </w:t>
      </w:r>
      <w:r w:rsidRPr="00654F44">
        <w:t>2(1)(a) of which provides as follows:</w:t>
      </w:r>
    </w:p>
    <w:p w:rsidR="00910679" w:rsidRPr="00654F44" w:rsidRDefault="00910679" w:rsidP="00BF69CF">
      <w:pPr>
        <w:pStyle w:val="EndNotessubpara"/>
      </w:pPr>
      <w:r w:rsidRPr="00654F44">
        <w:tab/>
        <w:t>(1)</w:t>
      </w:r>
      <w:r w:rsidRPr="00654F44">
        <w:tab/>
        <w:t>Subject to this section, this Act commences at the later of the following times:</w:t>
      </w:r>
    </w:p>
    <w:p w:rsidR="00910679" w:rsidRPr="00654F44" w:rsidRDefault="00910679" w:rsidP="00BF69CF">
      <w:pPr>
        <w:pStyle w:val="EndNotessubsubpara"/>
      </w:pPr>
      <w:r w:rsidRPr="00654F44">
        <w:tab/>
        <w:t>(a)</w:t>
      </w:r>
      <w:r w:rsidRPr="00654F44">
        <w:tab/>
        <w:t>immediately after the commencement of item</w:t>
      </w:r>
      <w:r w:rsidR="00654F44">
        <w:t> </w:t>
      </w:r>
      <w:r w:rsidRPr="00654F44">
        <w:t>15 of Schedule</w:t>
      </w:r>
      <w:r w:rsidR="00654F44">
        <w:t> </w:t>
      </w:r>
      <w:r w:rsidRPr="00654F44">
        <w:t xml:space="preserve">1 to the </w:t>
      </w:r>
      <w:r w:rsidRPr="00654F44">
        <w:rPr>
          <w:i/>
        </w:rPr>
        <w:t>Criminal Code Amendment (Theft, Fraud, Bribery and Related Offences) Act 2000</w:t>
      </w:r>
      <w:r w:rsidRPr="00654F44">
        <w:t>;</w:t>
      </w:r>
    </w:p>
    <w:p w:rsidR="00910679" w:rsidRPr="00654F44" w:rsidRDefault="00910679" w:rsidP="00BF69CF">
      <w:pPr>
        <w:pStyle w:val="EndNotespara"/>
      </w:pPr>
      <w:r w:rsidRPr="00654F44">
        <w:tab/>
        <w:t>Item</w:t>
      </w:r>
      <w:r w:rsidR="00654F44">
        <w:t> </w:t>
      </w:r>
      <w:r w:rsidRPr="00654F44">
        <w:t>15 commenced on 24</w:t>
      </w:r>
      <w:r w:rsidR="00654F44">
        <w:t> </w:t>
      </w:r>
      <w:r w:rsidRPr="00654F44">
        <w:t>May 2001.</w:t>
      </w:r>
    </w:p>
    <w:p w:rsidR="00DD36AD" w:rsidRPr="00654F44" w:rsidRDefault="00DD36AD" w:rsidP="00DD36AD">
      <w:pPr>
        <w:pStyle w:val="EndNotespara"/>
      </w:pPr>
      <w:r w:rsidRPr="00654F44">
        <w:rPr>
          <w:i/>
        </w:rPr>
        <w:t>(i)</w:t>
      </w:r>
      <w:r w:rsidRPr="00654F44">
        <w:rPr>
          <w:i/>
        </w:rPr>
        <w:tab/>
      </w:r>
      <w:r w:rsidRPr="00654F44">
        <w:t>Subsection</w:t>
      </w:r>
      <w:r w:rsidR="00654F44">
        <w:t> </w:t>
      </w:r>
      <w:r w:rsidRPr="00654F44">
        <w:t>2(1) (item</w:t>
      </w:r>
      <w:r w:rsidR="00654F44">
        <w:t> </w:t>
      </w:r>
      <w:r w:rsidRPr="00654F44">
        <w:t xml:space="preserve">6) of the </w:t>
      </w:r>
      <w:r w:rsidRPr="00654F44">
        <w:rPr>
          <w:i/>
        </w:rPr>
        <w:t>Public Governance, Performance and Accountability (Consequential and Transitional Provisions) Act 2014</w:t>
      </w:r>
      <w:r w:rsidRPr="00654F44">
        <w:t xml:space="preserve"> provides as follows:</w:t>
      </w:r>
    </w:p>
    <w:p w:rsidR="00DD36AD" w:rsidRPr="00654F44" w:rsidRDefault="00DD36AD" w:rsidP="00DD36AD">
      <w:pPr>
        <w:pStyle w:val="EndNotessubpara"/>
      </w:pPr>
      <w:r w:rsidRPr="00654F44">
        <w:tab/>
        <w:t>(1)</w:t>
      </w:r>
      <w:r w:rsidRPr="00654F44">
        <w:tab/>
        <w:t>Each provision of this Act specified in column 1 of the table commences, or is taken to have commenced, in accordance with column 2 of the table. Any other statement in column 2 has effect according to its terms.</w:t>
      </w:r>
    </w:p>
    <w:p w:rsidR="00DD36AD" w:rsidRPr="00654F44" w:rsidRDefault="00DD36AD" w:rsidP="00DD36A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D36AD" w:rsidRPr="00654F44" w:rsidTr="00DE23E2">
        <w:trPr>
          <w:cantSplit/>
          <w:tblHeader/>
        </w:trPr>
        <w:tc>
          <w:tcPr>
            <w:tcW w:w="7111" w:type="dxa"/>
            <w:gridSpan w:val="3"/>
            <w:tcBorders>
              <w:top w:val="single" w:sz="12" w:space="0" w:color="auto"/>
              <w:left w:val="nil"/>
              <w:bottom w:val="single" w:sz="6" w:space="0" w:color="auto"/>
              <w:right w:val="nil"/>
            </w:tcBorders>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Commencement information</w:t>
            </w:r>
          </w:p>
        </w:tc>
      </w:tr>
      <w:tr w:rsidR="00DD36AD" w:rsidRPr="00654F44" w:rsidTr="00DE23E2">
        <w:trPr>
          <w:cantSplit/>
          <w:tblHeader/>
        </w:trPr>
        <w:tc>
          <w:tcPr>
            <w:tcW w:w="1701" w:type="dxa"/>
            <w:tcBorders>
              <w:top w:val="single" w:sz="6" w:space="0" w:color="auto"/>
              <w:left w:val="nil"/>
              <w:bottom w:val="single" w:sz="2" w:space="0" w:color="auto"/>
              <w:right w:val="nil"/>
            </w:tcBorders>
            <w:shd w:val="clear" w:color="auto" w:fill="auto"/>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Column 1</w:t>
            </w:r>
          </w:p>
        </w:tc>
        <w:tc>
          <w:tcPr>
            <w:tcW w:w="3828" w:type="dxa"/>
            <w:tcBorders>
              <w:top w:val="single" w:sz="6" w:space="0" w:color="auto"/>
              <w:left w:val="nil"/>
              <w:bottom w:val="single" w:sz="2" w:space="0" w:color="auto"/>
              <w:right w:val="nil"/>
            </w:tcBorders>
            <w:shd w:val="clear" w:color="auto" w:fill="auto"/>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Column 2</w:t>
            </w:r>
          </w:p>
        </w:tc>
        <w:tc>
          <w:tcPr>
            <w:tcW w:w="1582" w:type="dxa"/>
            <w:tcBorders>
              <w:top w:val="single" w:sz="6" w:space="0" w:color="auto"/>
              <w:left w:val="nil"/>
              <w:bottom w:val="single" w:sz="2" w:space="0" w:color="auto"/>
              <w:right w:val="nil"/>
            </w:tcBorders>
            <w:shd w:val="clear" w:color="auto" w:fill="auto"/>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Column 3</w:t>
            </w:r>
          </w:p>
        </w:tc>
      </w:tr>
      <w:tr w:rsidR="00DD36AD" w:rsidRPr="00654F44" w:rsidTr="00DE23E2">
        <w:trPr>
          <w:cantSplit/>
          <w:tblHeader/>
        </w:trPr>
        <w:tc>
          <w:tcPr>
            <w:tcW w:w="1701" w:type="dxa"/>
            <w:tcBorders>
              <w:top w:val="single" w:sz="2" w:space="0" w:color="auto"/>
              <w:left w:val="nil"/>
              <w:bottom w:val="single" w:sz="12" w:space="0" w:color="auto"/>
              <w:right w:val="nil"/>
            </w:tcBorders>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Provision(s)</w:t>
            </w:r>
          </w:p>
        </w:tc>
        <w:tc>
          <w:tcPr>
            <w:tcW w:w="3828" w:type="dxa"/>
            <w:tcBorders>
              <w:top w:val="single" w:sz="2" w:space="0" w:color="auto"/>
              <w:left w:val="nil"/>
              <w:bottom w:val="single" w:sz="12" w:space="0" w:color="auto"/>
              <w:right w:val="nil"/>
            </w:tcBorders>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Commencement</w:t>
            </w:r>
          </w:p>
        </w:tc>
        <w:tc>
          <w:tcPr>
            <w:tcW w:w="1582" w:type="dxa"/>
            <w:tcBorders>
              <w:top w:val="single" w:sz="2" w:space="0" w:color="auto"/>
              <w:left w:val="nil"/>
              <w:bottom w:val="single" w:sz="12" w:space="0" w:color="auto"/>
              <w:right w:val="nil"/>
            </w:tcBorders>
          </w:tcPr>
          <w:p w:rsidR="00DD36AD" w:rsidRPr="00654F44" w:rsidRDefault="00DD36AD" w:rsidP="00DE23E2">
            <w:pPr>
              <w:pStyle w:val="Tabletext"/>
              <w:keepNext/>
              <w:rPr>
                <w:rFonts w:ascii="Arial" w:hAnsi="Arial" w:cs="Arial"/>
                <w:b/>
                <w:sz w:val="16"/>
                <w:szCs w:val="16"/>
              </w:rPr>
            </w:pPr>
            <w:r w:rsidRPr="00654F44">
              <w:rPr>
                <w:rFonts w:ascii="Arial" w:hAnsi="Arial" w:cs="Arial"/>
                <w:b/>
                <w:sz w:val="16"/>
                <w:szCs w:val="16"/>
              </w:rPr>
              <w:t>Date/Details</w:t>
            </w:r>
          </w:p>
        </w:tc>
      </w:tr>
      <w:tr w:rsidR="00DD36AD" w:rsidRPr="00654F44" w:rsidTr="00DE2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DD36AD" w:rsidRPr="00654F44" w:rsidRDefault="00DD36AD" w:rsidP="00DE23E2">
            <w:pPr>
              <w:pStyle w:val="Tabletext"/>
              <w:rPr>
                <w:rFonts w:ascii="Arial" w:hAnsi="Arial" w:cs="Arial"/>
                <w:sz w:val="16"/>
                <w:szCs w:val="16"/>
              </w:rPr>
            </w:pPr>
            <w:r w:rsidRPr="00654F44">
              <w:rPr>
                <w:rFonts w:ascii="Arial" w:hAnsi="Arial" w:cs="Arial"/>
                <w:sz w:val="16"/>
                <w:szCs w:val="16"/>
              </w:rPr>
              <w:t>6.  Schedules</w:t>
            </w:r>
            <w:r w:rsidR="00654F44">
              <w:rPr>
                <w:rFonts w:ascii="Arial" w:hAnsi="Arial" w:cs="Arial"/>
                <w:sz w:val="16"/>
                <w:szCs w:val="16"/>
              </w:rPr>
              <w:t> </w:t>
            </w:r>
            <w:r w:rsidRPr="00654F44">
              <w:rPr>
                <w:rFonts w:ascii="Arial" w:hAnsi="Arial" w:cs="Arial"/>
                <w:sz w:val="16"/>
                <w:szCs w:val="16"/>
              </w:rPr>
              <w:t>6 to 12</w:t>
            </w:r>
          </w:p>
        </w:tc>
        <w:tc>
          <w:tcPr>
            <w:tcW w:w="3828" w:type="dxa"/>
            <w:tcBorders>
              <w:top w:val="single" w:sz="2" w:space="0" w:color="auto"/>
              <w:bottom w:val="single" w:sz="2" w:space="0" w:color="auto"/>
            </w:tcBorders>
            <w:shd w:val="clear" w:color="auto" w:fill="auto"/>
          </w:tcPr>
          <w:p w:rsidR="00DD36AD" w:rsidRPr="00654F44" w:rsidRDefault="00DD36AD" w:rsidP="00DE23E2">
            <w:pPr>
              <w:pStyle w:val="Tabletext"/>
              <w:rPr>
                <w:rFonts w:ascii="Arial" w:hAnsi="Arial" w:cs="Arial"/>
                <w:sz w:val="16"/>
                <w:szCs w:val="16"/>
              </w:rPr>
            </w:pPr>
            <w:r w:rsidRPr="00654F44">
              <w:rPr>
                <w:rFonts w:ascii="Arial" w:hAnsi="Arial" w:cs="Arial"/>
                <w:sz w:val="16"/>
                <w:szCs w:val="16"/>
              </w:rPr>
              <w:t>Immediately after the commencement of section</w:t>
            </w:r>
            <w:r w:rsidR="00654F44">
              <w:rPr>
                <w:rFonts w:ascii="Arial" w:hAnsi="Arial" w:cs="Arial"/>
                <w:sz w:val="16"/>
                <w:szCs w:val="16"/>
              </w:rPr>
              <w:t> </w:t>
            </w:r>
            <w:r w:rsidRPr="00654F44">
              <w:rPr>
                <w:rFonts w:ascii="Arial" w:hAnsi="Arial" w:cs="Arial"/>
                <w:sz w:val="16"/>
                <w:szCs w:val="16"/>
              </w:rPr>
              <w:t xml:space="preserve">6 of the </w:t>
            </w:r>
            <w:r w:rsidRPr="00654F44">
              <w:rPr>
                <w:rFonts w:ascii="Arial" w:hAnsi="Arial" w:cs="Arial"/>
                <w:i/>
                <w:sz w:val="16"/>
                <w:szCs w:val="16"/>
              </w:rPr>
              <w:t>Public Governance, Performance and Accountability Act 2013</w:t>
            </w:r>
            <w:r w:rsidRPr="00654F44">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DD36AD" w:rsidRPr="00654F44" w:rsidRDefault="00DD36AD" w:rsidP="00DE23E2">
            <w:pPr>
              <w:pStyle w:val="Tabletext"/>
              <w:rPr>
                <w:rFonts w:ascii="Arial" w:hAnsi="Arial" w:cs="Arial"/>
                <w:sz w:val="16"/>
                <w:szCs w:val="16"/>
              </w:rPr>
            </w:pPr>
            <w:r w:rsidRPr="00654F44">
              <w:rPr>
                <w:rFonts w:ascii="Arial" w:hAnsi="Arial" w:cs="Arial"/>
                <w:sz w:val="16"/>
                <w:szCs w:val="16"/>
              </w:rPr>
              <w:t>1</w:t>
            </w:r>
            <w:r w:rsidR="00654F44">
              <w:rPr>
                <w:rFonts w:ascii="Arial" w:hAnsi="Arial" w:cs="Arial"/>
                <w:sz w:val="16"/>
                <w:szCs w:val="16"/>
              </w:rPr>
              <w:t> </w:t>
            </w:r>
            <w:r w:rsidRPr="00654F44">
              <w:rPr>
                <w:rFonts w:ascii="Arial" w:hAnsi="Arial" w:cs="Arial"/>
                <w:sz w:val="16"/>
                <w:szCs w:val="16"/>
              </w:rPr>
              <w:t>July 2014</w:t>
            </w:r>
          </w:p>
        </w:tc>
      </w:tr>
    </w:tbl>
    <w:p w:rsidR="00295561" w:rsidRPr="00654F44" w:rsidRDefault="00295561" w:rsidP="00295561">
      <w:pPr>
        <w:pStyle w:val="ENotesHeading2"/>
        <w:pageBreakBefore/>
        <w:outlineLvl w:val="9"/>
      </w:pPr>
      <w:bookmarkStart w:id="63" w:name="_Toc392593288"/>
      <w:r w:rsidRPr="00654F44">
        <w:lastRenderedPageBreak/>
        <w:t>Endnote 4—Amendment history</w:t>
      </w:r>
      <w:bookmarkEnd w:id="63"/>
    </w:p>
    <w:p w:rsidR="00295561" w:rsidRPr="00654F44" w:rsidRDefault="00295561" w:rsidP="00295561">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295561" w:rsidRPr="00654F44" w:rsidTr="00E73430">
        <w:trPr>
          <w:cantSplit/>
          <w:tblHeader/>
        </w:trPr>
        <w:tc>
          <w:tcPr>
            <w:tcW w:w="2139" w:type="dxa"/>
            <w:tcBorders>
              <w:top w:val="single" w:sz="12" w:space="0" w:color="auto"/>
              <w:bottom w:val="single" w:sz="12" w:space="0" w:color="auto"/>
            </w:tcBorders>
            <w:shd w:val="clear" w:color="auto" w:fill="auto"/>
          </w:tcPr>
          <w:p w:rsidR="00295561" w:rsidRPr="00654F44" w:rsidRDefault="00295561" w:rsidP="00E73430">
            <w:pPr>
              <w:pStyle w:val="ENoteTableHeading"/>
              <w:rPr>
                <w:rFonts w:cs="Arial"/>
              </w:rPr>
            </w:pPr>
            <w:r w:rsidRPr="00654F44">
              <w:rPr>
                <w:rFonts w:cs="Arial"/>
              </w:rPr>
              <w:t>Provision affected</w:t>
            </w:r>
          </w:p>
        </w:tc>
        <w:tc>
          <w:tcPr>
            <w:tcW w:w="4943" w:type="dxa"/>
            <w:tcBorders>
              <w:top w:val="single" w:sz="12" w:space="0" w:color="auto"/>
              <w:bottom w:val="single" w:sz="12" w:space="0" w:color="auto"/>
            </w:tcBorders>
            <w:shd w:val="clear" w:color="auto" w:fill="auto"/>
          </w:tcPr>
          <w:p w:rsidR="00295561" w:rsidRPr="00654F44" w:rsidRDefault="00295561" w:rsidP="00E73430">
            <w:pPr>
              <w:pStyle w:val="ENoteTableHeading"/>
              <w:rPr>
                <w:rFonts w:cs="Arial"/>
              </w:rPr>
            </w:pPr>
            <w:r w:rsidRPr="00654F44">
              <w:rPr>
                <w:rFonts w:cs="Arial"/>
              </w:rPr>
              <w:t>How affected</w:t>
            </w:r>
          </w:p>
        </w:tc>
      </w:tr>
      <w:tr w:rsidR="00BF69CF" w:rsidRPr="00654F44" w:rsidTr="00BF69CF">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BF69CF" w:rsidRPr="00654F44" w:rsidRDefault="00BF69CF" w:rsidP="00BF69CF">
            <w:pPr>
              <w:pStyle w:val="ENoteTableText"/>
            </w:pPr>
            <w:r w:rsidRPr="00654F44">
              <w:rPr>
                <w:b/>
              </w:rPr>
              <w:t>Part</w:t>
            </w:r>
            <w:r w:rsidR="00E12D7E" w:rsidRPr="00654F44">
              <w:rPr>
                <w:b/>
              </w:rPr>
              <w:t> </w:t>
            </w:r>
            <w:r w:rsidRPr="00654F44">
              <w:rPr>
                <w:b/>
              </w:rPr>
              <w:t>I</w:t>
            </w:r>
          </w:p>
        </w:tc>
        <w:tc>
          <w:tcPr>
            <w:tcW w:w="4943" w:type="dxa"/>
            <w:tcBorders>
              <w:top w:val="single" w:sz="12" w:space="0" w:color="auto"/>
            </w:tcBorders>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44, 1999; No.</w:t>
            </w:r>
            <w:r w:rsidR="00654F44">
              <w:t> </w:t>
            </w:r>
            <w:r w:rsidRPr="00654F44">
              <w:t>8, 2005</w:t>
            </w:r>
            <w:r w:rsidR="0052596E" w:rsidRPr="00654F44">
              <w:t>; No 62, 2014</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4A</w:t>
            </w:r>
            <w:r w:rsidR="00BF69CF" w:rsidRPr="00654F44">
              <w:tab/>
            </w:r>
          </w:p>
        </w:tc>
        <w:tc>
          <w:tcPr>
            <w:tcW w:w="4943" w:type="dxa"/>
            <w:shd w:val="clear" w:color="auto" w:fill="auto"/>
          </w:tcPr>
          <w:p w:rsidR="00BF69CF" w:rsidRPr="00654F44" w:rsidRDefault="00BF69CF" w:rsidP="00BF69CF">
            <w:pPr>
              <w:pStyle w:val="ENoteTableText"/>
            </w:pPr>
            <w:r w:rsidRPr="00654F44">
              <w:t>ad. No.</w:t>
            </w:r>
            <w:r w:rsidR="00654F44">
              <w:t> </w:t>
            </w:r>
            <w:r w:rsidRPr="00654F44">
              <w:t>24, 2001</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r w:rsidRPr="00654F44">
              <w:rPr>
                <w:b/>
              </w:rPr>
              <w:t>Part</w:t>
            </w:r>
            <w:r w:rsidR="00E12D7E" w:rsidRPr="00654F44">
              <w:rPr>
                <w:b/>
              </w:rPr>
              <w:t> </w:t>
            </w:r>
            <w:r w:rsidRPr="00654F44">
              <w:rPr>
                <w:b/>
              </w:rPr>
              <w:t>II</w:t>
            </w:r>
          </w:p>
        </w:tc>
        <w:tc>
          <w:tcPr>
            <w:tcW w:w="4943" w:type="dxa"/>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r w:rsidRPr="00654F44">
              <w:rPr>
                <w:b/>
              </w:rPr>
              <w:t>Division</w:t>
            </w:r>
            <w:r w:rsidR="00654F44">
              <w:rPr>
                <w:b/>
              </w:rPr>
              <w:t> </w:t>
            </w:r>
            <w:r w:rsidRPr="00654F44">
              <w:rPr>
                <w:b/>
              </w:rPr>
              <w:t>1</w:t>
            </w:r>
          </w:p>
        </w:tc>
        <w:tc>
          <w:tcPr>
            <w:tcW w:w="4943" w:type="dxa"/>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7</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9</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11</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r w:rsidRPr="00654F44">
              <w:rPr>
                <w:b/>
              </w:rPr>
              <w:t>Part</w:t>
            </w:r>
            <w:r w:rsidR="00E12D7E" w:rsidRPr="00654F44">
              <w:rPr>
                <w:b/>
              </w:rPr>
              <w:t> </w:t>
            </w:r>
            <w:r w:rsidRPr="00654F44">
              <w:rPr>
                <w:b/>
              </w:rPr>
              <w:t>III</w:t>
            </w:r>
          </w:p>
        </w:tc>
        <w:tc>
          <w:tcPr>
            <w:tcW w:w="4943" w:type="dxa"/>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17</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21, 1989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18</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19</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99, 1988; No.</w:t>
            </w:r>
            <w:r w:rsidR="00654F44">
              <w:t> </w:t>
            </w:r>
            <w:r w:rsidRPr="00654F44">
              <w:t>13, 1994; No.</w:t>
            </w:r>
            <w:r w:rsidR="00654F44">
              <w:t> </w:t>
            </w:r>
            <w:r w:rsidRPr="00654F44">
              <w:t>43, 1996; No.</w:t>
            </w:r>
            <w:r w:rsidR="00654F44">
              <w:t> </w:t>
            </w:r>
            <w:r w:rsidRPr="00654F44">
              <w:t>24, 2001</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20</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199, 1991; No.</w:t>
            </w:r>
            <w:r w:rsidR="00654F44">
              <w:t> </w:t>
            </w:r>
            <w:r w:rsidRPr="00654F44">
              <w:t>13, 1994; No.</w:t>
            </w:r>
            <w:r w:rsidR="00654F44">
              <w:t> </w:t>
            </w:r>
            <w:r w:rsidRPr="00654F44">
              <w:t>43, 1996; No.</w:t>
            </w:r>
            <w:r w:rsidR="00654F44">
              <w:t> </w:t>
            </w:r>
            <w:r w:rsidRPr="00654F44">
              <w:t>159, 2001</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21</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22</w:t>
            </w:r>
            <w:r w:rsidR="00BF69CF" w:rsidRPr="00654F44">
              <w:tab/>
            </w:r>
          </w:p>
        </w:tc>
        <w:tc>
          <w:tcPr>
            <w:tcW w:w="4943" w:type="dxa"/>
            <w:shd w:val="clear" w:color="auto" w:fill="auto"/>
          </w:tcPr>
          <w:p w:rsidR="00BF69CF" w:rsidRPr="00654F44" w:rsidRDefault="00BF69CF" w:rsidP="00BF69CF">
            <w:pPr>
              <w:pStyle w:val="ENoteTableText"/>
            </w:pPr>
            <w:r w:rsidRPr="00654F44">
              <w:t>rs. No.</w:t>
            </w:r>
            <w:r w:rsidR="00654F44">
              <w:t> </w:t>
            </w:r>
            <w:r w:rsidRPr="00654F44">
              <w:t>122, 1991</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146, 1999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23</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24</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122, 1991; No.</w:t>
            </w:r>
            <w:r w:rsidR="00654F44">
              <w:t> </w:t>
            </w:r>
            <w:r w:rsidRPr="00654F44">
              <w:t>13, 1994;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25</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43, 1996; No.</w:t>
            </w:r>
            <w:r w:rsidR="00654F44">
              <w:t> </w:t>
            </w:r>
            <w:r w:rsidRPr="00654F44">
              <w:t>146, 1999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26</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63, 1984; No.</w:t>
            </w:r>
            <w:r w:rsidR="00654F44">
              <w:t> </w:t>
            </w:r>
            <w:r w:rsidRPr="00654F44">
              <w:t>199, 1991; No.</w:t>
            </w:r>
            <w:r w:rsidR="00654F44">
              <w:t> </w:t>
            </w:r>
            <w:r w:rsidRPr="00654F44">
              <w:t>13, 1994; No.</w:t>
            </w:r>
            <w:r w:rsidR="00654F44">
              <w:t> </w:t>
            </w:r>
            <w:r w:rsidRPr="00654F44">
              <w:t>146, 1999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27</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43, 1996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28</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29</w:t>
            </w:r>
            <w:r w:rsidR="00BF69CF" w:rsidRPr="00654F44">
              <w:tab/>
            </w:r>
          </w:p>
        </w:tc>
        <w:tc>
          <w:tcPr>
            <w:tcW w:w="4943" w:type="dxa"/>
            <w:shd w:val="clear" w:color="auto" w:fill="auto"/>
          </w:tcPr>
          <w:p w:rsidR="00BF69CF" w:rsidRPr="00654F44" w:rsidRDefault="00BF69CF" w:rsidP="00BF69CF">
            <w:pPr>
              <w:pStyle w:val="ENoteTableText"/>
            </w:pPr>
            <w:r w:rsidRPr="00654F44">
              <w:t>rep. No.</w:t>
            </w:r>
            <w:r w:rsidR="00654F44">
              <w:t> </w:t>
            </w:r>
            <w:r w:rsidRPr="00654F44">
              <w:t>65, 1985</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r w:rsidRPr="00654F44">
              <w:rPr>
                <w:b/>
              </w:rPr>
              <w:t>Part</w:t>
            </w:r>
            <w:r w:rsidR="00E12D7E" w:rsidRPr="00654F44">
              <w:rPr>
                <w:b/>
              </w:rPr>
              <w:t> </w:t>
            </w:r>
            <w:r w:rsidRPr="00654F44">
              <w:rPr>
                <w:b/>
              </w:rPr>
              <w:t>IV</w:t>
            </w:r>
          </w:p>
        </w:tc>
        <w:tc>
          <w:tcPr>
            <w:tcW w:w="4943" w:type="dxa"/>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30</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60, 1996</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33</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r w:rsidRPr="00654F44">
              <w:rPr>
                <w:b/>
              </w:rPr>
              <w:t>Part</w:t>
            </w:r>
            <w:r w:rsidR="00E12D7E" w:rsidRPr="00654F44">
              <w:rPr>
                <w:b/>
              </w:rPr>
              <w:t> </w:t>
            </w:r>
            <w:r w:rsidRPr="00654F44">
              <w:rPr>
                <w:b/>
              </w:rPr>
              <w:t>V</w:t>
            </w:r>
          </w:p>
        </w:tc>
        <w:tc>
          <w:tcPr>
            <w:tcW w:w="4943" w:type="dxa"/>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35</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8, 2005</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39</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44, 1999; No.</w:t>
            </w:r>
            <w:r w:rsidR="00654F44">
              <w:t> </w:t>
            </w:r>
            <w:r w:rsidRPr="00654F44">
              <w:t>8, 2005</w:t>
            </w:r>
            <w:r w:rsidR="0052596E" w:rsidRPr="00654F44">
              <w:t>; No 62, 2014</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lastRenderedPageBreak/>
              <w:t>s.</w:t>
            </w:r>
            <w:r w:rsidR="00BF69CF" w:rsidRPr="00654F44">
              <w:t xml:space="preserve"> 40</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157, 1989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E12D7E">
            <w:pPr>
              <w:pStyle w:val="ENoteTableText"/>
              <w:tabs>
                <w:tab w:val="center" w:leader="dot" w:pos="2268"/>
              </w:tabs>
            </w:pPr>
            <w:r w:rsidRPr="00654F44">
              <w:t>Heading to s. 41</w:t>
            </w:r>
            <w:r w:rsidRPr="00654F44">
              <w:tab/>
            </w:r>
          </w:p>
        </w:tc>
        <w:tc>
          <w:tcPr>
            <w:tcW w:w="4943" w:type="dxa"/>
            <w:shd w:val="clear" w:color="auto" w:fill="auto"/>
          </w:tcPr>
          <w:p w:rsidR="00BF69CF" w:rsidRPr="00654F44" w:rsidRDefault="00BF69CF" w:rsidP="00BF69CF">
            <w:pPr>
              <w:pStyle w:val="ENoteTableText"/>
            </w:pPr>
            <w:r w:rsidRPr="00654F44">
              <w:t>rs. No.</w:t>
            </w:r>
            <w:r w:rsidR="00654F44">
              <w:t> </w:t>
            </w:r>
            <w:r w:rsidRPr="00654F44">
              <w:t>44, 1999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41</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 No.</w:t>
            </w:r>
            <w:r w:rsidR="00654F44">
              <w:t> </w:t>
            </w:r>
            <w:r w:rsidRPr="00654F44">
              <w:t>44, 1999</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43</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43, 1996; No.</w:t>
            </w:r>
            <w:r w:rsidR="00654F44">
              <w:t> </w:t>
            </w:r>
            <w:r w:rsidRPr="00654F44">
              <w:t>24, 2001</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BF69CF" w:rsidP="00BF69CF">
            <w:pPr>
              <w:pStyle w:val="ENoteTableText"/>
            </w:pPr>
            <w:r w:rsidRPr="00654F44">
              <w:rPr>
                <w:b/>
              </w:rPr>
              <w:t>Part</w:t>
            </w:r>
            <w:r w:rsidR="00E12D7E" w:rsidRPr="00654F44">
              <w:rPr>
                <w:b/>
              </w:rPr>
              <w:t> </w:t>
            </w:r>
            <w:r w:rsidRPr="00654F44">
              <w:rPr>
                <w:b/>
              </w:rPr>
              <w:t>VI</w:t>
            </w:r>
          </w:p>
        </w:tc>
        <w:tc>
          <w:tcPr>
            <w:tcW w:w="4943" w:type="dxa"/>
            <w:shd w:val="clear" w:color="auto" w:fill="auto"/>
          </w:tcPr>
          <w:p w:rsidR="00BF69CF" w:rsidRPr="00654F44" w:rsidRDefault="00BF69CF" w:rsidP="00BF69CF">
            <w:pPr>
              <w:pStyle w:val="ENoteTableText"/>
            </w:pP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45</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13, 1994</w:t>
            </w:r>
          </w:p>
        </w:tc>
      </w:tr>
      <w:tr w:rsidR="00BF69CF" w:rsidRPr="00654F44" w:rsidTr="00BF69CF">
        <w:tblPrEx>
          <w:tblBorders>
            <w:top w:val="none" w:sz="0" w:space="0" w:color="auto"/>
            <w:bottom w:val="none" w:sz="0" w:space="0" w:color="auto"/>
          </w:tblBorders>
        </w:tblPrEx>
        <w:trPr>
          <w:cantSplit/>
        </w:trPr>
        <w:tc>
          <w:tcPr>
            <w:tcW w:w="2139" w:type="dxa"/>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47</w:t>
            </w:r>
            <w:r w:rsidR="00BF69CF" w:rsidRPr="00654F44">
              <w:tab/>
            </w:r>
          </w:p>
        </w:tc>
        <w:tc>
          <w:tcPr>
            <w:tcW w:w="4943" w:type="dxa"/>
            <w:shd w:val="clear" w:color="auto" w:fill="auto"/>
          </w:tcPr>
          <w:p w:rsidR="00BF69CF" w:rsidRPr="00654F44" w:rsidRDefault="00BF69CF" w:rsidP="00BF69CF">
            <w:pPr>
              <w:pStyle w:val="ENoteTableText"/>
            </w:pPr>
            <w:r w:rsidRPr="00654F44">
              <w:t>am. No.</w:t>
            </w:r>
            <w:r w:rsidR="00654F44">
              <w:t> </w:t>
            </w:r>
            <w:r w:rsidRPr="00654F44">
              <w:t>43, 1996; No.</w:t>
            </w:r>
            <w:r w:rsidR="00654F44">
              <w:t> </w:t>
            </w:r>
            <w:r w:rsidRPr="00654F44">
              <w:t xml:space="preserve">8, 2005 </w:t>
            </w:r>
          </w:p>
        </w:tc>
      </w:tr>
      <w:tr w:rsidR="00BF69CF" w:rsidRPr="00654F44" w:rsidTr="00BF69CF">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BF69CF" w:rsidRPr="00654F44" w:rsidRDefault="00E12D7E" w:rsidP="00E12D7E">
            <w:pPr>
              <w:pStyle w:val="ENoteTableText"/>
              <w:tabs>
                <w:tab w:val="center" w:leader="dot" w:pos="2268"/>
              </w:tabs>
            </w:pPr>
            <w:r w:rsidRPr="00654F44">
              <w:t>s.</w:t>
            </w:r>
            <w:r w:rsidR="00BF69CF" w:rsidRPr="00654F44">
              <w:t xml:space="preserve"> 49</w:t>
            </w:r>
            <w:r w:rsidR="00BF69CF" w:rsidRPr="00654F44">
              <w:tab/>
            </w:r>
          </w:p>
        </w:tc>
        <w:tc>
          <w:tcPr>
            <w:tcW w:w="4943" w:type="dxa"/>
            <w:tcBorders>
              <w:bottom w:val="single" w:sz="12" w:space="0" w:color="auto"/>
            </w:tcBorders>
            <w:shd w:val="clear" w:color="auto" w:fill="auto"/>
          </w:tcPr>
          <w:p w:rsidR="00BF69CF" w:rsidRPr="00654F44" w:rsidRDefault="00BF69CF" w:rsidP="00BF69CF">
            <w:pPr>
              <w:pStyle w:val="ENoteTableText"/>
            </w:pPr>
            <w:r w:rsidRPr="00654F44">
              <w:t>ad. No.</w:t>
            </w:r>
            <w:r w:rsidR="00654F44">
              <w:t> </w:t>
            </w:r>
            <w:r w:rsidRPr="00654F44">
              <w:t xml:space="preserve">125, 1999 </w:t>
            </w:r>
          </w:p>
        </w:tc>
      </w:tr>
    </w:tbl>
    <w:p w:rsidR="00AF53E1" w:rsidRPr="00654F44" w:rsidRDefault="00AF53E1" w:rsidP="00654F44">
      <w:pPr>
        <w:pStyle w:val="ENotesHeading2"/>
        <w:pageBreakBefore/>
        <w:outlineLvl w:val="9"/>
      </w:pPr>
      <w:bookmarkStart w:id="64" w:name="_Toc392593289"/>
      <w:r w:rsidRPr="00654F44">
        <w:lastRenderedPageBreak/>
        <w:t>Endnote 5—Uncommenced amendments [none]</w:t>
      </w:r>
      <w:bookmarkEnd w:id="64"/>
    </w:p>
    <w:p w:rsidR="00AF53E1" w:rsidRPr="00654F44" w:rsidRDefault="00AF53E1" w:rsidP="00654F44">
      <w:pPr>
        <w:pStyle w:val="ENotesHeading2"/>
        <w:outlineLvl w:val="9"/>
      </w:pPr>
      <w:bookmarkStart w:id="65" w:name="_Toc392593290"/>
      <w:r w:rsidRPr="00654F44">
        <w:t>Endnote 6—Modifications [none]</w:t>
      </w:r>
      <w:bookmarkEnd w:id="65"/>
    </w:p>
    <w:p w:rsidR="00AF53E1" w:rsidRPr="00654F44" w:rsidRDefault="00AF53E1" w:rsidP="00654F44">
      <w:pPr>
        <w:pStyle w:val="ENotesHeading2"/>
        <w:outlineLvl w:val="9"/>
      </w:pPr>
      <w:bookmarkStart w:id="66" w:name="_Toc392593291"/>
      <w:r w:rsidRPr="00654F44">
        <w:t>Endnote 7—Misdescribed amendments [none]</w:t>
      </w:r>
      <w:bookmarkEnd w:id="66"/>
    </w:p>
    <w:p w:rsidR="00AF53E1" w:rsidRPr="00654F44" w:rsidRDefault="00AF53E1" w:rsidP="00654F44">
      <w:pPr>
        <w:pStyle w:val="ENotesHeading2"/>
        <w:pageBreakBefore/>
        <w:outlineLvl w:val="9"/>
      </w:pPr>
      <w:bookmarkStart w:id="67" w:name="_Toc392593292"/>
      <w:r w:rsidRPr="00654F44">
        <w:lastRenderedPageBreak/>
        <w:t>Endnote 8—Miscellaneous</w:t>
      </w:r>
      <w:bookmarkEnd w:id="67"/>
    </w:p>
    <w:p w:rsidR="00AF53E1" w:rsidRPr="00654F44" w:rsidRDefault="00AF53E1" w:rsidP="00AF53E1">
      <w:pPr>
        <w:pStyle w:val="ENotesText"/>
      </w:pPr>
      <w:r w:rsidRPr="00654F44">
        <w:t>S</w:t>
      </w:r>
      <w:r w:rsidR="00611212" w:rsidRPr="00654F44">
        <w:t>ection</w:t>
      </w:r>
      <w:r w:rsidR="00654F44">
        <w:t> </w:t>
      </w:r>
      <w:r w:rsidRPr="00654F44">
        <w:t xml:space="preserve">14—The date fixed </w:t>
      </w:r>
      <w:r w:rsidR="00611212" w:rsidRPr="00654F44">
        <w:t xml:space="preserve">by Proclamation </w:t>
      </w:r>
      <w:r w:rsidRPr="00654F44">
        <w:t>was 1</w:t>
      </w:r>
      <w:r w:rsidR="00654F44">
        <w:t> </w:t>
      </w:r>
      <w:r w:rsidRPr="00654F44">
        <w:t>September 1980 (</w:t>
      </w:r>
      <w:r w:rsidRPr="00654F44">
        <w:rPr>
          <w:i/>
        </w:rPr>
        <w:t xml:space="preserve">see Gazette </w:t>
      </w:r>
      <w:r w:rsidRPr="00654F44">
        <w:t>1980, No. S193).</w:t>
      </w:r>
    </w:p>
    <w:p w:rsidR="00EC06BF" w:rsidRPr="00654F44" w:rsidRDefault="00EC06BF" w:rsidP="00BF69CF">
      <w:pPr>
        <w:sectPr w:rsidR="00EC06BF" w:rsidRPr="00654F44" w:rsidSect="00132F60">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A278BF" w:rsidRPr="00654F44" w:rsidRDefault="00A278BF" w:rsidP="00EC06BF"/>
    <w:sectPr w:rsidR="00A278BF" w:rsidRPr="00654F44" w:rsidSect="00132F60">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30" w:rsidRDefault="00E73430">
      <w:pPr>
        <w:spacing w:line="240" w:lineRule="auto"/>
      </w:pPr>
      <w:r>
        <w:separator/>
      </w:r>
    </w:p>
  </w:endnote>
  <w:endnote w:type="continuationSeparator" w:id="0">
    <w:p w:rsidR="00E73430" w:rsidRDefault="00E73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73430" w:rsidTr="00132F60">
      <w:tc>
        <w:tcPr>
          <w:tcW w:w="1247" w:type="dxa"/>
        </w:tcPr>
        <w:p w:rsidR="00E73430" w:rsidRDefault="00E73430" w:rsidP="00E73430">
          <w:pPr>
            <w:rPr>
              <w:sz w:val="18"/>
            </w:rPr>
          </w:pPr>
        </w:p>
      </w:tc>
      <w:tc>
        <w:tcPr>
          <w:tcW w:w="5387" w:type="dxa"/>
        </w:tcPr>
        <w:p w:rsidR="00E73430" w:rsidRDefault="00E73430" w:rsidP="00E734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4F44">
            <w:rPr>
              <w:i/>
              <w:sz w:val="18"/>
            </w:rPr>
            <w:t>High Court of Australia Act 1979</w:t>
          </w:r>
          <w:r w:rsidRPr="007A1328">
            <w:rPr>
              <w:i/>
              <w:sz w:val="18"/>
            </w:rPr>
            <w:fldChar w:fldCharType="end"/>
          </w:r>
        </w:p>
      </w:tc>
      <w:tc>
        <w:tcPr>
          <w:tcW w:w="669" w:type="dxa"/>
        </w:tcPr>
        <w:p w:rsidR="00E73430" w:rsidRDefault="00E73430" w:rsidP="00E7343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32F60">
            <w:rPr>
              <w:i/>
              <w:noProof/>
              <w:sz w:val="18"/>
            </w:rPr>
            <w:t>37</w:t>
          </w:r>
          <w:r w:rsidRPr="007A1328">
            <w:rPr>
              <w:i/>
              <w:sz w:val="18"/>
            </w:rPr>
            <w:fldChar w:fldCharType="end"/>
          </w:r>
        </w:p>
      </w:tc>
    </w:tr>
  </w:tbl>
  <w:p w:rsidR="00E73430" w:rsidRPr="0078369C" w:rsidRDefault="00E73430" w:rsidP="008535E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7A1328" w:rsidRDefault="00E73430" w:rsidP="008535EF">
    <w:pPr>
      <w:pBdr>
        <w:top w:val="single" w:sz="6" w:space="1" w:color="auto"/>
      </w:pBdr>
      <w:spacing w:before="120"/>
      <w:rPr>
        <w:sz w:val="18"/>
      </w:rPr>
    </w:pPr>
  </w:p>
  <w:p w:rsidR="00E73430" w:rsidRPr="007A1328" w:rsidRDefault="00E73430" w:rsidP="008535E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4F44">
      <w:rPr>
        <w:i/>
        <w:noProof/>
        <w:sz w:val="18"/>
      </w:rPr>
      <w:t>High Court of Australia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54F4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E6610">
      <w:rPr>
        <w:i/>
        <w:noProof/>
        <w:sz w:val="18"/>
      </w:rPr>
      <w:t>38</w:t>
    </w:r>
    <w:r w:rsidRPr="007A1328">
      <w:rPr>
        <w:i/>
        <w:sz w:val="18"/>
      </w:rPr>
      <w:fldChar w:fldCharType="end"/>
    </w:r>
  </w:p>
  <w:p w:rsidR="00E73430" w:rsidRPr="007A1328" w:rsidRDefault="00E73430" w:rsidP="008535EF">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3430" w:rsidTr="00132F60">
      <w:tc>
        <w:tcPr>
          <w:tcW w:w="646" w:type="dxa"/>
        </w:tcPr>
        <w:p w:rsidR="00E73430" w:rsidRDefault="00E73430" w:rsidP="00E7343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6610">
            <w:rPr>
              <w:i/>
              <w:noProof/>
              <w:sz w:val="18"/>
            </w:rPr>
            <w:t>38</w:t>
          </w:r>
          <w:r w:rsidRPr="007A1328">
            <w:rPr>
              <w:i/>
              <w:sz w:val="18"/>
            </w:rPr>
            <w:fldChar w:fldCharType="end"/>
          </w:r>
        </w:p>
      </w:tc>
      <w:tc>
        <w:tcPr>
          <w:tcW w:w="5387" w:type="dxa"/>
        </w:tcPr>
        <w:p w:rsidR="00E73430" w:rsidRDefault="00E73430" w:rsidP="00E734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4F44">
            <w:rPr>
              <w:i/>
              <w:sz w:val="18"/>
            </w:rPr>
            <w:t>High Court of Australia Act 1979</w:t>
          </w:r>
          <w:r w:rsidRPr="007A1328">
            <w:rPr>
              <w:i/>
              <w:sz w:val="18"/>
            </w:rPr>
            <w:fldChar w:fldCharType="end"/>
          </w:r>
        </w:p>
      </w:tc>
      <w:tc>
        <w:tcPr>
          <w:tcW w:w="1270" w:type="dxa"/>
        </w:tcPr>
        <w:p w:rsidR="00E73430" w:rsidRDefault="00E73430" w:rsidP="00E73430">
          <w:pPr>
            <w:jc w:val="right"/>
            <w:rPr>
              <w:sz w:val="18"/>
            </w:rPr>
          </w:pPr>
        </w:p>
      </w:tc>
    </w:tr>
  </w:tbl>
  <w:p w:rsidR="00E73430" w:rsidRPr="0078369C" w:rsidRDefault="00E73430" w:rsidP="008535E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73430" w:rsidTr="00132F60">
      <w:tc>
        <w:tcPr>
          <w:tcW w:w="1247" w:type="dxa"/>
        </w:tcPr>
        <w:p w:rsidR="00E73430" w:rsidRDefault="00E73430" w:rsidP="00E73430">
          <w:pPr>
            <w:rPr>
              <w:sz w:val="18"/>
            </w:rPr>
          </w:pPr>
        </w:p>
      </w:tc>
      <w:tc>
        <w:tcPr>
          <w:tcW w:w="5387" w:type="dxa"/>
        </w:tcPr>
        <w:p w:rsidR="00E73430" w:rsidRDefault="00E73430" w:rsidP="00E734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4F44">
            <w:rPr>
              <w:i/>
              <w:sz w:val="18"/>
            </w:rPr>
            <w:t>High Court of Australia Act 1979</w:t>
          </w:r>
          <w:r w:rsidRPr="007A1328">
            <w:rPr>
              <w:i/>
              <w:sz w:val="18"/>
            </w:rPr>
            <w:fldChar w:fldCharType="end"/>
          </w:r>
        </w:p>
      </w:tc>
      <w:tc>
        <w:tcPr>
          <w:tcW w:w="669" w:type="dxa"/>
        </w:tcPr>
        <w:p w:rsidR="00E73430" w:rsidRDefault="00E73430" w:rsidP="00E7343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6610">
            <w:rPr>
              <w:i/>
              <w:noProof/>
              <w:sz w:val="18"/>
            </w:rPr>
            <w:t>38</w:t>
          </w:r>
          <w:r w:rsidRPr="007A1328">
            <w:rPr>
              <w:i/>
              <w:sz w:val="18"/>
            </w:rPr>
            <w:fldChar w:fldCharType="end"/>
          </w:r>
        </w:p>
      </w:tc>
    </w:tr>
  </w:tbl>
  <w:p w:rsidR="00E73430" w:rsidRPr="0078369C" w:rsidRDefault="00E73430" w:rsidP="008535E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7A1328" w:rsidRDefault="00E73430" w:rsidP="008535EF">
    <w:pPr>
      <w:pBdr>
        <w:top w:val="single" w:sz="6" w:space="1" w:color="auto"/>
      </w:pBdr>
      <w:spacing w:before="120"/>
      <w:rPr>
        <w:sz w:val="18"/>
      </w:rPr>
    </w:pPr>
  </w:p>
  <w:p w:rsidR="00E73430" w:rsidRPr="007A1328" w:rsidRDefault="00E73430" w:rsidP="008535E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4F44">
      <w:rPr>
        <w:i/>
        <w:noProof/>
        <w:sz w:val="18"/>
      </w:rPr>
      <w:t>High Court of Australia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54F4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E6610">
      <w:rPr>
        <w:i/>
        <w:noProof/>
        <w:sz w:val="18"/>
      </w:rPr>
      <w:t>38</w:t>
    </w:r>
    <w:r w:rsidRPr="007A1328">
      <w:rPr>
        <w:i/>
        <w:sz w:val="18"/>
      </w:rPr>
      <w:fldChar w:fldCharType="end"/>
    </w:r>
  </w:p>
  <w:p w:rsidR="00E73430" w:rsidRPr="007A1328" w:rsidRDefault="00E73430" w:rsidP="008535EF">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ED79B6" w:rsidRDefault="00E73430" w:rsidP="008535E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3430" w:rsidTr="00E73430">
      <w:tc>
        <w:tcPr>
          <w:tcW w:w="646" w:type="dxa"/>
        </w:tcPr>
        <w:p w:rsidR="00E73430" w:rsidRDefault="00E73430" w:rsidP="00E7343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32F60">
            <w:rPr>
              <w:i/>
              <w:noProof/>
              <w:sz w:val="18"/>
            </w:rPr>
            <w:t>ii</w:t>
          </w:r>
          <w:r w:rsidRPr="00ED79B6">
            <w:rPr>
              <w:i/>
              <w:sz w:val="18"/>
            </w:rPr>
            <w:fldChar w:fldCharType="end"/>
          </w:r>
        </w:p>
      </w:tc>
      <w:tc>
        <w:tcPr>
          <w:tcW w:w="5387" w:type="dxa"/>
        </w:tcPr>
        <w:p w:rsidR="00E73430" w:rsidRDefault="00E73430" w:rsidP="00E7343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4F44">
            <w:rPr>
              <w:i/>
              <w:sz w:val="18"/>
            </w:rPr>
            <w:t>High Court of Australia Act 1979</w:t>
          </w:r>
          <w:r w:rsidRPr="00ED79B6">
            <w:rPr>
              <w:i/>
              <w:sz w:val="18"/>
            </w:rPr>
            <w:fldChar w:fldCharType="end"/>
          </w:r>
        </w:p>
      </w:tc>
      <w:tc>
        <w:tcPr>
          <w:tcW w:w="1270" w:type="dxa"/>
        </w:tcPr>
        <w:p w:rsidR="00E73430" w:rsidRDefault="00E73430" w:rsidP="00E73430">
          <w:pPr>
            <w:jc w:val="right"/>
            <w:rPr>
              <w:sz w:val="18"/>
            </w:rPr>
          </w:pPr>
        </w:p>
      </w:tc>
    </w:tr>
  </w:tbl>
  <w:p w:rsidR="00E73430" w:rsidRPr="0078369C" w:rsidRDefault="00E73430" w:rsidP="008535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ED79B6"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73430" w:rsidTr="00E73430">
      <w:tc>
        <w:tcPr>
          <w:tcW w:w="1247" w:type="dxa"/>
        </w:tcPr>
        <w:p w:rsidR="00E73430" w:rsidRDefault="00E73430" w:rsidP="00E73430">
          <w:pPr>
            <w:rPr>
              <w:i/>
              <w:sz w:val="18"/>
            </w:rPr>
          </w:pPr>
        </w:p>
      </w:tc>
      <w:tc>
        <w:tcPr>
          <w:tcW w:w="5387" w:type="dxa"/>
        </w:tcPr>
        <w:p w:rsidR="00E73430" w:rsidRDefault="00E73430" w:rsidP="00E7343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4F44">
            <w:rPr>
              <w:i/>
              <w:sz w:val="18"/>
            </w:rPr>
            <w:t>High Court of Australia Act 1979</w:t>
          </w:r>
          <w:r w:rsidRPr="00ED79B6">
            <w:rPr>
              <w:i/>
              <w:sz w:val="18"/>
            </w:rPr>
            <w:fldChar w:fldCharType="end"/>
          </w:r>
        </w:p>
      </w:tc>
      <w:tc>
        <w:tcPr>
          <w:tcW w:w="669" w:type="dxa"/>
        </w:tcPr>
        <w:p w:rsidR="00E73430" w:rsidRDefault="00E73430" w:rsidP="00E7343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32F60">
            <w:rPr>
              <w:i/>
              <w:noProof/>
              <w:sz w:val="18"/>
            </w:rPr>
            <w:t>i</w:t>
          </w:r>
          <w:r w:rsidRPr="00ED79B6">
            <w:rPr>
              <w:i/>
              <w:sz w:val="18"/>
            </w:rPr>
            <w:fldChar w:fldCharType="end"/>
          </w:r>
        </w:p>
      </w:tc>
    </w:tr>
  </w:tbl>
  <w:p w:rsidR="00E73430" w:rsidRPr="0078369C" w:rsidRDefault="00E73430" w:rsidP="008535E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3430" w:rsidTr="00132F60">
      <w:tc>
        <w:tcPr>
          <w:tcW w:w="646" w:type="dxa"/>
        </w:tcPr>
        <w:p w:rsidR="00E73430" w:rsidRDefault="00E73430" w:rsidP="00E7343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32F60">
            <w:rPr>
              <w:i/>
              <w:noProof/>
              <w:sz w:val="18"/>
            </w:rPr>
            <w:t>26</w:t>
          </w:r>
          <w:r w:rsidRPr="007A1328">
            <w:rPr>
              <w:i/>
              <w:sz w:val="18"/>
            </w:rPr>
            <w:fldChar w:fldCharType="end"/>
          </w:r>
        </w:p>
      </w:tc>
      <w:tc>
        <w:tcPr>
          <w:tcW w:w="5387" w:type="dxa"/>
        </w:tcPr>
        <w:p w:rsidR="00E73430" w:rsidRDefault="00E73430" w:rsidP="00E734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4F44">
            <w:rPr>
              <w:i/>
              <w:sz w:val="18"/>
            </w:rPr>
            <w:t>High Court of Australia Act 1979</w:t>
          </w:r>
          <w:r w:rsidRPr="007A1328">
            <w:rPr>
              <w:i/>
              <w:sz w:val="18"/>
            </w:rPr>
            <w:fldChar w:fldCharType="end"/>
          </w:r>
        </w:p>
      </w:tc>
      <w:tc>
        <w:tcPr>
          <w:tcW w:w="1270" w:type="dxa"/>
        </w:tcPr>
        <w:p w:rsidR="00E73430" w:rsidRDefault="00E73430" w:rsidP="00E73430">
          <w:pPr>
            <w:jc w:val="right"/>
            <w:rPr>
              <w:sz w:val="18"/>
            </w:rPr>
          </w:pPr>
        </w:p>
      </w:tc>
    </w:tr>
  </w:tbl>
  <w:p w:rsidR="00E73430" w:rsidRPr="0078369C" w:rsidRDefault="00E73430" w:rsidP="008535E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73430" w:rsidTr="00132F60">
      <w:tc>
        <w:tcPr>
          <w:tcW w:w="1247" w:type="dxa"/>
        </w:tcPr>
        <w:p w:rsidR="00E73430" w:rsidRDefault="00E73430" w:rsidP="00E73430">
          <w:pPr>
            <w:rPr>
              <w:sz w:val="18"/>
            </w:rPr>
          </w:pPr>
        </w:p>
      </w:tc>
      <w:tc>
        <w:tcPr>
          <w:tcW w:w="5387" w:type="dxa"/>
        </w:tcPr>
        <w:p w:rsidR="00E73430" w:rsidRDefault="00E73430" w:rsidP="00E734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4F44">
            <w:rPr>
              <w:i/>
              <w:sz w:val="18"/>
            </w:rPr>
            <w:t>High Court of Australia Act 1979</w:t>
          </w:r>
          <w:r w:rsidRPr="007A1328">
            <w:rPr>
              <w:i/>
              <w:sz w:val="18"/>
            </w:rPr>
            <w:fldChar w:fldCharType="end"/>
          </w:r>
        </w:p>
      </w:tc>
      <w:tc>
        <w:tcPr>
          <w:tcW w:w="669" w:type="dxa"/>
        </w:tcPr>
        <w:p w:rsidR="00E73430" w:rsidRDefault="00E73430" w:rsidP="00E7343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32F60">
            <w:rPr>
              <w:i/>
              <w:noProof/>
              <w:sz w:val="18"/>
            </w:rPr>
            <w:t>1</w:t>
          </w:r>
          <w:r w:rsidRPr="007A1328">
            <w:rPr>
              <w:i/>
              <w:sz w:val="18"/>
            </w:rPr>
            <w:fldChar w:fldCharType="end"/>
          </w:r>
        </w:p>
      </w:tc>
    </w:tr>
  </w:tbl>
  <w:p w:rsidR="00E73430" w:rsidRPr="0078369C" w:rsidRDefault="00E73430" w:rsidP="008535E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7A1328" w:rsidRDefault="00E73430" w:rsidP="008535EF">
    <w:pPr>
      <w:pBdr>
        <w:top w:val="single" w:sz="6" w:space="1" w:color="auto"/>
      </w:pBdr>
      <w:spacing w:before="120"/>
      <w:rPr>
        <w:sz w:val="18"/>
      </w:rPr>
    </w:pPr>
  </w:p>
  <w:p w:rsidR="00E73430" w:rsidRPr="007A1328" w:rsidRDefault="00E73430" w:rsidP="008535E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4F44">
      <w:rPr>
        <w:i/>
        <w:noProof/>
        <w:sz w:val="18"/>
      </w:rPr>
      <w:t>High Court of Australia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54F4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E6610">
      <w:rPr>
        <w:i/>
        <w:noProof/>
        <w:sz w:val="18"/>
      </w:rPr>
      <w:t>38</w:t>
    </w:r>
    <w:r w:rsidRPr="007A1328">
      <w:rPr>
        <w:i/>
        <w:sz w:val="18"/>
      </w:rPr>
      <w:fldChar w:fldCharType="end"/>
    </w:r>
  </w:p>
  <w:p w:rsidR="00E73430" w:rsidRPr="007A1328" w:rsidRDefault="00E73430" w:rsidP="008535E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8535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3430" w:rsidTr="00132F60">
      <w:tc>
        <w:tcPr>
          <w:tcW w:w="646" w:type="dxa"/>
        </w:tcPr>
        <w:p w:rsidR="00E73430" w:rsidRDefault="00E73430" w:rsidP="00E7343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32F60">
            <w:rPr>
              <w:i/>
              <w:noProof/>
              <w:sz w:val="18"/>
            </w:rPr>
            <w:t>38</w:t>
          </w:r>
          <w:r w:rsidRPr="007A1328">
            <w:rPr>
              <w:i/>
              <w:sz w:val="18"/>
            </w:rPr>
            <w:fldChar w:fldCharType="end"/>
          </w:r>
        </w:p>
      </w:tc>
      <w:tc>
        <w:tcPr>
          <w:tcW w:w="5387" w:type="dxa"/>
        </w:tcPr>
        <w:p w:rsidR="00E73430" w:rsidRDefault="00E73430" w:rsidP="00E734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4F44">
            <w:rPr>
              <w:i/>
              <w:sz w:val="18"/>
            </w:rPr>
            <w:t>High Court of Australia Act 1979</w:t>
          </w:r>
          <w:r w:rsidRPr="007A1328">
            <w:rPr>
              <w:i/>
              <w:sz w:val="18"/>
            </w:rPr>
            <w:fldChar w:fldCharType="end"/>
          </w:r>
        </w:p>
      </w:tc>
      <w:tc>
        <w:tcPr>
          <w:tcW w:w="1270" w:type="dxa"/>
        </w:tcPr>
        <w:p w:rsidR="00E73430" w:rsidRDefault="00E73430" w:rsidP="00E73430">
          <w:pPr>
            <w:jc w:val="right"/>
            <w:rPr>
              <w:sz w:val="18"/>
            </w:rPr>
          </w:pPr>
        </w:p>
      </w:tc>
    </w:tr>
  </w:tbl>
  <w:p w:rsidR="00E73430" w:rsidRPr="0078369C" w:rsidRDefault="00E73430" w:rsidP="00853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30" w:rsidRDefault="00E73430">
      <w:pPr>
        <w:spacing w:line="240" w:lineRule="auto"/>
      </w:pPr>
      <w:r>
        <w:separator/>
      </w:r>
    </w:p>
  </w:footnote>
  <w:footnote w:type="continuationSeparator" w:id="0">
    <w:p w:rsidR="00E73430" w:rsidRDefault="00E734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E73430">
    <w:pPr>
      <w:pStyle w:val="Header"/>
      <w:pBdr>
        <w:bottom w:val="single" w:sz="6" w:space="1" w:color="auto"/>
      </w:pBdr>
    </w:pPr>
  </w:p>
  <w:p w:rsidR="00E73430" w:rsidRDefault="00E73430" w:rsidP="00E73430">
    <w:pPr>
      <w:pStyle w:val="Header"/>
      <w:pBdr>
        <w:bottom w:val="single" w:sz="6" w:space="1" w:color="auto"/>
      </w:pBdr>
    </w:pPr>
  </w:p>
  <w:p w:rsidR="00E73430" w:rsidRPr="001E77D2" w:rsidRDefault="00E73430" w:rsidP="00E7343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E140E4" w:rsidRDefault="00E73430">
    <w:pPr>
      <w:keepNext/>
      <w:rPr>
        <w:b/>
        <w:sz w:val="20"/>
      </w:rPr>
    </w:pPr>
    <w:r w:rsidRPr="00E140E4">
      <w:rPr>
        <w:b/>
        <w:sz w:val="20"/>
      </w:rPr>
      <w:fldChar w:fldCharType="begin"/>
    </w:r>
    <w:r w:rsidRPr="00E140E4">
      <w:rPr>
        <w:b/>
        <w:sz w:val="20"/>
      </w:rPr>
      <w:instrText xml:space="preserve"> STYLEREF  CharChapNo  \* CHARFORMAT </w:instrText>
    </w:r>
    <w:r w:rsidR="00654F44">
      <w:rPr>
        <w:b/>
        <w:sz w:val="20"/>
      </w:rPr>
      <w:fldChar w:fldCharType="separate"/>
    </w:r>
    <w:r w:rsidR="00132F60">
      <w:rPr>
        <w:b/>
        <w:noProof/>
        <w:sz w:val="20"/>
      </w:rPr>
      <w:t>Schedule</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end"/>
    </w:r>
  </w:p>
  <w:p w:rsidR="00E73430" w:rsidRPr="00E140E4" w:rsidRDefault="00E73430">
    <w:pPr>
      <w:keepNext/>
      <w:rPr>
        <w:b/>
        <w:sz w:val="20"/>
      </w:rPr>
    </w:pPr>
  </w:p>
  <w:p w:rsidR="00E73430" w:rsidRPr="00E140E4" w:rsidRDefault="00E73430">
    <w:pPr>
      <w:keepNext/>
      <w:rPr>
        <w:b/>
        <w:sz w:val="20"/>
      </w:rPr>
    </w:pPr>
  </w:p>
  <w:p w:rsidR="00E73430" w:rsidRPr="00E140E4" w:rsidRDefault="00E73430">
    <w:pPr>
      <w:keepNext/>
      <w:rPr>
        <w:sz w:val="24"/>
      </w:rPr>
    </w:pPr>
  </w:p>
  <w:p w:rsidR="00E73430" w:rsidRPr="00E140E4" w:rsidRDefault="00E73430">
    <w:pPr>
      <w:keepNext/>
      <w:rPr>
        <w:b/>
        <w:sz w:val="24"/>
      </w:rPr>
    </w:pPr>
  </w:p>
  <w:p w:rsidR="00E73430" w:rsidRPr="00E140E4" w:rsidRDefault="00E73430">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8B6C21" w:rsidRDefault="00E73430">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end"/>
    </w:r>
  </w:p>
  <w:p w:rsidR="00E73430" w:rsidRPr="00E140E4" w:rsidRDefault="00E73430">
    <w:pPr>
      <w:keepNext/>
      <w:jc w:val="right"/>
      <w:rPr>
        <w:sz w:val="20"/>
      </w:rPr>
    </w:pPr>
  </w:p>
  <w:p w:rsidR="00E73430" w:rsidRPr="008C6D62" w:rsidRDefault="00E73430">
    <w:pPr>
      <w:keepNext/>
      <w:jc w:val="right"/>
      <w:rPr>
        <w:sz w:val="20"/>
      </w:rPr>
    </w:pPr>
  </w:p>
  <w:p w:rsidR="00E73430" w:rsidRPr="00E140E4" w:rsidRDefault="00E73430">
    <w:pPr>
      <w:keepNext/>
      <w:jc w:val="right"/>
      <w:rPr>
        <w:sz w:val="24"/>
      </w:rPr>
    </w:pPr>
  </w:p>
  <w:p w:rsidR="00E73430" w:rsidRPr="00E140E4" w:rsidRDefault="00E73430">
    <w:pPr>
      <w:keepNext/>
      <w:jc w:val="right"/>
      <w:rPr>
        <w:b/>
        <w:sz w:val="24"/>
      </w:rPr>
    </w:pPr>
  </w:p>
  <w:p w:rsidR="00E73430" w:rsidRPr="008C6D62" w:rsidRDefault="00E73430">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7E528B" w:rsidRDefault="00E73430" w:rsidP="00E73430">
    <w:pPr>
      <w:rPr>
        <w:sz w:val="26"/>
        <w:szCs w:val="26"/>
      </w:rPr>
    </w:pPr>
  </w:p>
  <w:p w:rsidR="00E73430" w:rsidRPr="00750516" w:rsidRDefault="00E73430" w:rsidP="00E73430">
    <w:pPr>
      <w:rPr>
        <w:b/>
        <w:sz w:val="20"/>
      </w:rPr>
    </w:pPr>
    <w:r w:rsidRPr="00750516">
      <w:rPr>
        <w:b/>
        <w:sz w:val="20"/>
      </w:rPr>
      <w:t>Endnotes</w:t>
    </w:r>
  </w:p>
  <w:p w:rsidR="00E73430" w:rsidRPr="007A1328" w:rsidRDefault="00E73430" w:rsidP="00E73430">
    <w:pPr>
      <w:rPr>
        <w:sz w:val="20"/>
      </w:rPr>
    </w:pPr>
  </w:p>
  <w:p w:rsidR="00E73430" w:rsidRPr="007A1328" w:rsidRDefault="00E73430" w:rsidP="00E73430">
    <w:pPr>
      <w:rPr>
        <w:b/>
        <w:sz w:val="24"/>
      </w:rPr>
    </w:pPr>
  </w:p>
  <w:p w:rsidR="00E73430" w:rsidRPr="007E528B" w:rsidRDefault="00E73430" w:rsidP="00E7343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32F60">
      <w:rPr>
        <w:noProof/>
        <w:szCs w:val="22"/>
      </w:rPr>
      <w:t>Endnote 8—Miscellaneous</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7E528B" w:rsidRDefault="00E73430" w:rsidP="00E73430">
    <w:pPr>
      <w:jc w:val="right"/>
      <w:rPr>
        <w:sz w:val="26"/>
        <w:szCs w:val="26"/>
      </w:rPr>
    </w:pPr>
  </w:p>
  <w:p w:rsidR="00E73430" w:rsidRPr="00750516" w:rsidRDefault="00E73430" w:rsidP="00E73430">
    <w:pPr>
      <w:jc w:val="right"/>
      <w:rPr>
        <w:b/>
        <w:sz w:val="20"/>
      </w:rPr>
    </w:pPr>
    <w:r w:rsidRPr="00750516">
      <w:rPr>
        <w:b/>
        <w:sz w:val="20"/>
      </w:rPr>
      <w:t>Endnotes</w:t>
    </w:r>
  </w:p>
  <w:p w:rsidR="00E73430" w:rsidRPr="007A1328" w:rsidRDefault="00E73430" w:rsidP="00E73430">
    <w:pPr>
      <w:jc w:val="right"/>
      <w:rPr>
        <w:sz w:val="20"/>
      </w:rPr>
    </w:pPr>
  </w:p>
  <w:p w:rsidR="00E73430" w:rsidRPr="007A1328" w:rsidRDefault="00E73430" w:rsidP="00E73430">
    <w:pPr>
      <w:jc w:val="right"/>
      <w:rPr>
        <w:b/>
        <w:sz w:val="24"/>
      </w:rPr>
    </w:pPr>
  </w:p>
  <w:p w:rsidR="00E73430" w:rsidRPr="007E528B" w:rsidRDefault="00E73430" w:rsidP="00E7343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32F60">
      <w:rPr>
        <w:noProof/>
        <w:szCs w:val="22"/>
      </w:rPr>
      <w:t>Endnote 5—Uncommenced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8C6D62" w:rsidRDefault="00E73430">
    <w:pPr>
      <w:keepNext/>
      <w:rPr>
        <w:sz w:val="20"/>
      </w:rPr>
    </w:pPr>
  </w:p>
  <w:p w:rsidR="00E73430" w:rsidRPr="008C6D62" w:rsidRDefault="00E73430">
    <w:pPr>
      <w:keepNext/>
      <w:rPr>
        <w:sz w:val="20"/>
      </w:rPr>
    </w:pPr>
  </w:p>
  <w:p w:rsidR="00E73430" w:rsidRPr="008C6D62" w:rsidRDefault="00E73430">
    <w:pPr>
      <w:keepNext/>
      <w:rPr>
        <w:sz w:val="20"/>
      </w:rPr>
    </w:pPr>
  </w:p>
  <w:p w:rsidR="00E73430" w:rsidRPr="00E140E4" w:rsidRDefault="00E73430">
    <w:pPr>
      <w:keepNext/>
      <w:rPr>
        <w:sz w:val="24"/>
      </w:rPr>
    </w:pPr>
  </w:p>
  <w:p w:rsidR="00E73430" w:rsidRPr="00E140E4" w:rsidRDefault="00E73430">
    <w:pPr>
      <w:keepNext/>
      <w:rPr>
        <w:sz w:val="24"/>
      </w:rPr>
    </w:pPr>
  </w:p>
  <w:p w:rsidR="00E73430" w:rsidRPr="008C6D62" w:rsidRDefault="00E73430">
    <w:pPr>
      <w:pStyle w:val="Header"/>
      <w:pBdr>
        <w:top w:val="single" w:sz="12"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8C6D62" w:rsidRDefault="00E73430">
    <w:pPr>
      <w:keepNext/>
      <w:jc w:val="right"/>
      <w:rPr>
        <w:sz w:val="20"/>
      </w:rPr>
    </w:pPr>
  </w:p>
  <w:p w:rsidR="00E73430" w:rsidRPr="008C6D62" w:rsidRDefault="00E73430">
    <w:pPr>
      <w:keepNext/>
      <w:jc w:val="right"/>
      <w:rPr>
        <w:sz w:val="20"/>
      </w:rPr>
    </w:pPr>
  </w:p>
  <w:p w:rsidR="00E73430" w:rsidRPr="008C6D62" w:rsidRDefault="00E73430">
    <w:pPr>
      <w:keepNext/>
      <w:jc w:val="right"/>
      <w:rPr>
        <w:sz w:val="20"/>
      </w:rPr>
    </w:pPr>
  </w:p>
  <w:p w:rsidR="00E73430" w:rsidRPr="00E140E4" w:rsidRDefault="00E73430">
    <w:pPr>
      <w:keepNext/>
      <w:jc w:val="right"/>
      <w:rPr>
        <w:sz w:val="24"/>
      </w:rPr>
    </w:pPr>
  </w:p>
  <w:p w:rsidR="00E73430" w:rsidRPr="00E140E4" w:rsidRDefault="00E73430">
    <w:pPr>
      <w:keepNext/>
      <w:jc w:val="right"/>
      <w:rPr>
        <w:sz w:val="24"/>
      </w:rPr>
    </w:pPr>
  </w:p>
  <w:p w:rsidR="00E73430" w:rsidRPr="008C6D62" w:rsidRDefault="00E73430">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Default="00E73430" w:rsidP="00E73430">
    <w:pPr>
      <w:pStyle w:val="Header"/>
      <w:pBdr>
        <w:bottom w:val="single" w:sz="4" w:space="1" w:color="auto"/>
      </w:pBdr>
    </w:pPr>
  </w:p>
  <w:p w:rsidR="00E73430" w:rsidRDefault="00E73430" w:rsidP="00E73430">
    <w:pPr>
      <w:pStyle w:val="Header"/>
      <w:pBdr>
        <w:bottom w:val="single" w:sz="4" w:space="1" w:color="auto"/>
      </w:pBdr>
    </w:pPr>
  </w:p>
  <w:p w:rsidR="00E73430" w:rsidRPr="001E77D2" w:rsidRDefault="00E73430" w:rsidP="00E7343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5F1388" w:rsidRDefault="00E73430" w:rsidP="00E7343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ED79B6" w:rsidRDefault="00E73430" w:rsidP="00E7343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ED79B6" w:rsidRDefault="00E73430" w:rsidP="00E7343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ED79B6" w:rsidRDefault="00E73430" w:rsidP="00E7343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FF4C0F" w:rsidRDefault="00E7343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E73430" w:rsidRPr="00FF4C0F" w:rsidRDefault="00E7343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654F44">
      <w:rPr>
        <w:sz w:val="20"/>
      </w:rPr>
      <w:fldChar w:fldCharType="separate"/>
    </w:r>
    <w:r w:rsidR="00132F60">
      <w:rPr>
        <w:b/>
        <w:noProof/>
        <w:sz w:val="20"/>
      </w:rPr>
      <w:t>Part 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654F44">
      <w:rPr>
        <w:sz w:val="20"/>
      </w:rPr>
      <w:fldChar w:fldCharType="separate"/>
    </w:r>
    <w:r w:rsidR="00132F60">
      <w:rPr>
        <w:noProof/>
        <w:sz w:val="20"/>
      </w:rPr>
      <w:t>Preliminary</w:t>
    </w:r>
    <w:r w:rsidRPr="00FF4C0F">
      <w:rPr>
        <w:sz w:val="20"/>
      </w:rPr>
      <w:fldChar w:fldCharType="end"/>
    </w:r>
  </w:p>
  <w:p w:rsidR="00E73430" w:rsidRPr="00FF4C0F" w:rsidRDefault="00E7343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E73430" w:rsidRPr="00E140E4" w:rsidRDefault="00E73430">
    <w:pPr>
      <w:keepNext/>
      <w:rPr>
        <w:sz w:val="24"/>
      </w:rPr>
    </w:pPr>
  </w:p>
  <w:p w:rsidR="00E73430" w:rsidRPr="00E140E4" w:rsidRDefault="00E73430">
    <w:pPr>
      <w:keepNext/>
      <w:rPr>
        <w:b/>
        <w:sz w:val="24"/>
      </w:rPr>
    </w:pPr>
    <w:r w:rsidRPr="00E140E4">
      <w:rPr>
        <w:sz w:val="24"/>
      </w:rPr>
      <w:t>Section</w:t>
    </w:r>
    <w:r w:rsidRPr="00FF4C0F">
      <w:rPr>
        <w:sz w:val="24"/>
      </w:rPr>
      <w:t xml:space="preserve"> </w:t>
    </w:r>
    <w:r w:rsidRPr="00FF4C0F">
      <w:rPr>
        <w:sz w:val="24"/>
      </w:rPr>
      <w:fldChar w:fldCharType="begin"/>
    </w:r>
    <w:r w:rsidRPr="00FF4C0F">
      <w:rPr>
        <w:sz w:val="24"/>
      </w:rPr>
      <w:instrText xml:space="preserve"> STYLEREF  CharSectno  \* CHARFORMAT </w:instrText>
    </w:r>
    <w:r w:rsidRPr="00FF4C0F">
      <w:rPr>
        <w:sz w:val="24"/>
      </w:rPr>
      <w:fldChar w:fldCharType="separate"/>
    </w:r>
    <w:r w:rsidR="00132F60">
      <w:rPr>
        <w:noProof/>
        <w:sz w:val="24"/>
      </w:rPr>
      <w:t>4</w:t>
    </w:r>
    <w:r w:rsidRPr="00FF4C0F">
      <w:rPr>
        <w:sz w:val="24"/>
      </w:rPr>
      <w:fldChar w:fldCharType="end"/>
    </w:r>
  </w:p>
  <w:p w:rsidR="00E73430" w:rsidRPr="00E140E4" w:rsidRDefault="00E73430">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FF4C0F" w:rsidRDefault="00E7343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E73430" w:rsidRPr="00FF4C0F" w:rsidRDefault="00E73430">
    <w:pPr>
      <w:keepNext/>
      <w:jc w:val="right"/>
      <w:rPr>
        <w:sz w:val="20"/>
      </w:rPr>
    </w:pPr>
    <w:r w:rsidRPr="00FF4C0F">
      <w:rPr>
        <w:sz w:val="20"/>
      </w:rPr>
      <w:fldChar w:fldCharType="begin"/>
    </w:r>
    <w:r w:rsidRPr="00FF4C0F">
      <w:rPr>
        <w:sz w:val="20"/>
      </w:rPr>
      <w:instrText xml:space="preserve"> STYLEREF  CharPartText  \* CHARFORMAT </w:instrText>
    </w:r>
    <w:r w:rsidR="00654F44">
      <w:rPr>
        <w:sz w:val="20"/>
      </w:rPr>
      <w:fldChar w:fldCharType="separate"/>
    </w:r>
    <w:r w:rsidR="00132F60">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654F44">
      <w:rPr>
        <w:sz w:val="20"/>
      </w:rPr>
      <w:fldChar w:fldCharType="separate"/>
    </w:r>
    <w:r w:rsidR="00132F60">
      <w:rPr>
        <w:b/>
        <w:noProof/>
        <w:sz w:val="20"/>
      </w:rPr>
      <w:t>Part I</w:t>
    </w:r>
    <w:r w:rsidRPr="00FF4C0F">
      <w:rPr>
        <w:sz w:val="20"/>
      </w:rPr>
      <w:fldChar w:fldCharType="end"/>
    </w:r>
  </w:p>
  <w:p w:rsidR="00E73430" w:rsidRPr="00FF4C0F" w:rsidRDefault="00E7343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E73430" w:rsidRPr="00E140E4" w:rsidRDefault="00E73430">
    <w:pPr>
      <w:keepNext/>
      <w:jc w:val="right"/>
      <w:rPr>
        <w:sz w:val="24"/>
      </w:rPr>
    </w:pPr>
  </w:p>
  <w:p w:rsidR="00E73430" w:rsidRPr="0037294E" w:rsidRDefault="00E73430">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sidR="00132F60">
      <w:rPr>
        <w:noProof/>
        <w:sz w:val="24"/>
      </w:rPr>
      <w:t>1</w:t>
    </w:r>
    <w:r w:rsidRPr="00FF4C0F">
      <w:rPr>
        <w:sz w:val="24"/>
      </w:rPr>
      <w:fldChar w:fldCharType="end"/>
    </w:r>
  </w:p>
  <w:p w:rsidR="00E73430" w:rsidRPr="008C6D62" w:rsidRDefault="00E73430">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30" w:rsidRPr="008C6D62" w:rsidRDefault="00E73430">
    <w:pPr>
      <w:keepNext/>
      <w:jc w:val="right"/>
      <w:rPr>
        <w:sz w:val="20"/>
      </w:rPr>
    </w:pPr>
  </w:p>
  <w:p w:rsidR="00E73430" w:rsidRPr="008C6D62" w:rsidRDefault="00E73430">
    <w:pPr>
      <w:keepNext/>
      <w:jc w:val="right"/>
      <w:rPr>
        <w:sz w:val="20"/>
      </w:rPr>
    </w:pPr>
  </w:p>
  <w:p w:rsidR="00E73430" w:rsidRPr="008C6D62" w:rsidRDefault="00E73430">
    <w:pPr>
      <w:keepNext/>
      <w:jc w:val="right"/>
      <w:rPr>
        <w:sz w:val="20"/>
      </w:rPr>
    </w:pPr>
  </w:p>
  <w:p w:rsidR="00E73430" w:rsidRPr="00E140E4" w:rsidRDefault="00E73430">
    <w:pPr>
      <w:keepNext/>
      <w:jc w:val="right"/>
      <w:rPr>
        <w:sz w:val="24"/>
      </w:rPr>
    </w:pPr>
  </w:p>
  <w:p w:rsidR="00E73430" w:rsidRPr="00E140E4" w:rsidRDefault="00E73430">
    <w:pPr>
      <w:keepNext/>
      <w:jc w:val="right"/>
      <w:rPr>
        <w:sz w:val="24"/>
      </w:rPr>
    </w:pPr>
  </w:p>
  <w:p w:rsidR="00E73430" w:rsidRPr="008C6D62" w:rsidRDefault="00E73430">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1"/>
  </w:num>
  <w:num w:numId="15">
    <w:abstractNumId w:val="13"/>
  </w:num>
  <w:num w:numId="16">
    <w:abstractNumId w:val="12"/>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76E0"/>
    <w:rsid w:val="000101FC"/>
    <w:rsid w:val="00046A8A"/>
    <w:rsid w:val="00060D0F"/>
    <w:rsid w:val="000917DF"/>
    <w:rsid w:val="000A7076"/>
    <w:rsid w:val="000C0531"/>
    <w:rsid w:val="000D0AEE"/>
    <w:rsid w:val="000D0EAD"/>
    <w:rsid w:val="000E4F9F"/>
    <w:rsid w:val="000F2DBF"/>
    <w:rsid w:val="00101B5A"/>
    <w:rsid w:val="00104E03"/>
    <w:rsid w:val="00123F9D"/>
    <w:rsid w:val="00126CDA"/>
    <w:rsid w:val="00132F60"/>
    <w:rsid w:val="00151FF4"/>
    <w:rsid w:val="0016585E"/>
    <w:rsid w:val="00171542"/>
    <w:rsid w:val="001838E2"/>
    <w:rsid w:val="00186E6B"/>
    <w:rsid w:val="001E40BE"/>
    <w:rsid w:val="001E5093"/>
    <w:rsid w:val="001E5BB2"/>
    <w:rsid w:val="00226847"/>
    <w:rsid w:val="00241431"/>
    <w:rsid w:val="00247704"/>
    <w:rsid w:val="00257E96"/>
    <w:rsid w:val="002701B9"/>
    <w:rsid w:val="00277036"/>
    <w:rsid w:val="00293086"/>
    <w:rsid w:val="00294C1C"/>
    <w:rsid w:val="00295561"/>
    <w:rsid w:val="002A4451"/>
    <w:rsid w:val="002D6764"/>
    <w:rsid w:val="002E41EA"/>
    <w:rsid w:val="002E7EC0"/>
    <w:rsid w:val="002F092A"/>
    <w:rsid w:val="00301EF9"/>
    <w:rsid w:val="003036BF"/>
    <w:rsid w:val="0033064E"/>
    <w:rsid w:val="00356B50"/>
    <w:rsid w:val="003573AE"/>
    <w:rsid w:val="003A33D8"/>
    <w:rsid w:val="003B3376"/>
    <w:rsid w:val="003F1784"/>
    <w:rsid w:val="003F4E55"/>
    <w:rsid w:val="003F5F97"/>
    <w:rsid w:val="00416F90"/>
    <w:rsid w:val="004210F8"/>
    <w:rsid w:val="00425F2D"/>
    <w:rsid w:val="00426811"/>
    <w:rsid w:val="00427D9D"/>
    <w:rsid w:val="00435BB5"/>
    <w:rsid w:val="0044415F"/>
    <w:rsid w:val="004B3456"/>
    <w:rsid w:val="004C4BCA"/>
    <w:rsid w:val="004E7AF9"/>
    <w:rsid w:val="004F1DCF"/>
    <w:rsid w:val="00516AD8"/>
    <w:rsid w:val="0052596E"/>
    <w:rsid w:val="005312EC"/>
    <w:rsid w:val="005504EF"/>
    <w:rsid w:val="00552A83"/>
    <w:rsid w:val="00575EBE"/>
    <w:rsid w:val="00585EE9"/>
    <w:rsid w:val="005B733B"/>
    <w:rsid w:val="005B7AAE"/>
    <w:rsid w:val="00601435"/>
    <w:rsid w:val="00611212"/>
    <w:rsid w:val="00636FF1"/>
    <w:rsid w:val="0065154E"/>
    <w:rsid w:val="00654F44"/>
    <w:rsid w:val="00655AC0"/>
    <w:rsid w:val="00657CF7"/>
    <w:rsid w:val="006624B2"/>
    <w:rsid w:val="0068460A"/>
    <w:rsid w:val="00685F25"/>
    <w:rsid w:val="00692293"/>
    <w:rsid w:val="006A064F"/>
    <w:rsid w:val="006C101D"/>
    <w:rsid w:val="006C6F4F"/>
    <w:rsid w:val="006D198C"/>
    <w:rsid w:val="006F0D59"/>
    <w:rsid w:val="006F3920"/>
    <w:rsid w:val="007056AF"/>
    <w:rsid w:val="007347FD"/>
    <w:rsid w:val="00751892"/>
    <w:rsid w:val="00775B96"/>
    <w:rsid w:val="00775FB5"/>
    <w:rsid w:val="0078434B"/>
    <w:rsid w:val="00785111"/>
    <w:rsid w:val="007E695F"/>
    <w:rsid w:val="007F4B94"/>
    <w:rsid w:val="007F6A4E"/>
    <w:rsid w:val="008108FC"/>
    <w:rsid w:val="008364F6"/>
    <w:rsid w:val="008535EF"/>
    <w:rsid w:val="0085398A"/>
    <w:rsid w:val="00864549"/>
    <w:rsid w:val="00873676"/>
    <w:rsid w:val="00875837"/>
    <w:rsid w:val="00880578"/>
    <w:rsid w:val="00887316"/>
    <w:rsid w:val="00892C90"/>
    <w:rsid w:val="00894B2D"/>
    <w:rsid w:val="0089581E"/>
    <w:rsid w:val="008A43A7"/>
    <w:rsid w:val="008A4A08"/>
    <w:rsid w:val="008B206F"/>
    <w:rsid w:val="008B2896"/>
    <w:rsid w:val="008D210F"/>
    <w:rsid w:val="008D667D"/>
    <w:rsid w:val="00910679"/>
    <w:rsid w:val="00925D6E"/>
    <w:rsid w:val="009348E1"/>
    <w:rsid w:val="00945DA6"/>
    <w:rsid w:val="009573B0"/>
    <w:rsid w:val="009A1CB2"/>
    <w:rsid w:val="009A74D9"/>
    <w:rsid w:val="009B019B"/>
    <w:rsid w:val="009B2E64"/>
    <w:rsid w:val="009B328D"/>
    <w:rsid w:val="009E6610"/>
    <w:rsid w:val="00A0735A"/>
    <w:rsid w:val="00A1013B"/>
    <w:rsid w:val="00A12CE3"/>
    <w:rsid w:val="00A1535B"/>
    <w:rsid w:val="00A26E8F"/>
    <w:rsid w:val="00A278BF"/>
    <w:rsid w:val="00A30948"/>
    <w:rsid w:val="00A41D86"/>
    <w:rsid w:val="00A518E7"/>
    <w:rsid w:val="00A52752"/>
    <w:rsid w:val="00A52AE8"/>
    <w:rsid w:val="00A611F6"/>
    <w:rsid w:val="00A63872"/>
    <w:rsid w:val="00A721B7"/>
    <w:rsid w:val="00A805CC"/>
    <w:rsid w:val="00A81A61"/>
    <w:rsid w:val="00A93839"/>
    <w:rsid w:val="00A95926"/>
    <w:rsid w:val="00AA5C75"/>
    <w:rsid w:val="00AB1877"/>
    <w:rsid w:val="00AB549E"/>
    <w:rsid w:val="00AB7A00"/>
    <w:rsid w:val="00AE235E"/>
    <w:rsid w:val="00AF53E1"/>
    <w:rsid w:val="00B04155"/>
    <w:rsid w:val="00B13A03"/>
    <w:rsid w:val="00B14D9D"/>
    <w:rsid w:val="00B366B8"/>
    <w:rsid w:val="00B54406"/>
    <w:rsid w:val="00B56121"/>
    <w:rsid w:val="00B60822"/>
    <w:rsid w:val="00B65A7E"/>
    <w:rsid w:val="00B71A72"/>
    <w:rsid w:val="00B80C62"/>
    <w:rsid w:val="00B8645F"/>
    <w:rsid w:val="00B95C81"/>
    <w:rsid w:val="00BC18A5"/>
    <w:rsid w:val="00BC7085"/>
    <w:rsid w:val="00BD1FE0"/>
    <w:rsid w:val="00BD327A"/>
    <w:rsid w:val="00BE64A9"/>
    <w:rsid w:val="00BF5194"/>
    <w:rsid w:val="00BF69CF"/>
    <w:rsid w:val="00C10CD4"/>
    <w:rsid w:val="00C223E5"/>
    <w:rsid w:val="00C403F6"/>
    <w:rsid w:val="00C472E0"/>
    <w:rsid w:val="00C47B71"/>
    <w:rsid w:val="00CB2694"/>
    <w:rsid w:val="00CB3518"/>
    <w:rsid w:val="00CD130A"/>
    <w:rsid w:val="00D36A06"/>
    <w:rsid w:val="00D42957"/>
    <w:rsid w:val="00D45E9F"/>
    <w:rsid w:val="00D50969"/>
    <w:rsid w:val="00D61685"/>
    <w:rsid w:val="00D754F3"/>
    <w:rsid w:val="00D95346"/>
    <w:rsid w:val="00DB2307"/>
    <w:rsid w:val="00DB24AA"/>
    <w:rsid w:val="00DD36AD"/>
    <w:rsid w:val="00DD4CE3"/>
    <w:rsid w:val="00E04EA7"/>
    <w:rsid w:val="00E0540A"/>
    <w:rsid w:val="00E12D7E"/>
    <w:rsid w:val="00E20DF8"/>
    <w:rsid w:val="00E51A55"/>
    <w:rsid w:val="00E62305"/>
    <w:rsid w:val="00E73430"/>
    <w:rsid w:val="00EA27EF"/>
    <w:rsid w:val="00EA32CE"/>
    <w:rsid w:val="00EA451F"/>
    <w:rsid w:val="00EA6EE5"/>
    <w:rsid w:val="00EB1C9F"/>
    <w:rsid w:val="00EB413D"/>
    <w:rsid w:val="00EC06BF"/>
    <w:rsid w:val="00EE4449"/>
    <w:rsid w:val="00EF1037"/>
    <w:rsid w:val="00EF727B"/>
    <w:rsid w:val="00F04D3D"/>
    <w:rsid w:val="00F12AC3"/>
    <w:rsid w:val="00F141B7"/>
    <w:rsid w:val="00F150A1"/>
    <w:rsid w:val="00F2573C"/>
    <w:rsid w:val="00F416D2"/>
    <w:rsid w:val="00F44794"/>
    <w:rsid w:val="00F46060"/>
    <w:rsid w:val="00F532ED"/>
    <w:rsid w:val="00F91404"/>
    <w:rsid w:val="00FD1E48"/>
    <w:rsid w:val="00FD470A"/>
    <w:rsid w:val="00FF3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F44"/>
    <w:pPr>
      <w:spacing w:line="260" w:lineRule="atLeast"/>
    </w:pPr>
    <w:rPr>
      <w:rFonts w:eastAsiaTheme="minorHAnsi" w:cstheme="minorBidi"/>
      <w:sz w:val="22"/>
      <w:lang w:eastAsia="en-US"/>
    </w:rPr>
  </w:style>
  <w:style w:type="paragraph" w:styleId="Heading1">
    <w:name w:val="heading 1"/>
    <w:basedOn w:val="OPCParaBase"/>
    <w:next w:val="Normal"/>
    <w:qFormat/>
    <w:rsid w:val="00BF69CF"/>
    <w:pPr>
      <w:keepNext/>
      <w:keepLines/>
      <w:spacing w:line="240" w:lineRule="auto"/>
      <w:ind w:left="1134" w:hanging="1134"/>
      <w:outlineLvl w:val="0"/>
    </w:pPr>
    <w:rPr>
      <w:b/>
      <w:kern w:val="28"/>
      <w:sz w:val="36"/>
    </w:rPr>
  </w:style>
  <w:style w:type="paragraph" w:styleId="Heading2">
    <w:name w:val="heading 2"/>
    <w:basedOn w:val="OPCParaBase"/>
    <w:next w:val="Heading3"/>
    <w:qFormat/>
    <w:rsid w:val="00BF69CF"/>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BF69CF"/>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BF69CF"/>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BF69CF"/>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BF69CF"/>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BF69CF"/>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BF69CF"/>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BF69CF"/>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654F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4F44"/>
  </w:style>
  <w:style w:type="paragraph" w:customStyle="1" w:styleId="SOText">
    <w:name w:val="SO Text"/>
    <w:aliases w:val="sot"/>
    <w:link w:val="SOTextChar"/>
    <w:rsid w:val="00654F4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54F44"/>
    <w:rPr>
      <w:rFonts w:eastAsiaTheme="minorHAnsi" w:cstheme="minorBidi"/>
      <w:sz w:val="22"/>
      <w:lang w:eastAsia="en-US"/>
    </w:rPr>
  </w:style>
  <w:style w:type="paragraph" w:customStyle="1" w:styleId="SOTextNote">
    <w:name w:val="SO TextNote"/>
    <w:aliases w:val="sont"/>
    <w:basedOn w:val="SOText"/>
    <w:qFormat/>
    <w:rsid w:val="00654F44"/>
    <w:pPr>
      <w:spacing w:before="122" w:line="198" w:lineRule="exact"/>
      <w:ind w:left="1843" w:hanging="709"/>
    </w:pPr>
    <w:rPr>
      <w:sz w:val="18"/>
    </w:rPr>
  </w:style>
  <w:style w:type="paragraph" w:customStyle="1" w:styleId="SOPara">
    <w:name w:val="SO Para"/>
    <w:aliases w:val="soa"/>
    <w:basedOn w:val="SOText"/>
    <w:link w:val="SOParaChar"/>
    <w:qFormat/>
    <w:rsid w:val="00654F44"/>
    <w:pPr>
      <w:tabs>
        <w:tab w:val="right" w:pos="1786"/>
      </w:tabs>
      <w:spacing w:before="40"/>
      <w:ind w:left="2070" w:hanging="936"/>
    </w:pPr>
  </w:style>
  <w:style w:type="character" w:customStyle="1" w:styleId="SOParaChar">
    <w:name w:val="SO Para Char"/>
    <w:aliases w:val="soa Char"/>
    <w:basedOn w:val="DefaultParagraphFont"/>
    <w:link w:val="SOPara"/>
    <w:rsid w:val="00654F44"/>
    <w:rPr>
      <w:rFonts w:eastAsiaTheme="minorHAnsi" w:cstheme="minorBidi"/>
      <w:sz w:val="22"/>
      <w:lang w:eastAsia="en-US"/>
    </w:rPr>
  </w:style>
  <w:style w:type="paragraph" w:customStyle="1" w:styleId="FileName">
    <w:name w:val="FileName"/>
    <w:basedOn w:val="Normal"/>
    <w:rsid w:val="00654F44"/>
  </w:style>
  <w:style w:type="paragraph" w:customStyle="1" w:styleId="SOHeadBold">
    <w:name w:val="SO HeadBold"/>
    <w:aliases w:val="sohb"/>
    <w:basedOn w:val="SOText"/>
    <w:next w:val="SOText"/>
    <w:link w:val="SOHeadBoldChar"/>
    <w:qFormat/>
    <w:rsid w:val="00654F44"/>
    <w:rPr>
      <w:b/>
    </w:rPr>
  </w:style>
  <w:style w:type="character" w:customStyle="1" w:styleId="SOHeadBoldChar">
    <w:name w:val="SO HeadBold Char"/>
    <w:aliases w:val="sohb Char"/>
    <w:basedOn w:val="DefaultParagraphFont"/>
    <w:link w:val="SOHeadBold"/>
    <w:rsid w:val="00654F44"/>
    <w:rPr>
      <w:rFonts w:eastAsiaTheme="minorHAnsi" w:cstheme="minorBidi"/>
      <w:b/>
      <w:sz w:val="22"/>
      <w:lang w:eastAsia="en-US"/>
    </w:rPr>
  </w:style>
  <w:style w:type="paragraph" w:customStyle="1" w:styleId="BoxText">
    <w:name w:val="BoxText"/>
    <w:aliases w:val="bt"/>
    <w:basedOn w:val="OPCParaBase"/>
    <w:qFormat/>
    <w:rsid w:val="00654F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4F44"/>
    <w:rPr>
      <w:b/>
    </w:rPr>
  </w:style>
  <w:style w:type="paragraph" w:customStyle="1" w:styleId="BoxHeadItalic">
    <w:name w:val="BoxHeadItalic"/>
    <w:aliases w:val="bhi"/>
    <w:basedOn w:val="BoxText"/>
    <w:next w:val="BoxStep"/>
    <w:qFormat/>
    <w:rsid w:val="00654F44"/>
    <w:rPr>
      <w:i/>
    </w:rPr>
  </w:style>
  <w:style w:type="paragraph" w:customStyle="1" w:styleId="BoxList">
    <w:name w:val="BoxList"/>
    <w:aliases w:val="bl"/>
    <w:basedOn w:val="BoxText"/>
    <w:qFormat/>
    <w:rsid w:val="00654F44"/>
    <w:pPr>
      <w:ind w:left="1559" w:hanging="425"/>
    </w:pPr>
  </w:style>
  <w:style w:type="paragraph" w:customStyle="1" w:styleId="BoxNote">
    <w:name w:val="BoxNote"/>
    <w:aliases w:val="bn"/>
    <w:basedOn w:val="BoxText"/>
    <w:qFormat/>
    <w:rsid w:val="00654F44"/>
    <w:pPr>
      <w:tabs>
        <w:tab w:val="left" w:pos="1985"/>
      </w:tabs>
      <w:spacing w:before="122" w:line="198" w:lineRule="exact"/>
      <w:ind w:left="2948" w:hanging="1814"/>
    </w:pPr>
    <w:rPr>
      <w:sz w:val="18"/>
    </w:rPr>
  </w:style>
  <w:style w:type="paragraph" w:customStyle="1" w:styleId="BoxPara">
    <w:name w:val="BoxPara"/>
    <w:aliases w:val="bp"/>
    <w:basedOn w:val="BoxText"/>
    <w:qFormat/>
    <w:rsid w:val="00654F44"/>
    <w:pPr>
      <w:tabs>
        <w:tab w:val="right" w:pos="2268"/>
      </w:tabs>
      <w:ind w:left="2552" w:hanging="1418"/>
    </w:pPr>
  </w:style>
  <w:style w:type="paragraph" w:customStyle="1" w:styleId="BoxStep">
    <w:name w:val="BoxStep"/>
    <w:aliases w:val="bs"/>
    <w:basedOn w:val="BoxText"/>
    <w:qFormat/>
    <w:rsid w:val="00654F44"/>
    <w:pPr>
      <w:ind w:left="1985" w:hanging="851"/>
    </w:pPr>
  </w:style>
  <w:style w:type="character" w:customStyle="1" w:styleId="CharAmPartNo">
    <w:name w:val="CharAmPartNo"/>
    <w:basedOn w:val="OPCCharBase"/>
    <w:uiPriority w:val="1"/>
    <w:qFormat/>
    <w:rsid w:val="00654F44"/>
  </w:style>
  <w:style w:type="character" w:customStyle="1" w:styleId="CharAmPartText">
    <w:name w:val="CharAmPartText"/>
    <w:basedOn w:val="OPCCharBase"/>
    <w:uiPriority w:val="1"/>
    <w:qFormat/>
    <w:rsid w:val="00654F44"/>
  </w:style>
  <w:style w:type="character" w:customStyle="1" w:styleId="CharAmSchNo">
    <w:name w:val="CharAmSchNo"/>
    <w:basedOn w:val="OPCCharBase"/>
    <w:uiPriority w:val="1"/>
    <w:qFormat/>
    <w:rsid w:val="00654F44"/>
  </w:style>
  <w:style w:type="character" w:customStyle="1" w:styleId="CharAmSchText">
    <w:name w:val="CharAmSchText"/>
    <w:basedOn w:val="OPCCharBase"/>
    <w:uiPriority w:val="1"/>
    <w:qFormat/>
    <w:rsid w:val="00654F44"/>
  </w:style>
  <w:style w:type="character" w:customStyle="1" w:styleId="CharChapNo">
    <w:name w:val="CharChapNo"/>
    <w:basedOn w:val="OPCCharBase"/>
    <w:qFormat/>
    <w:rsid w:val="00654F44"/>
  </w:style>
  <w:style w:type="character" w:customStyle="1" w:styleId="CharChapText">
    <w:name w:val="CharChapText"/>
    <w:basedOn w:val="OPCCharBase"/>
    <w:qFormat/>
    <w:rsid w:val="00654F44"/>
  </w:style>
  <w:style w:type="character" w:customStyle="1" w:styleId="CharDivNo">
    <w:name w:val="CharDivNo"/>
    <w:basedOn w:val="OPCCharBase"/>
    <w:qFormat/>
    <w:rsid w:val="00654F44"/>
  </w:style>
  <w:style w:type="character" w:customStyle="1" w:styleId="CharDivText">
    <w:name w:val="CharDivText"/>
    <w:basedOn w:val="OPCCharBase"/>
    <w:qFormat/>
    <w:rsid w:val="00654F44"/>
  </w:style>
  <w:style w:type="paragraph" w:customStyle="1" w:styleId="SOHeadItalic">
    <w:name w:val="SO HeadItalic"/>
    <w:aliases w:val="sohi"/>
    <w:basedOn w:val="SOText"/>
    <w:next w:val="SOText"/>
    <w:link w:val="SOHeadItalicChar"/>
    <w:qFormat/>
    <w:rsid w:val="00654F44"/>
    <w:rPr>
      <w:i/>
    </w:rPr>
  </w:style>
  <w:style w:type="character" w:customStyle="1" w:styleId="SOHeadItalicChar">
    <w:name w:val="SO HeadItalic Char"/>
    <w:aliases w:val="sohi Char"/>
    <w:basedOn w:val="DefaultParagraphFont"/>
    <w:link w:val="SOHeadItalic"/>
    <w:rsid w:val="00654F44"/>
    <w:rPr>
      <w:rFonts w:eastAsiaTheme="minorHAnsi" w:cstheme="minorBidi"/>
      <w:i/>
      <w:sz w:val="22"/>
      <w:lang w:eastAsia="en-US"/>
    </w:rPr>
  </w:style>
  <w:style w:type="character" w:customStyle="1" w:styleId="CharPartNo">
    <w:name w:val="CharPartNo"/>
    <w:basedOn w:val="OPCCharBase"/>
    <w:qFormat/>
    <w:rsid w:val="00654F44"/>
  </w:style>
  <w:style w:type="character" w:customStyle="1" w:styleId="CharPartText">
    <w:name w:val="CharPartText"/>
    <w:basedOn w:val="OPCCharBase"/>
    <w:qFormat/>
    <w:rsid w:val="00654F44"/>
  </w:style>
  <w:style w:type="character" w:customStyle="1" w:styleId="CharSectno">
    <w:name w:val="CharSectno"/>
    <w:basedOn w:val="OPCCharBase"/>
    <w:qFormat/>
    <w:rsid w:val="00654F44"/>
  </w:style>
  <w:style w:type="character" w:customStyle="1" w:styleId="CharSubdNo">
    <w:name w:val="CharSubdNo"/>
    <w:basedOn w:val="OPCCharBase"/>
    <w:uiPriority w:val="1"/>
    <w:qFormat/>
    <w:rsid w:val="00654F44"/>
  </w:style>
  <w:style w:type="character" w:customStyle="1" w:styleId="CharSubdText">
    <w:name w:val="CharSubdText"/>
    <w:basedOn w:val="OPCCharBase"/>
    <w:uiPriority w:val="1"/>
    <w:qFormat/>
    <w:rsid w:val="00654F44"/>
  </w:style>
  <w:style w:type="paragraph" w:customStyle="1" w:styleId="SOBullet">
    <w:name w:val="SO Bullet"/>
    <w:aliases w:val="sotb"/>
    <w:basedOn w:val="SOText"/>
    <w:link w:val="SOBulletChar"/>
    <w:qFormat/>
    <w:rsid w:val="00654F44"/>
    <w:pPr>
      <w:ind w:left="1559" w:hanging="425"/>
    </w:pPr>
  </w:style>
  <w:style w:type="paragraph" w:styleId="BodyTextIndent">
    <w:name w:val="Body Text Indent"/>
    <w:basedOn w:val="Normal"/>
    <w:semiHidden/>
    <w:rsid w:val="00910679"/>
    <w:pPr>
      <w:spacing w:after="120"/>
      <w:ind w:left="283"/>
    </w:pPr>
  </w:style>
  <w:style w:type="character" w:customStyle="1" w:styleId="SOBulletChar">
    <w:name w:val="SO Bullet Char"/>
    <w:aliases w:val="sotb Char"/>
    <w:basedOn w:val="DefaultParagraphFont"/>
    <w:link w:val="SOBullet"/>
    <w:rsid w:val="00654F44"/>
    <w:rPr>
      <w:rFonts w:eastAsiaTheme="minorHAnsi" w:cstheme="minorBidi"/>
      <w:sz w:val="22"/>
      <w:lang w:eastAsia="en-US"/>
    </w:rPr>
  </w:style>
  <w:style w:type="paragraph" w:customStyle="1" w:styleId="SOBulletNote">
    <w:name w:val="SO BulletNote"/>
    <w:aliases w:val="sonb"/>
    <w:basedOn w:val="SOTextNote"/>
    <w:link w:val="SOBulletNoteChar"/>
    <w:qFormat/>
    <w:rsid w:val="00654F44"/>
    <w:pPr>
      <w:tabs>
        <w:tab w:val="left" w:pos="1560"/>
      </w:tabs>
      <w:ind w:left="2268" w:hanging="1134"/>
    </w:pPr>
  </w:style>
  <w:style w:type="paragraph" w:customStyle="1" w:styleId="Formula">
    <w:name w:val="Formula"/>
    <w:basedOn w:val="OPCParaBase"/>
    <w:rsid w:val="00654F44"/>
    <w:pPr>
      <w:spacing w:line="240" w:lineRule="auto"/>
      <w:ind w:left="1134"/>
    </w:pPr>
    <w:rPr>
      <w:sz w:val="20"/>
    </w:rPr>
  </w:style>
  <w:style w:type="paragraph" w:styleId="Footer">
    <w:name w:val="footer"/>
    <w:link w:val="FooterChar"/>
    <w:rsid w:val="00654F44"/>
    <w:pPr>
      <w:tabs>
        <w:tab w:val="center" w:pos="4153"/>
        <w:tab w:val="right" w:pos="8306"/>
      </w:tabs>
    </w:pPr>
    <w:rPr>
      <w:sz w:val="22"/>
      <w:szCs w:val="24"/>
    </w:rPr>
  </w:style>
  <w:style w:type="paragraph" w:styleId="Header">
    <w:name w:val="header"/>
    <w:basedOn w:val="OPCParaBase"/>
    <w:link w:val="HeaderChar"/>
    <w:unhideWhenUsed/>
    <w:rsid w:val="00654F44"/>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654F44"/>
    <w:pPr>
      <w:tabs>
        <w:tab w:val="right" w:pos="1531"/>
      </w:tabs>
      <w:spacing w:before="40" w:line="240" w:lineRule="auto"/>
      <w:ind w:left="1644" w:hanging="1644"/>
    </w:pPr>
  </w:style>
  <w:style w:type="paragraph" w:customStyle="1" w:styleId="paragraphsub-sub">
    <w:name w:val="paragraph(sub-sub)"/>
    <w:aliases w:val="aaa"/>
    <w:basedOn w:val="OPCParaBase"/>
    <w:rsid w:val="00654F44"/>
    <w:pPr>
      <w:tabs>
        <w:tab w:val="right" w:pos="2722"/>
      </w:tabs>
      <w:spacing w:before="40" w:line="240" w:lineRule="auto"/>
      <w:ind w:left="2835" w:hanging="2835"/>
    </w:pPr>
  </w:style>
  <w:style w:type="paragraph" w:customStyle="1" w:styleId="paragraphsub">
    <w:name w:val="paragraph(sub)"/>
    <w:aliases w:val="aa"/>
    <w:basedOn w:val="OPCParaBase"/>
    <w:rsid w:val="00654F44"/>
    <w:pPr>
      <w:tabs>
        <w:tab w:val="right" w:pos="1985"/>
      </w:tabs>
      <w:spacing w:before="40" w:line="240" w:lineRule="auto"/>
      <w:ind w:left="2098" w:hanging="2098"/>
    </w:pPr>
  </w:style>
  <w:style w:type="character" w:styleId="LineNumber">
    <w:name w:val="line number"/>
    <w:basedOn w:val="OPCCharBase"/>
    <w:uiPriority w:val="99"/>
    <w:semiHidden/>
    <w:unhideWhenUsed/>
    <w:rsid w:val="00654F44"/>
    <w:rPr>
      <w:sz w:val="16"/>
    </w:rPr>
  </w:style>
  <w:style w:type="paragraph" w:customStyle="1" w:styleId="ItemHead">
    <w:name w:val="ItemHead"/>
    <w:aliases w:val="ih"/>
    <w:basedOn w:val="OPCParaBase"/>
    <w:next w:val="Item"/>
    <w:rsid w:val="00654F4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rsid w:val="00654F44"/>
    <w:pPr>
      <w:tabs>
        <w:tab w:val="right" w:pos="1021"/>
      </w:tabs>
      <w:spacing w:before="180" w:line="240" w:lineRule="auto"/>
      <w:ind w:left="1134" w:hanging="1134"/>
    </w:pPr>
  </w:style>
  <w:style w:type="paragraph" w:customStyle="1" w:styleId="Definition">
    <w:name w:val="Definition"/>
    <w:aliases w:val="dd"/>
    <w:basedOn w:val="OPCParaBase"/>
    <w:rsid w:val="00654F44"/>
    <w:pPr>
      <w:spacing w:before="180" w:line="240" w:lineRule="auto"/>
      <w:ind w:left="1134"/>
    </w:pPr>
  </w:style>
  <w:style w:type="paragraph" w:customStyle="1" w:styleId="Item">
    <w:name w:val="Item"/>
    <w:aliases w:val="i"/>
    <w:basedOn w:val="OPCParaBase"/>
    <w:next w:val="ItemHead"/>
    <w:rsid w:val="00654F44"/>
    <w:pPr>
      <w:keepLines/>
      <w:spacing w:before="80" w:line="240" w:lineRule="auto"/>
      <w:ind w:left="709"/>
    </w:pPr>
  </w:style>
  <w:style w:type="paragraph" w:styleId="ListBullet">
    <w:name w:val="List Bullet"/>
    <w:basedOn w:val="Normal"/>
    <w:autoRedefine/>
    <w:semiHidden/>
    <w:rsid w:val="00910679"/>
    <w:pPr>
      <w:numPr>
        <w:numId w:val="1"/>
      </w:numPr>
    </w:pPr>
  </w:style>
  <w:style w:type="paragraph" w:customStyle="1" w:styleId="LongT">
    <w:name w:val="LongT"/>
    <w:basedOn w:val="OPCParaBase"/>
    <w:rsid w:val="00654F44"/>
    <w:pPr>
      <w:spacing w:line="240" w:lineRule="auto"/>
    </w:pPr>
    <w:rPr>
      <w:b/>
      <w:sz w:val="32"/>
    </w:rPr>
  </w:style>
  <w:style w:type="character" w:customStyle="1" w:styleId="SOBulletNoteChar">
    <w:name w:val="SO BulletNote Char"/>
    <w:aliases w:val="sonb Char"/>
    <w:basedOn w:val="DefaultParagraphFont"/>
    <w:link w:val="SOBulletNote"/>
    <w:rsid w:val="00654F44"/>
    <w:rPr>
      <w:rFonts w:eastAsiaTheme="minorHAnsi" w:cstheme="minorBidi"/>
      <w:sz w:val="18"/>
      <w:lang w:eastAsia="en-US"/>
    </w:rPr>
  </w:style>
  <w:style w:type="paragraph" w:customStyle="1" w:styleId="notedraft">
    <w:name w:val="note(draft)"/>
    <w:aliases w:val="nd"/>
    <w:basedOn w:val="OPCParaBase"/>
    <w:rsid w:val="00654F44"/>
    <w:pPr>
      <w:spacing w:before="240" w:line="240" w:lineRule="auto"/>
      <w:ind w:left="284" w:hanging="284"/>
    </w:pPr>
    <w:rPr>
      <w:i/>
      <w:sz w:val="24"/>
    </w:rPr>
  </w:style>
  <w:style w:type="paragraph" w:customStyle="1" w:styleId="notetext">
    <w:name w:val="note(text)"/>
    <w:aliases w:val="n"/>
    <w:basedOn w:val="OPCParaBase"/>
    <w:rsid w:val="00654F44"/>
    <w:pPr>
      <w:spacing w:before="122" w:line="240" w:lineRule="auto"/>
      <w:ind w:left="1985" w:hanging="851"/>
    </w:pPr>
    <w:rPr>
      <w:sz w:val="18"/>
    </w:rPr>
  </w:style>
  <w:style w:type="paragraph" w:customStyle="1" w:styleId="notemargin">
    <w:name w:val="note(margin)"/>
    <w:aliases w:val="nm"/>
    <w:basedOn w:val="OPCParaBase"/>
    <w:rsid w:val="00654F44"/>
    <w:pPr>
      <w:tabs>
        <w:tab w:val="left" w:pos="709"/>
      </w:tabs>
      <w:spacing w:before="122" w:line="198" w:lineRule="exact"/>
      <w:ind w:left="709" w:hanging="709"/>
    </w:pPr>
    <w:rPr>
      <w:sz w:val="18"/>
    </w:rPr>
  </w:style>
  <w:style w:type="paragraph" w:customStyle="1" w:styleId="notepara">
    <w:name w:val="note(para)"/>
    <w:aliases w:val="na"/>
    <w:basedOn w:val="OPCParaBase"/>
    <w:rsid w:val="00654F44"/>
    <w:pPr>
      <w:spacing w:before="40" w:line="198" w:lineRule="exact"/>
      <w:ind w:left="2354" w:hanging="369"/>
    </w:pPr>
    <w:rPr>
      <w:sz w:val="18"/>
    </w:rPr>
  </w:style>
  <w:style w:type="paragraph" w:customStyle="1" w:styleId="noteParlAmend">
    <w:name w:val="note(ParlAmend)"/>
    <w:aliases w:val="npp"/>
    <w:basedOn w:val="OPCParaBase"/>
    <w:next w:val="ParlAmend"/>
    <w:rsid w:val="00654F44"/>
    <w:pPr>
      <w:spacing w:line="240" w:lineRule="auto"/>
      <w:jc w:val="right"/>
    </w:pPr>
    <w:rPr>
      <w:rFonts w:ascii="Arial" w:hAnsi="Arial"/>
      <w:b/>
      <w:i/>
    </w:rPr>
  </w:style>
  <w:style w:type="paragraph" w:customStyle="1" w:styleId="Page1">
    <w:name w:val="Page1"/>
    <w:basedOn w:val="OPCParaBase"/>
    <w:rsid w:val="00654F44"/>
    <w:pPr>
      <w:spacing w:before="5600" w:line="240" w:lineRule="auto"/>
    </w:pPr>
    <w:rPr>
      <w:b/>
      <w:sz w:val="32"/>
    </w:rPr>
  </w:style>
  <w:style w:type="paragraph" w:customStyle="1" w:styleId="PageBreak">
    <w:name w:val="PageBreak"/>
    <w:aliases w:val="pb"/>
    <w:basedOn w:val="OPCParaBase"/>
    <w:rsid w:val="00654F44"/>
    <w:pPr>
      <w:spacing w:line="240" w:lineRule="auto"/>
    </w:pPr>
    <w:rPr>
      <w:sz w:val="20"/>
    </w:rPr>
  </w:style>
  <w:style w:type="paragraph" w:customStyle="1" w:styleId="ParlAmend">
    <w:name w:val="ParlAmend"/>
    <w:aliases w:val="pp"/>
    <w:basedOn w:val="OPCParaBase"/>
    <w:rsid w:val="00654F44"/>
    <w:pPr>
      <w:spacing w:before="240" w:line="240" w:lineRule="atLeast"/>
      <w:ind w:hanging="567"/>
    </w:pPr>
    <w:rPr>
      <w:sz w:val="24"/>
    </w:rPr>
  </w:style>
  <w:style w:type="paragraph" w:customStyle="1" w:styleId="Penalty">
    <w:name w:val="Penalty"/>
    <w:basedOn w:val="OPCParaBase"/>
    <w:rsid w:val="00654F44"/>
    <w:pPr>
      <w:tabs>
        <w:tab w:val="left" w:pos="2977"/>
      </w:tabs>
      <w:spacing w:before="180" w:line="240" w:lineRule="auto"/>
      <w:ind w:left="1985" w:hanging="851"/>
    </w:pPr>
  </w:style>
  <w:style w:type="paragraph" w:customStyle="1" w:styleId="Preamble">
    <w:name w:val="Preamble"/>
    <w:basedOn w:val="OPCParaBase"/>
    <w:next w:val="Normal"/>
    <w:rsid w:val="00654F4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654F4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654F44"/>
    <w:pPr>
      <w:spacing w:line="240" w:lineRule="auto"/>
    </w:pPr>
    <w:rPr>
      <w:b/>
      <w:sz w:val="40"/>
    </w:rPr>
  </w:style>
  <w:style w:type="paragraph" w:customStyle="1" w:styleId="Subitem">
    <w:name w:val="Subitem"/>
    <w:aliases w:val="iss"/>
    <w:basedOn w:val="OPCParaBase"/>
    <w:rsid w:val="00654F44"/>
    <w:pPr>
      <w:spacing w:before="180" w:line="240" w:lineRule="auto"/>
      <w:ind w:left="709" w:hanging="709"/>
    </w:pPr>
  </w:style>
  <w:style w:type="paragraph" w:customStyle="1" w:styleId="SubitemHead">
    <w:name w:val="SubitemHead"/>
    <w:aliases w:val="issh"/>
    <w:basedOn w:val="OPCParaBase"/>
    <w:rsid w:val="00654F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4F44"/>
    <w:pPr>
      <w:spacing w:before="40" w:line="240" w:lineRule="auto"/>
      <w:ind w:left="1134"/>
    </w:pPr>
  </w:style>
  <w:style w:type="paragraph" w:customStyle="1" w:styleId="SubsectionHead">
    <w:name w:val="SubsectionHead"/>
    <w:aliases w:val="ssh"/>
    <w:basedOn w:val="OPCParaBase"/>
    <w:next w:val="subsection"/>
    <w:rsid w:val="00654F44"/>
    <w:pPr>
      <w:keepNext/>
      <w:keepLines/>
      <w:spacing w:before="240" w:line="240" w:lineRule="auto"/>
      <w:ind w:left="1134"/>
    </w:pPr>
    <w:rPr>
      <w:i/>
    </w:rPr>
  </w:style>
  <w:style w:type="paragraph" w:customStyle="1" w:styleId="Tablei">
    <w:name w:val="Table(i)"/>
    <w:aliases w:val="taa"/>
    <w:basedOn w:val="OPCParaBase"/>
    <w:rsid w:val="00654F4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654F44"/>
    <w:pPr>
      <w:spacing w:before="60" w:line="240" w:lineRule="auto"/>
      <w:ind w:left="284" w:hanging="284"/>
    </w:pPr>
    <w:rPr>
      <w:sz w:val="20"/>
    </w:rPr>
  </w:style>
  <w:style w:type="paragraph" w:customStyle="1" w:styleId="TableAA">
    <w:name w:val="Table(AA)"/>
    <w:aliases w:val="taaa"/>
    <w:basedOn w:val="OPCParaBase"/>
    <w:rsid w:val="00654F44"/>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654F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4F44"/>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4F44"/>
    <w:pPr>
      <w:spacing w:before="122" w:line="198" w:lineRule="exact"/>
      <w:ind w:left="1985" w:hanging="851"/>
      <w:jc w:val="right"/>
    </w:pPr>
    <w:rPr>
      <w:sz w:val="18"/>
    </w:rPr>
  </w:style>
  <w:style w:type="paragraph" w:customStyle="1" w:styleId="TLPTableBullet">
    <w:name w:val="TLPTableBullet"/>
    <w:aliases w:val="ttb"/>
    <w:basedOn w:val="OPCParaBase"/>
    <w:rsid w:val="00654F44"/>
    <w:pPr>
      <w:spacing w:line="240" w:lineRule="exact"/>
      <w:ind w:left="284" w:hanging="284"/>
    </w:pPr>
    <w:rPr>
      <w:sz w:val="20"/>
    </w:rPr>
  </w:style>
  <w:style w:type="paragraph" w:styleId="TOC1">
    <w:name w:val="toc 1"/>
    <w:basedOn w:val="OPCParaBase"/>
    <w:next w:val="Normal"/>
    <w:uiPriority w:val="39"/>
    <w:unhideWhenUsed/>
    <w:rsid w:val="00654F4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4F4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4F4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54F4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4F4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654F4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54F4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54F4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654F44"/>
    <w:pPr>
      <w:keepLines/>
      <w:spacing w:before="80" w:line="240" w:lineRule="auto"/>
      <w:ind w:left="1588" w:hanging="794"/>
    </w:pPr>
    <w:rPr>
      <w:kern w:val="28"/>
    </w:rPr>
  </w:style>
  <w:style w:type="paragraph" w:customStyle="1" w:styleId="TofSectsSection">
    <w:name w:val="TofSects(Section)"/>
    <w:basedOn w:val="OPCParaBase"/>
    <w:rsid w:val="00654F44"/>
    <w:pPr>
      <w:keepLines/>
      <w:spacing w:before="40" w:line="240" w:lineRule="auto"/>
      <w:ind w:left="1588" w:hanging="794"/>
    </w:pPr>
    <w:rPr>
      <w:kern w:val="28"/>
      <w:sz w:val="18"/>
    </w:rPr>
  </w:style>
  <w:style w:type="paragraph" w:customStyle="1" w:styleId="TofSectsHeading">
    <w:name w:val="TofSects(Heading)"/>
    <w:basedOn w:val="OPCParaBase"/>
    <w:rsid w:val="00654F44"/>
    <w:pPr>
      <w:spacing w:before="240" w:after="120" w:line="240" w:lineRule="auto"/>
    </w:pPr>
    <w:rPr>
      <w:b/>
      <w:sz w:val="24"/>
    </w:rPr>
  </w:style>
  <w:style w:type="paragraph" w:customStyle="1" w:styleId="TofSectsGroupHeading">
    <w:name w:val="TofSects(GroupHeading)"/>
    <w:basedOn w:val="OPCParaBase"/>
    <w:next w:val="TofSectsSection"/>
    <w:rsid w:val="00654F44"/>
    <w:pPr>
      <w:keepLines/>
      <w:spacing w:before="240" w:after="120" w:line="240" w:lineRule="auto"/>
      <w:ind w:left="794"/>
    </w:pPr>
    <w:rPr>
      <w:b/>
      <w:kern w:val="28"/>
      <w:sz w:val="20"/>
    </w:rPr>
  </w:style>
  <w:style w:type="paragraph" w:customStyle="1" w:styleId="Actno">
    <w:name w:val="Actno"/>
    <w:basedOn w:val="ShortT"/>
    <w:next w:val="Normal"/>
    <w:qFormat/>
    <w:rsid w:val="00654F44"/>
  </w:style>
  <w:style w:type="numbering" w:styleId="111111">
    <w:name w:val="Outline List 2"/>
    <w:basedOn w:val="NoList"/>
    <w:semiHidden/>
    <w:rsid w:val="00910679"/>
    <w:pPr>
      <w:numPr>
        <w:numId w:val="12"/>
      </w:numPr>
    </w:pPr>
  </w:style>
  <w:style w:type="numbering" w:styleId="1ai">
    <w:name w:val="Outline List 1"/>
    <w:basedOn w:val="NoList"/>
    <w:semiHidden/>
    <w:rsid w:val="00910679"/>
    <w:pPr>
      <w:numPr>
        <w:numId w:val="13"/>
      </w:numPr>
    </w:pPr>
  </w:style>
  <w:style w:type="numbering" w:styleId="ArticleSection">
    <w:name w:val="Outline List 3"/>
    <w:basedOn w:val="NoList"/>
    <w:semiHidden/>
    <w:rsid w:val="00910679"/>
    <w:pPr>
      <w:numPr>
        <w:numId w:val="14"/>
      </w:numPr>
    </w:pPr>
  </w:style>
  <w:style w:type="paragraph" w:styleId="BlockText">
    <w:name w:val="Block Text"/>
    <w:basedOn w:val="Normal"/>
    <w:semiHidden/>
    <w:rsid w:val="00910679"/>
    <w:pPr>
      <w:spacing w:after="120"/>
      <w:ind w:left="1440" w:right="1440"/>
    </w:pPr>
  </w:style>
  <w:style w:type="paragraph" w:styleId="BodyText">
    <w:name w:val="Body Text"/>
    <w:basedOn w:val="Normal"/>
    <w:semiHidden/>
    <w:rsid w:val="00910679"/>
    <w:pPr>
      <w:spacing w:after="120"/>
    </w:pPr>
  </w:style>
  <w:style w:type="paragraph" w:styleId="BodyText2">
    <w:name w:val="Body Text 2"/>
    <w:basedOn w:val="Normal"/>
    <w:semiHidden/>
    <w:rsid w:val="00910679"/>
    <w:pPr>
      <w:spacing w:after="120" w:line="480" w:lineRule="auto"/>
    </w:pPr>
  </w:style>
  <w:style w:type="paragraph" w:styleId="BodyText3">
    <w:name w:val="Body Text 3"/>
    <w:basedOn w:val="Normal"/>
    <w:semiHidden/>
    <w:rsid w:val="00910679"/>
    <w:pPr>
      <w:spacing w:after="120"/>
    </w:pPr>
    <w:rPr>
      <w:sz w:val="16"/>
      <w:szCs w:val="16"/>
    </w:rPr>
  </w:style>
  <w:style w:type="paragraph" w:styleId="BodyTextFirstIndent">
    <w:name w:val="Body Text First Indent"/>
    <w:basedOn w:val="BodyText"/>
    <w:semiHidden/>
    <w:rsid w:val="00910679"/>
    <w:pPr>
      <w:ind w:firstLine="210"/>
    </w:pPr>
  </w:style>
  <w:style w:type="paragraph" w:styleId="BodyTextFirstIndent2">
    <w:name w:val="Body Text First Indent 2"/>
    <w:basedOn w:val="BodyTextIndent"/>
    <w:semiHidden/>
    <w:rsid w:val="00910679"/>
    <w:pPr>
      <w:ind w:firstLine="210"/>
    </w:pPr>
  </w:style>
  <w:style w:type="paragraph" w:styleId="BodyTextIndent2">
    <w:name w:val="Body Text Indent 2"/>
    <w:basedOn w:val="Normal"/>
    <w:semiHidden/>
    <w:rsid w:val="00910679"/>
    <w:pPr>
      <w:spacing w:after="120" w:line="480" w:lineRule="auto"/>
      <w:ind w:left="283"/>
    </w:pPr>
  </w:style>
  <w:style w:type="paragraph" w:styleId="BodyTextIndent3">
    <w:name w:val="Body Text Indent 3"/>
    <w:basedOn w:val="Normal"/>
    <w:semiHidden/>
    <w:rsid w:val="00910679"/>
    <w:pPr>
      <w:spacing w:after="120"/>
      <w:ind w:left="283"/>
    </w:pPr>
    <w:rPr>
      <w:sz w:val="16"/>
      <w:szCs w:val="16"/>
    </w:rPr>
  </w:style>
  <w:style w:type="paragraph" w:styleId="Closing">
    <w:name w:val="Closing"/>
    <w:basedOn w:val="Normal"/>
    <w:semiHidden/>
    <w:rsid w:val="00910679"/>
    <w:pPr>
      <w:ind w:left="4252"/>
    </w:pPr>
  </w:style>
  <w:style w:type="paragraph" w:styleId="Date">
    <w:name w:val="Date"/>
    <w:basedOn w:val="Normal"/>
    <w:next w:val="Normal"/>
    <w:semiHidden/>
    <w:rsid w:val="00910679"/>
  </w:style>
  <w:style w:type="paragraph" w:styleId="E-mailSignature">
    <w:name w:val="E-mail Signature"/>
    <w:basedOn w:val="Normal"/>
    <w:semiHidden/>
    <w:rsid w:val="00910679"/>
  </w:style>
  <w:style w:type="character" w:styleId="Emphasis">
    <w:name w:val="Emphasis"/>
    <w:qFormat/>
    <w:rsid w:val="00910679"/>
    <w:rPr>
      <w:i/>
      <w:iCs/>
    </w:rPr>
  </w:style>
  <w:style w:type="paragraph" w:styleId="EnvelopeAddress">
    <w:name w:val="envelope address"/>
    <w:basedOn w:val="Normal"/>
    <w:semiHidden/>
    <w:rsid w:val="0091067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910679"/>
    <w:rPr>
      <w:rFonts w:ascii="Arial" w:hAnsi="Arial" w:cs="Arial"/>
      <w:sz w:val="20"/>
    </w:rPr>
  </w:style>
  <w:style w:type="character" w:styleId="FollowedHyperlink">
    <w:name w:val="FollowedHyperlink"/>
    <w:semiHidden/>
    <w:rsid w:val="00910679"/>
    <w:rPr>
      <w:color w:val="800080"/>
      <w:u w:val="single"/>
    </w:rPr>
  </w:style>
  <w:style w:type="character" w:styleId="HTMLAcronym">
    <w:name w:val="HTML Acronym"/>
    <w:basedOn w:val="DefaultParagraphFont"/>
    <w:semiHidden/>
    <w:rsid w:val="00910679"/>
  </w:style>
  <w:style w:type="paragraph" w:styleId="HTMLAddress">
    <w:name w:val="HTML Address"/>
    <w:basedOn w:val="Normal"/>
    <w:semiHidden/>
    <w:rsid w:val="00910679"/>
    <w:rPr>
      <w:i/>
      <w:iCs/>
    </w:rPr>
  </w:style>
  <w:style w:type="character" w:styleId="HTMLCite">
    <w:name w:val="HTML Cite"/>
    <w:semiHidden/>
    <w:rsid w:val="00910679"/>
    <w:rPr>
      <w:i/>
      <w:iCs/>
    </w:rPr>
  </w:style>
  <w:style w:type="character" w:styleId="HTMLCode">
    <w:name w:val="HTML Code"/>
    <w:semiHidden/>
    <w:rsid w:val="00910679"/>
    <w:rPr>
      <w:rFonts w:ascii="Courier New" w:hAnsi="Courier New" w:cs="Courier New"/>
      <w:sz w:val="20"/>
      <w:szCs w:val="20"/>
    </w:rPr>
  </w:style>
  <w:style w:type="character" w:styleId="HTMLDefinition">
    <w:name w:val="HTML Definition"/>
    <w:semiHidden/>
    <w:rsid w:val="00910679"/>
    <w:rPr>
      <w:i/>
      <w:iCs/>
    </w:rPr>
  </w:style>
  <w:style w:type="character" w:styleId="HTMLKeyboard">
    <w:name w:val="HTML Keyboard"/>
    <w:semiHidden/>
    <w:rsid w:val="00910679"/>
    <w:rPr>
      <w:rFonts w:ascii="Courier New" w:hAnsi="Courier New" w:cs="Courier New"/>
      <w:sz w:val="20"/>
      <w:szCs w:val="20"/>
    </w:rPr>
  </w:style>
  <w:style w:type="paragraph" w:styleId="HTMLPreformatted">
    <w:name w:val="HTML Preformatted"/>
    <w:basedOn w:val="Normal"/>
    <w:semiHidden/>
    <w:rsid w:val="00910679"/>
    <w:rPr>
      <w:rFonts w:ascii="Courier New" w:hAnsi="Courier New" w:cs="Courier New"/>
      <w:sz w:val="20"/>
    </w:rPr>
  </w:style>
  <w:style w:type="character" w:styleId="HTMLSample">
    <w:name w:val="HTML Sample"/>
    <w:semiHidden/>
    <w:rsid w:val="00910679"/>
    <w:rPr>
      <w:rFonts w:ascii="Courier New" w:hAnsi="Courier New" w:cs="Courier New"/>
    </w:rPr>
  </w:style>
  <w:style w:type="character" w:styleId="HTMLTypewriter">
    <w:name w:val="HTML Typewriter"/>
    <w:semiHidden/>
    <w:rsid w:val="00910679"/>
    <w:rPr>
      <w:rFonts w:ascii="Courier New" w:hAnsi="Courier New" w:cs="Courier New"/>
      <w:sz w:val="20"/>
      <w:szCs w:val="20"/>
    </w:rPr>
  </w:style>
  <w:style w:type="character" w:styleId="HTMLVariable">
    <w:name w:val="HTML Variable"/>
    <w:semiHidden/>
    <w:rsid w:val="00910679"/>
    <w:rPr>
      <w:i/>
      <w:iCs/>
    </w:rPr>
  </w:style>
  <w:style w:type="character" w:styleId="Hyperlink">
    <w:name w:val="Hyperlink"/>
    <w:semiHidden/>
    <w:rsid w:val="00910679"/>
    <w:rPr>
      <w:color w:val="0000FF"/>
      <w:u w:val="single"/>
    </w:rPr>
  </w:style>
  <w:style w:type="paragraph" w:styleId="List">
    <w:name w:val="List"/>
    <w:basedOn w:val="Normal"/>
    <w:semiHidden/>
    <w:rsid w:val="00910679"/>
    <w:pPr>
      <w:ind w:left="283" w:hanging="283"/>
    </w:pPr>
  </w:style>
  <w:style w:type="paragraph" w:styleId="List2">
    <w:name w:val="List 2"/>
    <w:basedOn w:val="Normal"/>
    <w:semiHidden/>
    <w:rsid w:val="00910679"/>
    <w:pPr>
      <w:ind w:left="566" w:hanging="283"/>
    </w:pPr>
  </w:style>
  <w:style w:type="paragraph" w:styleId="List3">
    <w:name w:val="List 3"/>
    <w:basedOn w:val="Normal"/>
    <w:semiHidden/>
    <w:rsid w:val="00910679"/>
    <w:pPr>
      <w:ind w:left="849" w:hanging="283"/>
    </w:pPr>
  </w:style>
  <w:style w:type="paragraph" w:styleId="List4">
    <w:name w:val="List 4"/>
    <w:basedOn w:val="Normal"/>
    <w:semiHidden/>
    <w:rsid w:val="00910679"/>
    <w:pPr>
      <w:ind w:left="1132" w:hanging="283"/>
    </w:pPr>
  </w:style>
  <w:style w:type="paragraph" w:styleId="List5">
    <w:name w:val="List 5"/>
    <w:basedOn w:val="Normal"/>
    <w:semiHidden/>
    <w:rsid w:val="00910679"/>
    <w:pPr>
      <w:ind w:left="1415" w:hanging="283"/>
    </w:pPr>
  </w:style>
  <w:style w:type="paragraph" w:styleId="ListBullet2">
    <w:name w:val="List Bullet 2"/>
    <w:basedOn w:val="Normal"/>
    <w:autoRedefine/>
    <w:semiHidden/>
    <w:rsid w:val="00910679"/>
    <w:pPr>
      <w:numPr>
        <w:numId w:val="2"/>
      </w:numPr>
    </w:pPr>
  </w:style>
  <w:style w:type="paragraph" w:styleId="ListBullet3">
    <w:name w:val="List Bullet 3"/>
    <w:basedOn w:val="Normal"/>
    <w:autoRedefine/>
    <w:semiHidden/>
    <w:rsid w:val="00910679"/>
    <w:pPr>
      <w:numPr>
        <w:numId w:val="3"/>
      </w:numPr>
    </w:pPr>
  </w:style>
  <w:style w:type="paragraph" w:styleId="ListBullet4">
    <w:name w:val="List Bullet 4"/>
    <w:basedOn w:val="Normal"/>
    <w:autoRedefine/>
    <w:semiHidden/>
    <w:rsid w:val="00910679"/>
    <w:pPr>
      <w:numPr>
        <w:numId w:val="4"/>
      </w:numPr>
    </w:pPr>
  </w:style>
  <w:style w:type="paragraph" w:styleId="ListBullet5">
    <w:name w:val="List Bullet 5"/>
    <w:basedOn w:val="Normal"/>
    <w:autoRedefine/>
    <w:semiHidden/>
    <w:rsid w:val="00910679"/>
    <w:pPr>
      <w:numPr>
        <w:numId w:val="5"/>
      </w:numPr>
    </w:pPr>
  </w:style>
  <w:style w:type="paragraph" w:styleId="ListContinue">
    <w:name w:val="List Continue"/>
    <w:basedOn w:val="Normal"/>
    <w:semiHidden/>
    <w:rsid w:val="00910679"/>
    <w:pPr>
      <w:spacing w:after="120"/>
      <w:ind w:left="283"/>
    </w:pPr>
  </w:style>
  <w:style w:type="paragraph" w:styleId="ListContinue2">
    <w:name w:val="List Continue 2"/>
    <w:basedOn w:val="Normal"/>
    <w:semiHidden/>
    <w:rsid w:val="00910679"/>
    <w:pPr>
      <w:spacing w:after="120"/>
      <w:ind w:left="566"/>
    </w:pPr>
  </w:style>
  <w:style w:type="paragraph" w:styleId="ListContinue3">
    <w:name w:val="List Continue 3"/>
    <w:basedOn w:val="Normal"/>
    <w:semiHidden/>
    <w:rsid w:val="00910679"/>
    <w:pPr>
      <w:spacing w:after="120"/>
      <w:ind w:left="849"/>
    </w:pPr>
  </w:style>
  <w:style w:type="paragraph" w:styleId="ListContinue4">
    <w:name w:val="List Continue 4"/>
    <w:basedOn w:val="Normal"/>
    <w:semiHidden/>
    <w:rsid w:val="00910679"/>
    <w:pPr>
      <w:spacing w:after="120"/>
      <w:ind w:left="1132"/>
    </w:pPr>
  </w:style>
  <w:style w:type="paragraph" w:styleId="ListContinue5">
    <w:name w:val="List Continue 5"/>
    <w:basedOn w:val="Normal"/>
    <w:semiHidden/>
    <w:rsid w:val="00910679"/>
    <w:pPr>
      <w:spacing w:after="120"/>
      <w:ind w:left="1415"/>
    </w:pPr>
  </w:style>
  <w:style w:type="paragraph" w:styleId="ListNumber">
    <w:name w:val="List Number"/>
    <w:basedOn w:val="Normal"/>
    <w:semiHidden/>
    <w:rsid w:val="00910679"/>
    <w:pPr>
      <w:numPr>
        <w:numId w:val="7"/>
      </w:numPr>
    </w:pPr>
  </w:style>
  <w:style w:type="paragraph" w:styleId="ListNumber2">
    <w:name w:val="List Number 2"/>
    <w:basedOn w:val="Normal"/>
    <w:semiHidden/>
    <w:rsid w:val="00910679"/>
    <w:pPr>
      <w:numPr>
        <w:numId w:val="8"/>
      </w:numPr>
    </w:pPr>
  </w:style>
  <w:style w:type="paragraph" w:styleId="ListNumber3">
    <w:name w:val="List Number 3"/>
    <w:basedOn w:val="Normal"/>
    <w:semiHidden/>
    <w:rsid w:val="00910679"/>
    <w:pPr>
      <w:numPr>
        <w:numId w:val="9"/>
      </w:numPr>
    </w:pPr>
  </w:style>
  <w:style w:type="paragraph" w:styleId="ListNumber4">
    <w:name w:val="List Number 4"/>
    <w:basedOn w:val="Normal"/>
    <w:semiHidden/>
    <w:rsid w:val="00910679"/>
    <w:pPr>
      <w:numPr>
        <w:numId w:val="10"/>
      </w:numPr>
    </w:pPr>
  </w:style>
  <w:style w:type="paragraph" w:styleId="ListNumber5">
    <w:name w:val="List Number 5"/>
    <w:basedOn w:val="Normal"/>
    <w:semiHidden/>
    <w:rsid w:val="00910679"/>
    <w:pPr>
      <w:numPr>
        <w:numId w:val="11"/>
      </w:numPr>
    </w:pPr>
  </w:style>
  <w:style w:type="paragraph" w:styleId="MessageHeader">
    <w:name w:val="Message Header"/>
    <w:basedOn w:val="Normal"/>
    <w:semiHidden/>
    <w:rsid w:val="009106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910679"/>
    <w:rPr>
      <w:sz w:val="24"/>
    </w:rPr>
  </w:style>
  <w:style w:type="paragraph" w:styleId="NormalIndent">
    <w:name w:val="Normal Indent"/>
    <w:basedOn w:val="Normal"/>
    <w:semiHidden/>
    <w:rsid w:val="00910679"/>
    <w:pPr>
      <w:ind w:left="720"/>
    </w:pPr>
  </w:style>
  <w:style w:type="paragraph" w:styleId="NoteHeading">
    <w:name w:val="Note Heading"/>
    <w:basedOn w:val="Normal"/>
    <w:next w:val="Normal"/>
    <w:semiHidden/>
    <w:rsid w:val="00910679"/>
  </w:style>
  <w:style w:type="character" w:styleId="PageNumber">
    <w:name w:val="page number"/>
    <w:basedOn w:val="DefaultParagraphFont"/>
    <w:semiHidden/>
    <w:rsid w:val="00910679"/>
  </w:style>
  <w:style w:type="paragraph" w:styleId="PlainText">
    <w:name w:val="Plain Text"/>
    <w:basedOn w:val="Normal"/>
    <w:semiHidden/>
    <w:rsid w:val="00910679"/>
    <w:rPr>
      <w:rFonts w:ascii="Courier New" w:hAnsi="Courier New" w:cs="Courier New"/>
      <w:sz w:val="20"/>
    </w:rPr>
  </w:style>
  <w:style w:type="paragraph" w:styleId="Salutation">
    <w:name w:val="Salutation"/>
    <w:basedOn w:val="Normal"/>
    <w:next w:val="Normal"/>
    <w:semiHidden/>
    <w:rsid w:val="00910679"/>
  </w:style>
  <w:style w:type="paragraph" w:styleId="Signature">
    <w:name w:val="Signature"/>
    <w:basedOn w:val="Normal"/>
    <w:semiHidden/>
    <w:rsid w:val="00910679"/>
    <w:pPr>
      <w:ind w:left="4252"/>
    </w:pPr>
  </w:style>
  <w:style w:type="character" w:styleId="Strong">
    <w:name w:val="Strong"/>
    <w:qFormat/>
    <w:rsid w:val="00910679"/>
    <w:rPr>
      <w:b/>
      <w:bCs/>
    </w:rPr>
  </w:style>
  <w:style w:type="paragraph" w:styleId="Subtitle">
    <w:name w:val="Subtitle"/>
    <w:basedOn w:val="Normal"/>
    <w:qFormat/>
    <w:rsid w:val="00910679"/>
    <w:pPr>
      <w:spacing w:after="60"/>
      <w:jc w:val="center"/>
      <w:outlineLvl w:val="1"/>
    </w:pPr>
    <w:rPr>
      <w:rFonts w:ascii="Arial" w:hAnsi="Arial" w:cs="Arial"/>
      <w:sz w:val="24"/>
    </w:rPr>
  </w:style>
  <w:style w:type="table" w:styleId="Table3Deffects1">
    <w:name w:val="Table 3D effects 1"/>
    <w:basedOn w:val="TableNormal"/>
    <w:semiHidden/>
    <w:rsid w:val="00910679"/>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10679"/>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10679"/>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1067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1067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10679"/>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10679"/>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10679"/>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10679"/>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10679"/>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10679"/>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10679"/>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10679"/>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10679"/>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10679"/>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10679"/>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10679"/>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54F4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1067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10679"/>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10679"/>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10679"/>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10679"/>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10679"/>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10679"/>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10679"/>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10679"/>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1067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1067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10679"/>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1067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1067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10679"/>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10679"/>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10679"/>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10679"/>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10679"/>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10679"/>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10679"/>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10679"/>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0679"/>
    <w:pPr>
      <w:spacing w:before="240" w:after="60"/>
      <w:jc w:val="center"/>
    </w:pPr>
    <w:rPr>
      <w:rFonts w:ascii="Arial" w:hAnsi="Arial" w:cs="Arial"/>
      <w:b/>
      <w:bCs/>
      <w:kern w:val="28"/>
      <w:sz w:val="32"/>
      <w:szCs w:val="32"/>
    </w:rPr>
  </w:style>
  <w:style w:type="paragraph" w:styleId="TOAHeading">
    <w:name w:val="toa heading"/>
    <w:basedOn w:val="Normal"/>
    <w:next w:val="Normal"/>
    <w:rsid w:val="00910679"/>
    <w:pPr>
      <w:spacing w:before="120"/>
    </w:pPr>
    <w:rPr>
      <w:rFonts w:ascii="Arial" w:hAnsi="Arial" w:cs="Arial"/>
      <w:b/>
      <w:bCs/>
      <w:sz w:val="24"/>
    </w:rPr>
  </w:style>
  <w:style w:type="paragraph" w:styleId="BalloonText">
    <w:name w:val="Balloon Text"/>
    <w:basedOn w:val="Normal"/>
    <w:link w:val="BalloonTextChar"/>
    <w:uiPriority w:val="99"/>
    <w:semiHidden/>
    <w:unhideWhenUsed/>
    <w:rsid w:val="00654F44"/>
    <w:pPr>
      <w:spacing w:line="240" w:lineRule="auto"/>
    </w:pPr>
    <w:rPr>
      <w:rFonts w:ascii="Tahoma" w:hAnsi="Tahoma" w:cs="Tahoma"/>
      <w:sz w:val="16"/>
      <w:szCs w:val="16"/>
    </w:rPr>
  </w:style>
  <w:style w:type="paragraph" w:styleId="Caption">
    <w:name w:val="caption"/>
    <w:basedOn w:val="Normal"/>
    <w:next w:val="Normal"/>
    <w:qFormat/>
    <w:rsid w:val="00910679"/>
    <w:pPr>
      <w:spacing w:before="120" w:after="120"/>
    </w:pPr>
    <w:rPr>
      <w:b/>
      <w:bCs/>
      <w:sz w:val="20"/>
    </w:rPr>
  </w:style>
  <w:style w:type="character" w:styleId="CommentReference">
    <w:name w:val="annotation reference"/>
    <w:semiHidden/>
    <w:rsid w:val="00910679"/>
    <w:rPr>
      <w:sz w:val="16"/>
      <w:szCs w:val="16"/>
    </w:rPr>
  </w:style>
  <w:style w:type="paragraph" w:styleId="CommentText">
    <w:name w:val="annotation text"/>
    <w:basedOn w:val="Normal"/>
    <w:semiHidden/>
    <w:rsid w:val="00910679"/>
    <w:rPr>
      <w:sz w:val="20"/>
    </w:rPr>
  </w:style>
  <w:style w:type="paragraph" w:styleId="CommentSubject">
    <w:name w:val="annotation subject"/>
    <w:basedOn w:val="CommentText"/>
    <w:next w:val="CommentText"/>
    <w:semiHidden/>
    <w:rsid w:val="00910679"/>
    <w:rPr>
      <w:b/>
      <w:bCs/>
    </w:rPr>
  </w:style>
  <w:style w:type="paragraph" w:styleId="DocumentMap">
    <w:name w:val="Document Map"/>
    <w:basedOn w:val="Normal"/>
    <w:semiHidden/>
    <w:rsid w:val="00910679"/>
    <w:pPr>
      <w:shd w:val="clear" w:color="auto" w:fill="000080"/>
    </w:pPr>
    <w:rPr>
      <w:rFonts w:ascii="Tahoma" w:hAnsi="Tahoma" w:cs="Tahoma"/>
    </w:rPr>
  </w:style>
  <w:style w:type="character" w:styleId="EndnoteReference">
    <w:name w:val="endnote reference"/>
    <w:semiHidden/>
    <w:rsid w:val="00910679"/>
    <w:rPr>
      <w:vertAlign w:val="superscript"/>
    </w:rPr>
  </w:style>
  <w:style w:type="paragraph" w:styleId="EndnoteText">
    <w:name w:val="endnote text"/>
    <w:basedOn w:val="Normal"/>
    <w:semiHidden/>
    <w:rsid w:val="00910679"/>
    <w:rPr>
      <w:sz w:val="20"/>
    </w:rPr>
  </w:style>
  <w:style w:type="character" w:styleId="FootnoteReference">
    <w:name w:val="footnote reference"/>
    <w:semiHidden/>
    <w:rsid w:val="00910679"/>
    <w:rPr>
      <w:vertAlign w:val="superscript"/>
    </w:rPr>
  </w:style>
  <w:style w:type="paragraph" w:styleId="FootnoteText">
    <w:name w:val="footnote text"/>
    <w:basedOn w:val="Normal"/>
    <w:semiHidden/>
    <w:rsid w:val="00910679"/>
    <w:rPr>
      <w:sz w:val="20"/>
    </w:rPr>
  </w:style>
  <w:style w:type="paragraph" w:styleId="Index1">
    <w:name w:val="index 1"/>
    <w:basedOn w:val="Normal"/>
    <w:next w:val="Normal"/>
    <w:autoRedefine/>
    <w:semiHidden/>
    <w:rsid w:val="00910679"/>
    <w:pPr>
      <w:ind w:left="220" w:hanging="220"/>
    </w:pPr>
  </w:style>
  <w:style w:type="paragraph" w:styleId="Index2">
    <w:name w:val="index 2"/>
    <w:basedOn w:val="Normal"/>
    <w:next w:val="Normal"/>
    <w:autoRedefine/>
    <w:semiHidden/>
    <w:rsid w:val="00910679"/>
    <w:pPr>
      <w:ind w:left="440" w:hanging="220"/>
    </w:pPr>
  </w:style>
  <w:style w:type="paragraph" w:styleId="Index3">
    <w:name w:val="index 3"/>
    <w:basedOn w:val="Normal"/>
    <w:next w:val="Normal"/>
    <w:autoRedefine/>
    <w:semiHidden/>
    <w:rsid w:val="00910679"/>
    <w:pPr>
      <w:ind w:left="660" w:hanging="220"/>
    </w:pPr>
  </w:style>
  <w:style w:type="paragraph" w:styleId="Index4">
    <w:name w:val="index 4"/>
    <w:basedOn w:val="Normal"/>
    <w:next w:val="Normal"/>
    <w:autoRedefine/>
    <w:semiHidden/>
    <w:rsid w:val="00910679"/>
    <w:pPr>
      <w:ind w:left="880" w:hanging="220"/>
    </w:pPr>
  </w:style>
  <w:style w:type="paragraph" w:styleId="Index5">
    <w:name w:val="index 5"/>
    <w:basedOn w:val="Normal"/>
    <w:next w:val="Normal"/>
    <w:autoRedefine/>
    <w:semiHidden/>
    <w:rsid w:val="00910679"/>
    <w:pPr>
      <w:ind w:left="1100" w:hanging="220"/>
    </w:pPr>
  </w:style>
  <w:style w:type="paragraph" w:styleId="Index6">
    <w:name w:val="index 6"/>
    <w:basedOn w:val="Normal"/>
    <w:next w:val="Normal"/>
    <w:autoRedefine/>
    <w:semiHidden/>
    <w:rsid w:val="00910679"/>
    <w:pPr>
      <w:ind w:left="1320" w:hanging="220"/>
    </w:pPr>
  </w:style>
  <w:style w:type="paragraph" w:styleId="Index7">
    <w:name w:val="index 7"/>
    <w:basedOn w:val="Normal"/>
    <w:next w:val="Normal"/>
    <w:autoRedefine/>
    <w:semiHidden/>
    <w:rsid w:val="00910679"/>
    <w:pPr>
      <w:ind w:left="1540" w:hanging="220"/>
    </w:pPr>
  </w:style>
  <w:style w:type="paragraph" w:styleId="Index8">
    <w:name w:val="index 8"/>
    <w:basedOn w:val="Normal"/>
    <w:next w:val="Normal"/>
    <w:autoRedefine/>
    <w:semiHidden/>
    <w:rsid w:val="00910679"/>
    <w:pPr>
      <w:ind w:left="1760" w:hanging="220"/>
    </w:pPr>
  </w:style>
  <w:style w:type="paragraph" w:styleId="Index9">
    <w:name w:val="index 9"/>
    <w:basedOn w:val="Normal"/>
    <w:next w:val="Normal"/>
    <w:autoRedefine/>
    <w:semiHidden/>
    <w:rsid w:val="00910679"/>
    <w:pPr>
      <w:ind w:left="1980" w:hanging="220"/>
    </w:pPr>
  </w:style>
  <w:style w:type="paragraph" w:styleId="IndexHeading">
    <w:name w:val="index heading"/>
    <w:basedOn w:val="Normal"/>
    <w:next w:val="Index1"/>
    <w:semiHidden/>
    <w:rsid w:val="00910679"/>
    <w:rPr>
      <w:rFonts w:ascii="Arial" w:hAnsi="Arial" w:cs="Arial"/>
      <w:b/>
      <w:bCs/>
    </w:rPr>
  </w:style>
  <w:style w:type="paragraph" w:styleId="MacroText">
    <w:name w:val="macro"/>
    <w:semiHidden/>
    <w:rsid w:val="0091067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basedOn w:val="Normal"/>
    <w:next w:val="Normal"/>
    <w:semiHidden/>
    <w:rsid w:val="00910679"/>
    <w:pPr>
      <w:ind w:left="220" w:hanging="220"/>
    </w:pPr>
  </w:style>
  <w:style w:type="paragraph" w:styleId="TableofFigures">
    <w:name w:val="table of figures"/>
    <w:basedOn w:val="Normal"/>
    <w:next w:val="Normal"/>
    <w:semiHidden/>
    <w:rsid w:val="00910679"/>
    <w:pPr>
      <w:ind w:left="440" w:hanging="440"/>
    </w:pPr>
  </w:style>
  <w:style w:type="character" w:customStyle="1" w:styleId="OPCCharBase">
    <w:name w:val="OPCCharBase"/>
    <w:uiPriority w:val="1"/>
    <w:qFormat/>
    <w:rsid w:val="00654F44"/>
  </w:style>
  <w:style w:type="paragraph" w:customStyle="1" w:styleId="OPCParaBase">
    <w:name w:val="OPCParaBase"/>
    <w:qFormat/>
    <w:rsid w:val="00654F44"/>
    <w:pPr>
      <w:spacing w:line="260" w:lineRule="atLeast"/>
    </w:pPr>
    <w:rPr>
      <w:sz w:val="22"/>
    </w:rPr>
  </w:style>
  <w:style w:type="paragraph" w:customStyle="1" w:styleId="Blocks">
    <w:name w:val="Blocks"/>
    <w:aliases w:val="bb"/>
    <w:basedOn w:val="OPCParaBase"/>
    <w:qFormat/>
    <w:rsid w:val="00654F44"/>
    <w:pPr>
      <w:spacing w:line="240" w:lineRule="auto"/>
    </w:pPr>
    <w:rPr>
      <w:sz w:val="24"/>
    </w:rPr>
  </w:style>
  <w:style w:type="character" w:customStyle="1" w:styleId="CharBoldItalic">
    <w:name w:val="CharBoldItalic"/>
    <w:basedOn w:val="OPCCharBase"/>
    <w:uiPriority w:val="1"/>
    <w:qFormat/>
    <w:rsid w:val="00654F44"/>
    <w:rPr>
      <w:b/>
      <w:i/>
    </w:rPr>
  </w:style>
  <w:style w:type="character" w:customStyle="1" w:styleId="CharItalic">
    <w:name w:val="CharItalic"/>
    <w:basedOn w:val="OPCCharBase"/>
    <w:uiPriority w:val="1"/>
    <w:qFormat/>
    <w:rsid w:val="00654F44"/>
    <w:rPr>
      <w:i/>
    </w:rPr>
  </w:style>
  <w:style w:type="paragraph" w:customStyle="1" w:styleId="CTA--">
    <w:name w:val="CTA --"/>
    <w:basedOn w:val="OPCParaBase"/>
    <w:next w:val="Normal"/>
    <w:rsid w:val="00654F44"/>
    <w:pPr>
      <w:spacing w:before="60" w:line="240" w:lineRule="atLeast"/>
      <w:ind w:left="142" w:hanging="142"/>
    </w:pPr>
    <w:rPr>
      <w:sz w:val="20"/>
    </w:rPr>
  </w:style>
  <w:style w:type="paragraph" w:customStyle="1" w:styleId="CTA-">
    <w:name w:val="CTA -"/>
    <w:basedOn w:val="OPCParaBase"/>
    <w:rsid w:val="00654F44"/>
    <w:pPr>
      <w:spacing w:before="60" w:line="240" w:lineRule="atLeast"/>
      <w:ind w:left="85" w:hanging="85"/>
    </w:pPr>
    <w:rPr>
      <w:sz w:val="20"/>
    </w:rPr>
  </w:style>
  <w:style w:type="paragraph" w:customStyle="1" w:styleId="CTA---">
    <w:name w:val="CTA ---"/>
    <w:basedOn w:val="OPCParaBase"/>
    <w:next w:val="Normal"/>
    <w:rsid w:val="00654F44"/>
    <w:pPr>
      <w:spacing w:before="60" w:line="240" w:lineRule="atLeast"/>
      <w:ind w:left="198" w:hanging="198"/>
    </w:pPr>
    <w:rPr>
      <w:sz w:val="20"/>
    </w:rPr>
  </w:style>
  <w:style w:type="paragraph" w:customStyle="1" w:styleId="CTA----">
    <w:name w:val="CTA ----"/>
    <w:basedOn w:val="OPCParaBase"/>
    <w:next w:val="Normal"/>
    <w:rsid w:val="00654F44"/>
    <w:pPr>
      <w:spacing w:before="60" w:line="240" w:lineRule="atLeast"/>
      <w:ind w:left="255" w:hanging="255"/>
    </w:pPr>
    <w:rPr>
      <w:sz w:val="20"/>
    </w:rPr>
  </w:style>
  <w:style w:type="paragraph" w:customStyle="1" w:styleId="CTA1a">
    <w:name w:val="CTA 1(a)"/>
    <w:basedOn w:val="OPCParaBase"/>
    <w:rsid w:val="00654F44"/>
    <w:pPr>
      <w:tabs>
        <w:tab w:val="right" w:pos="414"/>
      </w:tabs>
      <w:spacing w:before="40" w:line="240" w:lineRule="atLeast"/>
      <w:ind w:left="675" w:hanging="675"/>
    </w:pPr>
    <w:rPr>
      <w:sz w:val="20"/>
    </w:rPr>
  </w:style>
  <w:style w:type="paragraph" w:customStyle="1" w:styleId="CTA1ai">
    <w:name w:val="CTA 1(a)(i)"/>
    <w:basedOn w:val="OPCParaBase"/>
    <w:rsid w:val="00654F44"/>
    <w:pPr>
      <w:tabs>
        <w:tab w:val="right" w:pos="1004"/>
      </w:tabs>
      <w:spacing w:before="40" w:line="240" w:lineRule="atLeast"/>
      <w:ind w:left="1253" w:hanging="1253"/>
    </w:pPr>
    <w:rPr>
      <w:sz w:val="20"/>
    </w:rPr>
  </w:style>
  <w:style w:type="paragraph" w:customStyle="1" w:styleId="CTA2a">
    <w:name w:val="CTA 2(a)"/>
    <w:basedOn w:val="OPCParaBase"/>
    <w:rsid w:val="00654F44"/>
    <w:pPr>
      <w:tabs>
        <w:tab w:val="right" w:pos="482"/>
      </w:tabs>
      <w:spacing w:before="40" w:line="240" w:lineRule="atLeast"/>
      <w:ind w:left="748" w:hanging="748"/>
    </w:pPr>
    <w:rPr>
      <w:sz w:val="20"/>
    </w:rPr>
  </w:style>
  <w:style w:type="paragraph" w:customStyle="1" w:styleId="CTA2ai">
    <w:name w:val="CTA 2(a)(i)"/>
    <w:basedOn w:val="OPCParaBase"/>
    <w:rsid w:val="00654F44"/>
    <w:pPr>
      <w:tabs>
        <w:tab w:val="right" w:pos="1089"/>
      </w:tabs>
      <w:spacing w:before="40" w:line="240" w:lineRule="atLeast"/>
      <w:ind w:left="1327" w:hanging="1327"/>
    </w:pPr>
    <w:rPr>
      <w:sz w:val="20"/>
    </w:rPr>
  </w:style>
  <w:style w:type="paragraph" w:customStyle="1" w:styleId="CTA3a">
    <w:name w:val="CTA 3(a)"/>
    <w:basedOn w:val="OPCParaBase"/>
    <w:rsid w:val="00654F44"/>
    <w:pPr>
      <w:tabs>
        <w:tab w:val="right" w:pos="556"/>
      </w:tabs>
      <w:spacing w:before="40" w:line="240" w:lineRule="atLeast"/>
      <w:ind w:left="805" w:hanging="805"/>
    </w:pPr>
    <w:rPr>
      <w:sz w:val="20"/>
    </w:rPr>
  </w:style>
  <w:style w:type="paragraph" w:customStyle="1" w:styleId="CTA3ai">
    <w:name w:val="CTA 3(a)(i)"/>
    <w:basedOn w:val="OPCParaBase"/>
    <w:rsid w:val="00654F44"/>
    <w:pPr>
      <w:tabs>
        <w:tab w:val="right" w:pos="1140"/>
      </w:tabs>
      <w:spacing w:before="40" w:line="240" w:lineRule="atLeast"/>
      <w:ind w:left="1361" w:hanging="1361"/>
    </w:pPr>
    <w:rPr>
      <w:sz w:val="20"/>
    </w:rPr>
  </w:style>
  <w:style w:type="paragraph" w:customStyle="1" w:styleId="CTA4a">
    <w:name w:val="CTA 4(a)"/>
    <w:basedOn w:val="OPCParaBase"/>
    <w:rsid w:val="00654F44"/>
    <w:pPr>
      <w:tabs>
        <w:tab w:val="right" w:pos="624"/>
      </w:tabs>
      <w:spacing w:before="40" w:line="240" w:lineRule="atLeast"/>
      <w:ind w:left="873" w:hanging="873"/>
    </w:pPr>
    <w:rPr>
      <w:sz w:val="20"/>
    </w:rPr>
  </w:style>
  <w:style w:type="paragraph" w:customStyle="1" w:styleId="CTA4ai">
    <w:name w:val="CTA 4(a)(i)"/>
    <w:basedOn w:val="OPCParaBase"/>
    <w:rsid w:val="00654F44"/>
    <w:pPr>
      <w:tabs>
        <w:tab w:val="right" w:pos="1213"/>
      </w:tabs>
      <w:spacing w:before="40" w:line="240" w:lineRule="atLeast"/>
      <w:ind w:left="1452" w:hanging="1452"/>
    </w:pPr>
    <w:rPr>
      <w:sz w:val="20"/>
    </w:rPr>
  </w:style>
  <w:style w:type="paragraph" w:customStyle="1" w:styleId="CTACAPS">
    <w:name w:val="CTA CAPS"/>
    <w:basedOn w:val="OPCParaBase"/>
    <w:rsid w:val="00654F44"/>
    <w:pPr>
      <w:spacing w:before="60" w:line="240" w:lineRule="atLeast"/>
    </w:pPr>
    <w:rPr>
      <w:sz w:val="20"/>
    </w:rPr>
  </w:style>
  <w:style w:type="paragraph" w:customStyle="1" w:styleId="CTAright">
    <w:name w:val="CTA right"/>
    <w:basedOn w:val="OPCParaBase"/>
    <w:rsid w:val="00654F44"/>
    <w:pPr>
      <w:spacing w:before="60" w:line="240" w:lineRule="auto"/>
      <w:jc w:val="right"/>
    </w:pPr>
    <w:rPr>
      <w:sz w:val="20"/>
    </w:rPr>
  </w:style>
  <w:style w:type="character" w:customStyle="1" w:styleId="HeaderChar">
    <w:name w:val="Header Char"/>
    <w:basedOn w:val="DefaultParagraphFont"/>
    <w:link w:val="Header"/>
    <w:rsid w:val="00654F44"/>
    <w:rPr>
      <w:sz w:val="16"/>
    </w:rPr>
  </w:style>
  <w:style w:type="paragraph" w:customStyle="1" w:styleId="House">
    <w:name w:val="House"/>
    <w:basedOn w:val="OPCParaBase"/>
    <w:rsid w:val="00654F44"/>
    <w:pPr>
      <w:spacing w:line="240" w:lineRule="auto"/>
    </w:pPr>
    <w:rPr>
      <w:sz w:val="28"/>
    </w:rPr>
  </w:style>
  <w:style w:type="paragraph" w:customStyle="1" w:styleId="noteToPara">
    <w:name w:val="noteToPara"/>
    <w:aliases w:val="ntp"/>
    <w:basedOn w:val="OPCParaBase"/>
    <w:rsid w:val="00654F44"/>
    <w:pPr>
      <w:spacing w:before="122" w:line="198" w:lineRule="exact"/>
      <w:ind w:left="2353" w:hanging="709"/>
    </w:pPr>
    <w:rPr>
      <w:sz w:val="18"/>
    </w:rPr>
  </w:style>
  <w:style w:type="paragraph" w:customStyle="1" w:styleId="Portfolio">
    <w:name w:val="Portfolio"/>
    <w:basedOn w:val="OPCParaBase"/>
    <w:rsid w:val="00654F44"/>
    <w:pPr>
      <w:spacing w:line="240" w:lineRule="auto"/>
    </w:pPr>
    <w:rPr>
      <w:i/>
      <w:sz w:val="20"/>
    </w:rPr>
  </w:style>
  <w:style w:type="paragraph" w:customStyle="1" w:styleId="Reading">
    <w:name w:val="Reading"/>
    <w:basedOn w:val="OPCParaBase"/>
    <w:rsid w:val="00654F44"/>
    <w:pPr>
      <w:spacing w:line="240" w:lineRule="auto"/>
    </w:pPr>
    <w:rPr>
      <w:i/>
      <w:sz w:val="20"/>
    </w:rPr>
  </w:style>
  <w:style w:type="paragraph" w:customStyle="1" w:styleId="Session">
    <w:name w:val="Session"/>
    <w:basedOn w:val="OPCParaBase"/>
    <w:rsid w:val="00654F44"/>
    <w:pPr>
      <w:spacing w:line="240" w:lineRule="auto"/>
    </w:pPr>
    <w:rPr>
      <w:sz w:val="28"/>
    </w:rPr>
  </w:style>
  <w:style w:type="paragraph" w:customStyle="1" w:styleId="Sponsor">
    <w:name w:val="Sponsor"/>
    <w:basedOn w:val="OPCParaBase"/>
    <w:rsid w:val="00654F44"/>
    <w:pPr>
      <w:spacing w:line="240" w:lineRule="auto"/>
    </w:pPr>
    <w:rPr>
      <w:i/>
    </w:rPr>
  </w:style>
  <w:style w:type="paragraph" w:customStyle="1" w:styleId="Tabletext">
    <w:name w:val="Tabletext"/>
    <w:aliases w:val="tt"/>
    <w:basedOn w:val="OPCParaBase"/>
    <w:rsid w:val="00654F44"/>
    <w:pPr>
      <w:spacing w:before="60" w:line="240" w:lineRule="atLeast"/>
    </w:pPr>
    <w:rPr>
      <w:sz w:val="20"/>
    </w:rPr>
  </w:style>
  <w:style w:type="paragraph" w:customStyle="1" w:styleId="WRStyle">
    <w:name w:val="WR Style"/>
    <w:aliases w:val="WR"/>
    <w:basedOn w:val="OPCParaBase"/>
    <w:rsid w:val="00654F44"/>
    <w:pPr>
      <w:spacing w:before="240" w:line="240" w:lineRule="auto"/>
      <w:ind w:left="284" w:hanging="284"/>
    </w:pPr>
    <w:rPr>
      <w:b/>
      <w:i/>
      <w:kern w:val="28"/>
      <w:sz w:val="24"/>
    </w:rPr>
  </w:style>
  <w:style w:type="character" w:customStyle="1" w:styleId="FooterChar">
    <w:name w:val="Footer Char"/>
    <w:basedOn w:val="DefaultParagraphFont"/>
    <w:link w:val="Footer"/>
    <w:rsid w:val="00654F44"/>
    <w:rPr>
      <w:sz w:val="22"/>
      <w:szCs w:val="24"/>
    </w:rPr>
  </w:style>
  <w:style w:type="table" w:customStyle="1" w:styleId="CFlag">
    <w:name w:val="CFlag"/>
    <w:basedOn w:val="TableNormal"/>
    <w:uiPriority w:val="99"/>
    <w:rsid w:val="00654F44"/>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654F4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4F44"/>
    <w:pPr>
      <w:pBdr>
        <w:top w:val="single" w:sz="4" w:space="1" w:color="auto"/>
      </w:pBdr>
      <w:spacing w:before="360"/>
      <w:ind w:right="397"/>
      <w:jc w:val="both"/>
    </w:pPr>
  </w:style>
  <w:style w:type="paragraph" w:customStyle="1" w:styleId="ENotesHeading1">
    <w:name w:val="ENotesHeading 1"/>
    <w:aliases w:val="Enh1"/>
    <w:basedOn w:val="OPCParaBase"/>
    <w:next w:val="Normal"/>
    <w:rsid w:val="00654F44"/>
    <w:pPr>
      <w:spacing w:before="120"/>
      <w:outlineLvl w:val="1"/>
    </w:pPr>
    <w:rPr>
      <w:b/>
      <w:sz w:val="28"/>
      <w:szCs w:val="28"/>
    </w:rPr>
  </w:style>
  <w:style w:type="paragraph" w:customStyle="1" w:styleId="ENotesHeading2">
    <w:name w:val="ENotesHeading 2"/>
    <w:aliases w:val="Enh2"/>
    <w:basedOn w:val="OPCParaBase"/>
    <w:next w:val="Normal"/>
    <w:rsid w:val="00654F44"/>
    <w:pPr>
      <w:spacing w:before="120" w:after="120"/>
      <w:outlineLvl w:val="2"/>
    </w:pPr>
    <w:rPr>
      <w:b/>
      <w:sz w:val="24"/>
      <w:szCs w:val="28"/>
    </w:rPr>
  </w:style>
  <w:style w:type="paragraph" w:customStyle="1" w:styleId="CompiledActNo">
    <w:name w:val="CompiledActNo"/>
    <w:basedOn w:val="OPCParaBase"/>
    <w:next w:val="Normal"/>
    <w:rsid w:val="00654F44"/>
    <w:rPr>
      <w:b/>
      <w:sz w:val="24"/>
      <w:szCs w:val="24"/>
    </w:rPr>
  </w:style>
  <w:style w:type="paragraph" w:customStyle="1" w:styleId="ENotesText">
    <w:name w:val="ENotesText"/>
    <w:aliases w:val="Ent,ENt"/>
    <w:basedOn w:val="OPCParaBase"/>
    <w:next w:val="Normal"/>
    <w:rsid w:val="00654F44"/>
    <w:pPr>
      <w:spacing w:before="120"/>
    </w:pPr>
  </w:style>
  <w:style w:type="paragraph" w:customStyle="1" w:styleId="CompiledMadeUnder">
    <w:name w:val="CompiledMadeUnder"/>
    <w:basedOn w:val="OPCParaBase"/>
    <w:next w:val="Normal"/>
    <w:rsid w:val="00654F44"/>
    <w:rPr>
      <w:i/>
      <w:sz w:val="24"/>
      <w:szCs w:val="24"/>
    </w:rPr>
  </w:style>
  <w:style w:type="paragraph" w:customStyle="1" w:styleId="Paragraphsub-sub-sub">
    <w:name w:val="Paragraph(sub-sub-sub)"/>
    <w:aliases w:val="aaaa"/>
    <w:basedOn w:val="OPCParaBase"/>
    <w:rsid w:val="00654F4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4F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4F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4F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4F4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4F44"/>
    <w:pPr>
      <w:spacing w:before="60" w:line="240" w:lineRule="auto"/>
    </w:pPr>
    <w:rPr>
      <w:rFonts w:cs="Arial"/>
      <w:sz w:val="20"/>
      <w:szCs w:val="22"/>
    </w:rPr>
  </w:style>
  <w:style w:type="paragraph" w:customStyle="1" w:styleId="ActHead10">
    <w:name w:val="ActHead 10"/>
    <w:aliases w:val="sp"/>
    <w:basedOn w:val="OPCParaBase"/>
    <w:next w:val="ActHead3"/>
    <w:rsid w:val="00654F4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654F44"/>
    <w:rPr>
      <w:rFonts w:ascii="Tahoma" w:eastAsiaTheme="minorHAnsi" w:hAnsi="Tahoma" w:cs="Tahoma"/>
      <w:sz w:val="16"/>
      <w:szCs w:val="16"/>
      <w:lang w:eastAsia="en-US"/>
    </w:rPr>
  </w:style>
  <w:style w:type="paragraph" w:customStyle="1" w:styleId="NoteToSubpara">
    <w:name w:val="NoteToSubpara"/>
    <w:aliases w:val="nts"/>
    <w:basedOn w:val="OPCParaBase"/>
    <w:rsid w:val="00654F44"/>
    <w:pPr>
      <w:spacing w:before="40" w:line="198" w:lineRule="exact"/>
      <w:ind w:left="2835" w:hanging="709"/>
    </w:pPr>
    <w:rPr>
      <w:sz w:val="18"/>
    </w:rPr>
  </w:style>
  <w:style w:type="paragraph" w:customStyle="1" w:styleId="ENoteTableHeading">
    <w:name w:val="ENoteTableHeading"/>
    <w:aliases w:val="enth"/>
    <w:basedOn w:val="OPCParaBase"/>
    <w:rsid w:val="00654F44"/>
    <w:pPr>
      <w:keepNext/>
      <w:spacing w:before="60" w:line="240" w:lineRule="atLeast"/>
    </w:pPr>
    <w:rPr>
      <w:rFonts w:ascii="Arial" w:hAnsi="Arial"/>
      <w:b/>
      <w:sz w:val="16"/>
    </w:rPr>
  </w:style>
  <w:style w:type="paragraph" w:customStyle="1" w:styleId="ENoteTTi">
    <w:name w:val="ENoteTTi"/>
    <w:aliases w:val="entti"/>
    <w:basedOn w:val="OPCParaBase"/>
    <w:rsid w:val="00654F44"/>
    <w:pPr>
      <w:keepNext/>
      <w:spacing w:before="60" w:line="240" w:lineRule="atLeast"/>
      <w:ind w:left="170"/>
    </w:pPr>
    <w:rPr>
      <w:sz w:val="16"/>
    </w:rPr>
  </w:style>
  <w:style w:type="paragraph" w:customStyle="1" w:styleId="ENoteTTIndentHeading">
    <w:name w:val="ENoteTTIndentHeading"/>
    <w:aliases w:val="enTTHi"/>
    <w:basedOn w:val="OPCParaBase"/>
    <w:rsid w:val="00654F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54F44"/>
    <w:pPr>
      <w:spacing w:before="60" w:line="240" w:lineRule="atLeast"/>
    </w:pPr>
    <w:rPr>
      <w:sz w:val="16"/>
    </w:rPr>
  </w:style>
  <w:style w:type="paragraph" w:customStyle="1" w:styleId="MadeunderText">
    <w:name w:val="MadeunderText"/>
    <w:basedOn w:val="OPCParaBase"/>
    <w:next w:val="CompiledMadeUnder"/>
    <w:rsid w:val="00654F44"/>
    <w:pPr>
      <w:spacing w:before="240"/>
    </w:pPr>
    <w:rPr>
      <w:sz w:val="24"/>
      <w:szCs w:val="24"/>
    </w:rPr>
  </w:style>
  <w:style w:type="paragraph" w:customStyle="1" w:styleId="ENotesHeading3">
    <w:name w:val="ENotesHeading 3"/>
    <w:aliases w:val="Enh3"/>
    <w:basedOn w:val="OPCParaBase"/>
    <w:next w:val="Normal"/>
    <w:rsid w:val="00654F44"/>
    <w:pPr>
      <w:keepNext/>
      <w:spacing w:before="120" w:line="240" w:lineRule="auto"/>
      <w:outlineLvl w:val="4"/>
    </w:pPr>
    <w:rPr>
      <w:b/>
      <w:szCs w:val="24"/>
    </w:rPr>
  </w:style>
  <w:style w:type="paragraph" w:customStyle="1" w:styleId="SubPartCASA">
    <w:name w:val="SubPart(CASA)"/>
    <w:aliases w:val="csp"/>
    <w:basedOn w:val="OPCParaBase"/>
    <w:next w:val="ActHead3"/>
    <w:rsid w:val="00654F44"/>
    <w:pPr>
      <w:keepNext/>
      <w:keepLines/>
      <w:spacing w:before="280"/>
      <w:outlineLvl w:val="1"/>
    </w:pPr>
    <w:rPr>
      <w:b/>
      <w:kern w:val="28"/>
      <w:sz w:val="32"/>
    </w:rPr>
  </w:style>
  <w:style w:type="character" w:customStyle="1" w:styleId="CharSubPartTextCASA">
    <w:name w:val="CharSubPartText(CASA)"/>
    <w:basedOn w:val="OPCCharBase"/>
    <w:uiPriority w:val="1"/>
    <w:rsid w:val="00654F44"/>
  </w:style>
  <w:style w:type="character" w:customStyle="1" w:styleId="CharSubPartNoCASA">
    <w:name w:val="CharSubPartNo(CASA)"/>
    <w:basedOn w:val="OPCCharBase"/>
    <w:uiPriority w:val="1"/>
    <w:rsid w:val="00654F44"/>
  </w:style>
  <w:style w:type="paragraph" w:customStyle="1" w:styleId="ENoteTTIndentHeadingSub">
    <w:name w:val="ENoteTTIndentHeadingSub"/>
    <w:aliases w:val="enTTHis"/>
    <w:basedOn w:val="OPCParaBase"/>
    <w:rsid w:val="00654F44"/>
    <w:pPr>
      <w:keepNext/>
      <w:spacing w:before="60" w:line="240" w:lineRule="atLeast"/>
      <w:ind w:left="340"/>
    </w:pPr>
    <w:rPr>
      <w:b/>
      <w:sz w:val="16"/>
    </w:rPr>
  </w:style>
  <w:style w:type="paragraph" w:customStyle="1" w:styleId="ENoteTTiSub">
    <w:name w:val="ENoteTTiSub"/>
    <w:aliases w:val="enttis"/>
    <w:basedOn w:val="OPCParaBase"/>
    <w:rsid w:val="00654F44"/>
    <w:pPr>
      <w:keepNext/>
      <w:spacing w:before="60" w:line="240" w:lineRule="atLeast"/>
      <w:ind w:left="340"/>
    </w:pPr>
    <w:rPr>
      <w:sz w:val="16"/>
    </w:rPr>
  </w:style>
  <w:style w:type="paragraph" w:customStyle="1" w:styleId="SubDivisionMigration">
    <w:name w:val="SubDivisionMigration"/>
    <w:aliases w:val="sdm"/>
    <w:basedOn w:val="OPCParaBase"/>
    <w:rsid w:val="00654F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4F44"/>
    <w:pPr>
      <w:keepNext/>
      <w:keepLines/>
      <w:spacing w:before="240" w:line="240" w:lineRule="auto"/>
      <w:ind w:left="1134" w:hanging="1134"/>
    </w:pPr>
    <w:rPr>
      <w:b/>
      <w:sz w:val="28"/>
    </w:rPr>
  </w:style>
  <w:style w:type="paragraph" w:customStyle="1" w:styleId="FreeForm">
    <w:name w:val="FreeForm"/>
    <w:rsid w:val="00BF69CF"/>
    <w:rPr>
      <w:rFonts w:ascii="Arial" w:eastAsiaTheme="minorHAnsi" w:hAnsi="Arial" w:cstheme="minorBidi"/>
      <w:sz w:val="22"/>
      <w:lang w:eastAsia="en-US"/>
    </w:rPr>
  </w:style>
  <w:style w:type="paragraph" w:customStyle="1" w:styleId="TableHeading">
    <w:name w:val="TableHeading"/>
    <w:aliases w:val="th"/>
    <w:basedOn w:val="OPCParaBase"/>
    <w:next w:val="Tabletext"/>
    <w:rsid w:val="00654F44"/>
    <w:pPr>
      <w:keepNext/>
      <w:spacing w:before="60" w:line="240" w:lineRule="atLeast"/>
    </w:pPr>
    <w:rPr>
      <w:b/>
      <w:sz w:val="20"/>
    </w:rPr>
  </w:style>
  <w:style w:type="paragraph" w:customStyle="1" w:styleId="ActHead1">
    <w:name w:val="ActHead 1"/>
    <w:aliases w:val="c"/>
    <w:basedOn w:val="OPCParaBase"/>
    <w:next w:val="Normal"/>
    <w:qFormat/>
    <w:rsid w:val="00654F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4F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4F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4F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54F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4F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4F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4F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4F44"/>
    <w:pPr>
      <w:keepNext/>
      <w:keepLines/>
      <w:spacing w:before="280" w:line="240" w:lineRule="auto"/>
      <w:ind w:left="1134" w:hanging="1134"/>
      <w:outlineLvl w:val="8"/>
    </w:pPr>
    <w:rPr>
      <w:b/>
      <w:i/>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F44"/>
    <w:pPr>
      <w:spacing w:line="260" w:lineRule="atLeast"/>
    </w:pPr>
    <w:rPr>
      <w:rFonts w:eastAsiaTheme="minorHAnsi" w:cstheme="minorBidi"/>
      <w:sz w:val="22"/>
      <w:lang w:eastAsia="en-US"/>
    </w:rPr>
  </w:style>
  <w:style w:type="paragraph" w:styleId="Heading1">
    <w:name w:val="heading 1"/>
    <w:basedOn w:val="OPCParaBase"/>
    <w:next w:val="Normal"/>
    <w:qFormat/>
    <w:rsid w:val="00BF69CF"/>
    <w:pPr>
      <w:keepNext/>
      <w:keepLines/>
      <w:spacing w:line="240" w:lineRule="auto"/>
      <w:ind w:left="1134" w:hanging="1134"/>
      <w:outlineLvl w:val="0"/>
    </w:pPr>
    <w:rPr>
      <w:b/>
      <w:kern w:val="28"/>
      <w:sz w:val="36"/>
    </w:rPr>
  </w:style>
  <w:style w:type="paragraph" w:styleId="Heading2">
    <w:name w:val="heading 2"/>
    <w:basedOn w:val="OPCParaBase"/>
    <w:next w:val="Heading3"/>
    <w:qFormat/>
    <w:rsid w:val="00BF69CF"/>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BF69CF"/>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BF69CF"/>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BF69CF"/>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BF69CF"/>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BF69CF"/>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BF69CF"/>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BF69CF"/>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654F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4F44"/>
  </w:style>
  <w:style w:type="paragraph" w:customStyle="1" w:styleId="SOText">
    <w:name w:val="SO Text"/>
    <w:aliases w:val="sot"/>
    <w:link w:val="SOTextChar"/>
    <w:rsid w:val="00654F4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54F44"/>
    <w:rPr>
      <w:rFonts w:eastAsiaTheme="minorHAnsi" w:cstheme="minorBidi"/>
      <w:sz w:val="22"/>
      <w:lang w:eastAsia="en-US"/>
    </w:rPr>
  </w:style>
  <w:style w:type="paragraph" w:customStyle="1" w:styleId="SOTextNote">
    <w:name w:val="SO TextNote"/>
    <w:aliases w:val="sont"/>
    <w:basedOn w:val="SOText"/>
    <w:qFormat/>
    <w:rsid w:val="00654F44"/>
    <w:pPr>
      <w:spacing w:before="122" w:line="198" w:lineRule="exact"/>
      <w:ind w:left="1843" w:hanging="709"/>
    </w:pPr>
    <w:rPr>
      <w:sz w:val="18"/>
    </w:rPr>
  </w:style>
  <w:style w:type="paragraph" w:customStyle="1" w:styleId="SOPara">
    <w:name w:val="SO Para"/>
    <w:aliases w:val="soa"/>
    <w:basedOn w:val="SOText"/>
    <w:link w:val="SOParaChar"/>
    <w:qFormat/>
    <w:rsid w:val="00654F44"/>
    <w:pPr>
      <w:tabs>
        <w:tab w:val="right" w:pos="1786"/>
      </w:tabs>
      <w:spacing w:before="40"/>
      <w:ind w:left="2070" w:hanging="936"/>
    </w:pPr>
  </w:style>
  <w:style w:type="character" w:customStyle="1" w:styleId="SOParaChar">
    <w:name w:val="SO Para Char"/>
    <w:aliases w:val="soa Char"/>
    <w:basedOn w:val="DefaultParagraphFont"/>
    <w:link w:val="SOPara"/>
    <w:rsid w:val="00654F44"/>
    <w:rPr>
      <w:rFonts w:eastAsiaTheme="minorHAnsi" w:cstheme="minorBidi"/>
      <w:sz w:val="22"/>
      <w:lang w:eastAsia="en-US"/>
    </w:rPr>
  </w:style>
  <w:style w:type="paragraph" w:customStyle="1" w:styleId="FileName">
    <w:name w:val="FileName"/>
    <w:basedOn w:val="Normal"/>
    <w:rsid w:val="00654F44"/>
  </w:style>
  <w:style w:type="paragraph" w:customStyle="1" w:styleId="SOHeadBold">
    <w:name w:val="SO HeadBold"/>
    <w:aliases w:val="sohb"/>
    <w:basedOn w:val="SOText"/>
    <w:next w:val="SOText"/>
    <w:link w:val="SOHeadBoldChar"/>
    <w:qFormat/>
    <w:rsid w:val="00654F44"/>
    <w:rPr>
      <w:b/>
    </w:rPr>
  </w:style>
  <w:style w:type="character" w:customStyle="1" w:styleId="SOHeadBoldChar">
    <w:name w:val="SO HeadBold Char"/>
    <w:aliases w:val="sohb Char"/>
    <w:basedOn w:val="DefaultParagraphFont"/>
    <w:link w:val="SOHeadBold"/>
    <w:rsid w:val="00654F44"/>
    <w:rPr>
      <w:rFonts w:eastAsiaTheme="minorHAnsi" w:cstheme="minorBidi"/>
      <w:b/>
      <w:sz w:val="22"/>
      <w:lang w:eastAsia="en-US"/>
    </w:rPr>
  </w:style>
  <w:style w:type="paragraph" w:customStyle="1" w:styleId="BoxText">
    <w:name w:val="BoxText"/>
    <w:aliases w:val="bt"/>
    <w:basedOn w:val="OPCParaBase"/>
    <w:qFormat/>
    <w:rsid w:val="00654F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4F44"/>
    <w:rPr>
      <w:b/>
    </w:rPr>
  </w:style>
  <w:style w:type="paragraph" w:customStyle="1" w:styleId="BoxHeadItalic">
    <w:name w:val="BoxHeadItalic"/>
    <w:aliases w:val="bhi"/>
    <w:basedOn w:val="BoxText"/>
    <w:next w:val="BoxStep"/>
    <w:qFormat/>
    <w:rsid w:val="00654F44"/>
    <w:rPr>
      <w:i/>
    </w:rPr>
  </w:style>
  <w:style w:type="paragraph" w:customStyle="1" w:styleId="BoxList">
    <w:name w:val="BoxList"/>
    <w:aliases w:val="bl"/>
    <w:basedOn w:val="BoxText"/>
    <w:qFormat/>
    <w:rsid w:val="00654F44"/>
    <w:pPr>
      <w:ind w:left="1559" w:hanging="425"/>
    </w:pPr>
  </w:style>
  <w:style w:type="paragraph" w:customStyle="1" w:styleId="BoxNote">
    <w:name w:val="BoxNote"/>
    <w:aliases w:val="bn"/>
    <w:basedOn w:val="BoxText"/>
    <w:qFormat/>
    <w:rsid w:val="00654F44"/>
    <w:pPr>
      <w:tabs>
        <w:tab w:val="left" w:pos="1985"/>
      </w:tabs>
      <w:spacing w:before="122" w:line="198" w:lineRule="exact"/>
      <w:ind w:left="2948" w:hanging="1814"/>
    </w:pPr>
    <w:rPr>
      <w:sz w:val="18"/>
    </w:rPr>
  </w:style>
  <w:style w:type="paragraph" w:customStyle="1" w:styleId="BoxPara">
    <w:name w:val="BoxPara"/>
    <w:aliases w:val="bp"/>
    <w:basedOn w:val="BoxText"/>
    <w:qFormat/>
    <w:rsid w:val="00654F44"/>
    <w:pPr>
      <w:tabs>
        <w:tab w:val="right" w:pos="2268"/>
      </w:tabs>
      <w:ind w:left="2552" w:hanging="1418"/>
    </w:pPr>
  </w:style>
  <w:style w:type="paragraph" w:customStyle="1" w:styleId="BoxStep">
    <w:name w:val="BoxStep"/>
    <w:aliases w:val="bs"/>
    <w:basedOn w:val="BoxText"/>
    <w:qFormat/>
    <w:rsid w:val="00654F44"/>
    <w:pPr>
      <w:ind w:left="1985" w:hanging="851"/>
    </w:pPr>
  </w:style>
  <w:style w:type="character" w:customStyle="1" w:styleId="CharAmPartNo">
    <w:name w:val="CharAmPartNo"/>
    <w:basedOn w:val="OPCCharBase"/>
    <w:uiPriority w:val="1"/>
    <w:qFormat/>
    <w:rsid w:val="00654F44"/>
  </w:style>
  <w:style w:type="character" w:customStyle="1" w:styleId="CharAmPartText">
    <w:name w:val="CharAmPartText"/>
    <w:basedOn w:val="OPCCharBase"/>
    <w:uiPriority w:val="1"/>
    <w:qFormat/>
    <w:rsid w:val="00654F44"/>
  </w:style>
  <w:style w:type="character" w:customStyle="1" w:styleId="CharAmSchNo">
    <w:name w:val="CharAmSchNo"/>
    <w:basedOn w:val="OPCCharBase"/>
    <w:uiPriority w:val="1"/>
    <w:qFormat/>
    <w:rsid w:val="00654F44"/>
  </w:style>
  <w:style w:type="character" w:customStyle="1" w:styleId="CharAmSchText">
    <w:name w:val="CharAmSchText"/>
    <w:basedOn w:val="OPCCharBase"/>
    <w:uiPriority w:val="1"/>
    <w:qFormat/>
    <w:rsid w:val="00654F44"/>
  </w:style>
  <w:style w:type="character" w:customStyle="1" w:styleId="CharChapNo">
    <w:name w:val="CharChapNo"/>
    <w:basedOn w:val="OPCCharBase"/>
    <w:qFormat/>
    <w:rsid w:val="00654F44"/>
  </w:style>
  <w:style w:type="character" w:customStyle="1" w:styleId="CharChapText">
    <w:name w:val="CharChapText"/>
    <w:basedOn w:val="OPCCharBase"/>
    <w:qFormat/>
    <w:rsid w:val="00654F44"/>
  </w:style>
  <w:style w:type="character" w:customStyle="1" w:styleId="CharDivNo">
    <w:name w:val="CharDivNo"/>
    <w:basedOn w:val="OPCCharBase"/>
    <w:qFormat/>
    <w:rsid w:val="00654F44"/>
  </w:style>
  <w:style w:type="character" w:customStyle="1" w:styleId="CharDivText">
    <w:name w:val="CharDivText"/>
    <w:basedOn w:val="OPCCharBase"/>
    <w:qFormat/>
    <w:rsid w:val="00654F44"/>
  </w:style>
  <w:style w:type="paragraph" w:customStyle="1" w:styleId="SOHeadItalic">
    <w:name w:val="SO HeadItalic"/>
    <w:aliases w:val="sohi"/>
    <w:basedOn w:val="SOText"/>
    <w:next w:val="SOText"/>
    <w:link w:val="SOHeadItalicChar"/>
    <w:qFormat/>
    <w:rsid w:val="00654F44"/>
    <w:rPr>
      <w:i/>
    </w:rPr>
  </w:style>
  <w:style w:type="character" w:customStyle="1" w:styleId="SOHeadItalicChar">
    <w:name w:val="SO HeadItalic Char"/>
    <w:aliases w:val="sohi Char"/>
    <w:basedOn w:val="DefaultParagraphFont"/>
    <w:link w:val="SOHeadItalic"/>
    <w:rsid w:val="00654F44"/>
    <w:rPr>
      <w:rFonts w:eastAsiaTheme="minorHAnsi" w:cstheme="minorBidi"/>
      <w:i/>
      <w:sz w:val="22"/>
      <w:lang w:eastAsia="en-US"/>
    </w:rPr>
  </w:style>
  <w:style w:type="character" w:customStyle="1" w:styleId="CharPartNo">
    <w:name w:val="CharPartNo"/>
    <w:basedOn w:val="OPCCharBase"/>
    <w:qFormat/>
    <w:rsid w:val="00654F44"/>
  </w:style>
  <w:style w:type="character" w:customStyle="1" w:styleId="CharPartText">
    <w:name w:val="CharPartText"/>
    <w:basedOn w:val="OPCCharBase"/>
    <w:qFormat/>
    <w:rsid w:val="00654F44"/>
  </w:style>
  <w:style w:type="character" w:customStyle="1" w:styleId="CharSectno">
    <w:name w:val="CharSectno"/>
    <w:basedOn w:val="OPCCharBase"/>
    <w:qFormat/>
    <w:rsid w:val="00654F44"/>
  </w:style>
  <w:style w:type="character" w:customStyle="1" w:styleId="CharSubdNo">
    <w:name w:val="CharSubdNo"/>
    <w:basedOn w:val="OPCCharBase"/>
    <w:uiPriority w:val="1"/>
    <w:qFormat/>
    <w:rsid w:val="00654F44"/>
  </w:style>
  <w:style w:type="character" w:customStyle="1" w:styleId="CharSubdText">
    <w:name w:val="CharSubdText"/>
    <w:basedOn w:val="OPCCharBase"/>
    <w:uiPriority w:val="1"/>
    <w:qFormat/>
    <w:rsid w:val="00654F44"/>
  </w:style>
  <w:style w:type="paragraph" w:customStyle="1" w:styleId="SOBullet">
    <w:name w:val="SO Bullet"/>
    <w:aliases w:val="sotb"/>
    <w:basedOn w:val="SOText"/>
    <w:link w:val="SOBulletChar"/>
    <w:qFormat/>
    <w:rsid w:val="00654F44"/>
    <w:pPr>
      <w:ind w:left="1559" w:hanging="425"/>
    </w:pPr>
  </w:style>
  <w:style w:type="paragraph" w:styleId="BodyTextIndent">
    <w:name w:val="Body Text Indent"/>
    <w:basedOn w:val="Normal"/>
    <w:semiHidden/>
    <w:rsid w:val="00910679"/>
    <w:pPr>
      <w:spacing w:after="120"/>
      <w:ind w:left="283"/>
    </w:pPr>
  </w:style>
  <w:style w:type="character" w:customStyle="1" w:styleId="SOBulletChar">
    <w:name w:val="SO Bullet Char"/>
    <w:aliases w:val="sotb Char"/>
    <w:basedOn w:val="DefaultParagraphFont"/>
    <w:link w:val="SOBullet"/>
    <w:rsid w:val="00654F44"/>
    <w:rPr>
      <w:rFonts w:eastAsiaTheme="minorHAnsi" w:cstheme="minorBidi"/>
      <w:sz w:val="22"/>
      <w:lang w:eastAsia="en-US"/>
    </w:rPr>
  </w:style>
  <w:style w:type="paragraph" w:customStyle="1" w:styleId="SOBulletNote">
    <w:name w:val="SO BulletNote"/>
    <w:aliases w:val="sonb"/>
    <w:basedOn w:val="SOTextNote"/>
    <w:link w:val="SOBulletNoteChar"/>
    <w:qFormat/>
    <w:rsid w:val="00654F44"/>
    <w:pPr>
      <w:tabs>
        <w:tab w:val="left" w:pos="1560"/>
      </w:tabs>
      <w:ind w:left="2268" w:hanging="1134"/>
    </w:pPr>
  </w:style>
  <w:style w:type="paragraph" w:customStyle="1" w:styleId="Formula">
    <w:name w:val="Formula"/>
    <w:basedOn w:val="OPCParaBase"/>
    <w:rsid w:val="00654F44"/>
    <w:pPr>
      <w:spacing w:line="240" w:lineRule="auto"/>
      <w:ind w:left="1134"/>
    </w:pPr>
    <w:rPr>
      <w:sz w:val="20"/>
    </w:rPr>
  </w:style>
  <w:style w:type="paragraph" w:styleId="Footer">
    <w:name w:val="footer"/>
    <w:link w:val="FooterChar"/>
    <w:rsid w:val="00654F44"/>
    <w:pPr>
      <w:tabs>
        <w:tab w:val="center" w:pos="4153"/>
        <w:tab w:val="right" w:pos="8306"/>
      </w:tabs>
    </w:pPr>
    <w:rPr>
      <w:sz w:val="22"/>
      <w:szCs w:val="24"/>
    </w:rPr>
  </w:style>
  <w:style w:type="paragraph" w:styleId="Header">
    <w:name w:val="header"/>
    <w:basedOn w:val="OPCParaBase"/>
    <w:link w:val="HeaderChar"/>
    <w:unhideWhenUsed/>
    <w:rsid w:val="00654F44"/>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654F44"/>
    <w:pPr>
      <w:tabs>
        <w:tab w:val="right" w:pos="1531"/>
      </w:tabs>
      <w:spacing w:before="40" w:line="240" w:lineRule="auto"/>
      <w:ind w:left="1644" w:hanging="1644"/>
    </w:pPr>
  </w:style>
  <w:style w:type="paragraph" w:customStyle="1" w:styleId="paragraphsub-sub">
    <w:name w:val="paragraph(sub-sub)"/>
    <w:aliases w:val="aaa"/>
    <w:basedOn w:val="OPCParaBase"/>
    <w:rsid w:val="00654F44"/>
    <w:pPr>
      <w:tabs>
        <w:tab w:val="right" w:pos="2722"/>
      </w:tabs>
      <w:spacing w:before="40" w:line="240" w:lineRule="auto"/>
      <w:ind w:left="2835" w:hanging="2835"/>
    </w:pPr>
  </w:style>
  <w:style w:type="paragraph" w:customStyle="1" w:styleId="paragraphsub">
    <w:name w:val="paragraph(sub)"/>
    <w:aliases w:val="aa"/>
    <w:basedOn w:val="OPCParaBase"/>
    <w:rsid w:val="00654F44"/>
    <w:pPr>
      <w:tabs>
        <w:tab w:val="right" w:pos="1985"/>
      </w:tabs>
      <w:spacing w:before="40" w:line="240" w:lineRule="auto"/>
      <w:ind w:left="2098" w:hanging="2098"/>
    </w:pPr>
  </w:style>
  <w:style w:type="character" w:styleId="LineNumber">
    <w:name w:val="line number"/>
    <w:basedOn w:val="OPCCharBase"/>
    <w:uiPriority w:val="99"/>
    <w:semiHidden/>
    <w:unhideWhenUsed/>
    <w:rsid w:val="00654F44"/>
    <w:rPr>
      <w:sz w:val="16"/>
    </w:rPr>
  </w:style>
  <w:style w:type="paragraph" w:customStyle="1" w:styleId="ItemHead">
    <w:name w:val="ItemHead"/>
    <w:aliases w:val="ih"/>
    <w:basedOn w:val="OPCParaBase"/>
    <w:next w:val="Item"/>
    <w:rsid w:val="00654F4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rsid w:val="00654F44"/>
    <w:pPr>
      <w:tabs>
        <w:tab w:val="right" w:pos="1021"/>
      </w:tabs>
      <w:spacing w:before="180" w:line="240" w:lineRule="auto"/>
      <w:ind w:left="1134" w:hanging="1134"/>
    </w:pPr>
  </w:style>
  <w:style w:type="paragraph" w:customStyle="1" w:styleId="Definition">
    <w:name w:val="Definition"/>
    <w:aliases w:val="dd"/>
    <w:basedOn w:val="OPCParaBase"/>
    <w:rsid w:val="00654F44"/>
    <w:pPr>
      <w:spacing w:before="180" w:line="240" w:lineRule="auto"/>
      <w:ind w:left="1134"/>
    </w:pPr>
  </w:style>
  <w:style w:type="paragraph" w:customStyle="1" w:styleId="Item">
    <w:name w:val="Item"/>
    <w:aliases w:val="i"/>
    <w:basedOn w:val="OPCParaBase"/>
    <w:next w:val="ItemHead"/>
    <w:rsid w:val="00654F44"/>
    <w:pPr>
      <w:keepLines/>
      <w:spacing w:before="80" w:line="240" w:lineRule="auto"/>
      <w:ind w:left="709"/>
    </w:pPr>
  </w:style>
  <w:style w:type="paragraph" w:styleId="ListBullet">
    <w:name w:val="List Bullet"/>
    <w:basedOn w:val="Normal"/>
    <w:autoRedefine/>
    <w:semiHidden/>
    <w:rsid w:val="00910679"/>
    <w:pPr>
      <w:numPr>
        <w:numId w:val="1"/>
      </w:numPr>
    </w:pPr>
  </w:style>
  <w:style w:type="paragraph" w:customStyle="1" w:styleId="LongT">
    <w:name w:val="LongT"/>
    <w:basedOn w:val="OPCParaBase"/>
    <w:rsid w:val="00654F44"/>
    <w:pPr>
      <w:spacing w:line="240" w:lineRule="auto"/>
    </w:pPr>
    <w:rPr>
      <w:b/>
      <w:sz w:val="32"/>
    </w:rPr>
  </w:style>
  <w:style w:type="character" w:customStyle="1" w:styleId="SOBulletNoteChar">
    <w:name w:val="SO BulletNote Char"/>
    <w:aliases w:val="sonb Char"/>
    <w:basedOn w:val="DefaultParagraphFont"/>
    <w:link w:val="SOBulletNote"/>
    <w:rsid w:val="00654F44"/>
    <w:rPr>
      <w:rFonts w:eastAsiaTheme="minorHAnsi" w:cstheme="minorBidi"/>
      <w:sz w:val="18"/>
      <w:lang w:eastAsia="en-US"/>
    </w:rPr>
  </w:style>
  <w:style w:type="paragraph" w:customStyle="1" w:styleId="notedraft">
    <w:name w:val="note(draft)"/>
    <w:aliases w:val="nd"/>
    <w:basedOn w:val="OPCParaBase"/>
    <w:rsid w:val="00654F44"/>
    <w:pPr>
      <w:spacing w:before="240" w:line="240" w:lineRule="auto"/>
      <w:ind w:left="284" w:hanging="284"/>
    </w:pPr>
    <w:rPr>
      <w:i/>
      <w:sz w:val="24"/>
    </w:rPr>
  </w:style>
  <w:style w:type="paragraph" w:customStyle="1" w:styleId="notetext">
    <w:name w:val="note(text)"/>
    <w:aliases w:val="n"/>
    <w:basedOn w:val="OPCParaBase"/>
    <w:rsid w:val="00654F44"/>
    <w:pPr>
      <w:spacing w:before="122" w:line="240" w:lineRule="auto"/>
      <w:ind w:left="1985" w:hanging="851"/>
    </w:pPr>
    <w:rPr>
      <w:sz w:val="18"/>
    </w:rPr>
  </w:style>
  <w:style w:type="paragraph" w:customStyle="1" w:styleId="notemargin">
    <w:name w:val="note(margin)"/>
    <w:aliases w:val="nm"/>
    <w:basedOn w:val="OPCParaBase"/>
    <w:rsid w:val="00654F44"/>
    <w:pPr>
      <w:tabs>
        <w:tab w:val="left" w:pos="709"/>
      </w:tabs>
      <w:spacing w:before="122" w:line="198" w:lineRule="exact"/>
      <w:ind w:left="709" w:hanging="709"/>
    </w:pPr>
    <w:rPr>
      <w:sz w:val="18"/>
    </w:rPr>
  </w:style>
  <w:style w:type="paragraph" w:customStyle="1" w:styleId="notepara">
    <w:name w:val="note(para)"/>
    <w:aliases w:val="na"/>
    <w:basedOn w:val="OPCParaBase"/>
    <w:rsid w:val="00654F44"/>
    <w:pPr>
      <w:spacing w:before="40" w:line="198" w:lineRule="exact"/>
      <w:ind w:left="2354" w:hanging="369"/>
    </w:pPr>
    <w:rPr>
      <w:sz w:val="18"/>
    </w:rPr>
  </w:style>
  <w:style w:type="paragraph" w:customStyle="1" w:styleId="noteParlAmend">
    <w:name w:val="note(ParlAmend)"/>
    <w:aliases w:val="npp"/>
    <w:basedOn w:val="OPCParaBase"/>
    <w:next w:val="ParlAmend"/>
    <w:rsid w:val="00654F44"/>
    <w:pPr>
      <w:spacing w:line="240" w:lineRule="auto"/>
      <w:jc w:val="right"/>
    </w:pPr>
    <w:rPr>
      <w:rFonts w:ascii="Arial" w:hAnsi="Arial"/>
      <w:b/>
      <w:i/>
    </w:rPr>
  </w:style>
  <w:style w:type="paragraph" w:customStyle="1" w:styleId="Page1">
    <w:name w:val="Page1"/>
    <w:basedOn w:val="OPCParaBase"/>
    <w:rsid w:val="00654F44"/>
    <w:pPr>
      <w:spacing w:before="5600" w:line="240" w:lineRule="auto"/>
    </w:pPr>
    <w:rPr>
      <w:b/>
      <w:sz w:val="32"/>
    </w:rPr>
  </w:style>
  <w:style w:type="paragraph" w:customStyle="1" w:styleId="PageBreak">
    <w:name w:val="PageBreak"/>
    <w:aliases w:val="pb"/>
    <w:basedOn w:val="OPCParaBase"/>
    <w:rsid w:val="00654F44"/>
    <w:pPr>
      <w:spacing w:line="240" w:lineRule="auto"/>
    </w:pPr>
    <w:rPr>
      <w:sz w:val="20"/>
    </w:rPr>
  </w:style>
  <w:style w:type="paragraph" w:customStyle="1" w:styleId="ParlAmend">
    <w:name w:val="ParlAmend"/>
    <w:aliases w:val="pp"/>
    <w:basedOn w:val="OPCParaBase"/>
    <w:rsid w:val="00654F44"/>
    <w:pPr>
      <w:spacing w:before="240" w:line="240" w:lineRule="atLeast"/>
      <w:ind w:hanging="567"/>
    </w:pPr>
    <w:rPr>
      <w:sz w:val="24"/>
    </w:rPr>
  </w:style>
  <w:style w:type="paragraph" w:customStyle="1" w:styleId="Penalty">
    <w:name w:val="Penalty"/>
    <w:basedOn w:val="OPCParaBase"/>
    <w:rsid w:val="00654F44"/>
    <w:pPr>
      <w:tabs>
        <w:tab w:val="left" w:pos="2977"/>
      </w:tabs>
      <w:spacing w:before="180" w:line="240" w:lineRule="auto"/>
      <w:ind w:left="1985" w:hanging="851"/>
    </w:pPr>
  </w:style>
  <w:style w:type="paragraph" w:customStyle="1" w:styleId="Preamble">
    <w:name w:val="Preamble"/>
    <w:basedOn w:val="OPCParaBase"/>
    <w:next w:val="Normal"/>
    <w:rsid w:val="00654F4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654F4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654F44"/>
    <w:pPr>
      <w:spacing w:line="240" w:lineRule="auto"/>
    </w:pPr>
    <w:rPr>
      <w:b/>
      <w:sz w:val="40"/>
    </w:rPr>
  </w:style>
  <w:style w:type="paragraph" w:customStyle="1" w:styleId="Subitem">
    <w:name w:val="Subitem"/>
    <w:aliases w:val="iss"/>
    <w:basedOn w:val="OPCParaBase"/>
    <w:rsid w:val="00654F44"/>
    <w:pPr>
      <w:spacing w:before="180" w:line="240" w:lineRule="auto"/>
      <w:ind w:left="709" w:hanging="709"/>
    </w:pPr>
  </w:style>
  <w:style w:type="paragraph" w:customStyle="1" w:styleId="SubitemHead">
    <w:name w:val="SubitemHead"/>
    <w:aliases w:val="issh"/>
    <w:basedOn w:val="OPCParaBase"/>
    <w:rsid w:val="00654F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4F44"/>
    <w:pPr>
      <w:spacing w:before="40" w:line="240" w:lineRule="auto"/>
      <w:ind w:left="1134"/>
    </w:pPr>
  </w:style>
  <w:style w:type="paragraph" w:customStyle="1" w:styleId="SubsectionHead">
    <w:name w:val="SubsectionHead"/>
    <w:aliases w:val="ssh"/>
    <w:basedOn w:val="OPCParaBase"/>
    <w:next w:val="subsection"/>
    <w:rsid w:val="00654F44"/>
    <w:pPr>
      <w:keepNext/>
      <w:keepLines/>
      <w:spacing w:before="240" w:line="240" w:lineRule="auto"/>
      <w:ind w:left="1134"/>
    </w:pPr>
    <w:rPr>
      <w:i/>
    </w:rPr>
  </w:style>
  <w:style w:type="paragraph" w:customStyle="1" w:styleId="Tablei">
    <w:name w:val="Table(i)"/>
    <w:aliases w:val="taa"/>
    <w:basedOn w:val="OPCParaBase"/>
    <w:rsid w:val="00654F4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654F44"/>
    <w:pPr>
      <w:spacing w:before="60" w:line="240" w:lineRule="auto"/>
      <w:ind w:left="284" w:hanging="284"/>
    </w:pPr>
    <w:rPr>
      <w:sz w:val="20"/>
    </w:rPr>
  </w:style>
  <w:style w:type="paragraph" w:customStyle="1" w:styleId="TableAA">
    <w:name w:val="Table(AA)"/>
    <w:aliases w:val="taaa"/>
    <w:basedOn w:val="OPCParaBase"/>
    <w:rsid w:val="00654F44"/>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654F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4F44"/>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4F44"/>
    <w:pPr>
      <w:spacing w:before="122" w:line="198" w:lineRule="exact"/>
      <w:ind w:left="1985" w:hanging="851"/>
      <w:jc w:val="right"/>
    </w:pPr>
    <w:rPr>
      <w:sz w:val="18"/>
    </w:rPr>
  </w:style>
  <w:style w:type="paragraph" w:customStyle="1" w:styleId="TLPTableBullet">
    <w:name w:val="TLPTableBullet"/>
    <w:aliases w:val="ttb"/>
    <w:basedOn w:val="OPCParaBase"/>
    <w:rsid w:val="00654F44"/>
    <w:pPr>
      <w:spacing w:line="240" w:lineRule="exact"/>
      <w:ind w:left="284" w:hanging="284"/>
    </w:pPr>
    <w:rPr>
      <w:sz w:val="20"/>
    </w:rPr>
  </w:style>
  <w:style w:type="paragraph" w:styleId="TOC1">
    <w:name w:val="toc 1"/>
    <w:basedOn w:val="OPCParaBase"/>
    <w:next w:val="Normal"/>
    <w:uiPriority w:val="39"/>
    <w:unhideWhenUsed/>
    <w:rsid w:val="00654F4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4F4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4F4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54F4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4F4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654F4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54F4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54F4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654F44"/>
    <w:pPr>
      <w:keepLines/>
      <w:spacing w:before="80" w:line="240" w:lineRule="auto"/>
      <w:ind w:left="1588" w:hanging="794"/>
    </w:pPr>
    <w:rPr>
      <w:kern w:val="28"/>
    </w:rPr>
  </w:style>
  <w:style w:type="paragraph" w:customStyle="1" w:styleId="TofSectsSection">
    <w:name w:val="TofSects(Section)"/>
    <w:basedOn w:val="OPCParaBase"/>
    <w:rsid w:val="00654F44"/>
    <w:pPr>
      <w:keepLines/>
      <w:spacing w:before="40" w:line="240" w:lineRule="auto"/>
      <w:ind w:left="1588" w:hanging="794"/>
    </w:pPr>
    <w:rPr>
      <w:kern w:val="28"/>
      <w:sz w:val="18"/>
    </w:rPr>
  </w:style>
  <w:style w:type="paragraph" w:customStyle="1" w:styleId="TofSectsHeading">
    <w:name w:val="TofSects(Heading)"/>
    <w:basedOn w:val="OPCParaBase"/>
    <w:rsid w:val="00654F44"/>
    <w:pPr>
      <w:spacing w:before="240" w:after="120" w:line="240" w:lineRule="auto"/>
    </w:pPr>
    <w:rPr>
      <w:b/>
      <w:sz w:val="24"/>
    </w:rPr>
  </w:style>
  <w:style w:type="paragraph" w:customStyle="1" w:styleId="TofSectsGroupHeading">
    <w:name w:val="TofSects(GroupHeading)"/>
    <w:basedOn w:val="OPCParaBase"/>
    <w:next w:val="TofSectsSection"/>
    <w:rsid w:val="00654F44"/>
    <w:pPr>
      <w:keepLines/>
      <w:spacing w:before="240" w:after="120" w:line="240" w:lineRule="auto"/>
      <w:ind w:left="794"/>
    </w:pPr>
    <w:rPr>
      <w:b/>
      <w:kern w:val="28"/>
      <w:sz w:val="20"/>
    </w:rPr>
  </w:style>
  <w:style w:type="paragraph" w:customStyle="1" w:styleId="Actno">
    <w:name w:val="Actno"/>
    <w:basedOn w:val="ShortT"/>
    <w:next w:val="Normal"/>
    <w:qFormat/>
    <w:rsid w:val="00654F44"/>
  </w:style>
  <w:style w:type="numbering" w:styleId="111111">
    <w:name w:val="Outline List 2"/>
    <w:basedOn w:val="NoList"/>
    <w:semiHidden/>
    <w:rsid w:val="00910679"/>
    <w:pPr>
      <w:numPr>
        <w:numId w:val="12"/>
      </w:numPr>
    </w:pPr>
  </w:style>
  <w:style w:type="numbering" w:styleId="1ai">
    <w:name w:val="Outline List 1"/>
    <w:basedOn w:val="NoList"/>
    <w:semiHidden/>
    <w:rsid w:val="00910679"/>
    <w:pPr>
      <w:numPr>
        <w:numId w:val="13"/>
      </w:numPr>
    </w:pPr>
  </w:style>
  <w:style w:type="numbering" w:styleId="ArticleSection">
    <w:name w:val="Outline List 3"/>
    <w:basedOn w:val="NoList"/>
    <w:semiHidden/>
    <w:rsid w:val="00910679"/>
    <w:pPr>
      <w:numPr>
        <w:numId w:val="14"/>
      </w:numPr>
    </w:pPr>
  </w:style>
  <w:style w:type="paragraph" w:styleId="BlockText">
    <w:name w:val="Block Text"/>
    <w:basedOn w:val="Normal"/>
    <w:semiHidden/>
    <w:rsid w:val="00910679"/>
    <w:pPr>
      <w:spacing w:after="120"/>
      <w:ind w:left="1440" w:right="1440"/>
    </w:pPr>
  </w:style>
  <w:style w:type="paragraph" w:styleId="BodyText">
    <w:name w:val="Body Text"/>
    <w:basedOn w:val="Normal"/>
    <w:semiHidden/>
    <w:rsid w:val="00910679"/>
    <w:pPr>
      <w:spacing w:after="120"/>
    </w:pPr>
  </w:style>
  <w:style w:type="paragraph" w:styleId="BodyText2">
    <w:name w:val="Body Text 2"/>
    <w:basedOn w:val="Normal"/>
    <w:semiHidden/>
    <w:rsid w:val="00910679"/>
    <w:pPr>
      <w:spacing w:after="120" w:line="480" w:lineRule="auto"/>
    </w:pPr>
  </w:style>
  <w:style w:type="paragraph" w:styleId="BodyText3">
    <w:name w:val="Body Text 3"/>
    <w:basedOn w:val="Normal"/>
    <w:semiHidden/>
    <w:rsid w:val="00910679"/>
    <w:pPr>
      <w:spacing w:after="120"/>
    </w:pPr>
    <w:rPr>
      <w:sz w:val="16"/>
      <w:szCs w:val="16"/>
    </w:rPr>
  </w:style>
  <w:style w:type="paragraph" w:styleId="BodyTextFirstIndent">
    <w:name w:val="Body Text First Indent"/>
    <w:basedOn w:val="BodyText"/>
    <w:semiHidden/>
    <w:rsid w:val="00910679"/>
    <w:pPr>
      <w:ind w:firstLine="210"/>
    </w:pPr>
  </w:style>
  <w:style w:type="paragraph" w:styleId="BodyTextFirstIndent2">
    <w:name w:val="Body Text First Indent 2"/>
    <w:basedOn w:val="BodyTextIndent"/>
    <w:semiHidden/>
    <w:rsid w:val="00910679"/>
    <w:pPr>
      <w:ind w:firstLine="210"/>
    </w:pPr>
  </w:style>
  <w:style w:type="paragraph" w:styleId="BodyTextIndent2">
    <w:name w:val="Body Text Indent 2"/>
    <w:basedOn w:val="Normal"/>
    <w:semiHidden/>
    <w:rsid w:val="00910679"/>
    <w:pPr>
      <w:spacing w:after="120" w:line="480" w:lineRule="auto"/>
      <w:ind w:left="283"/>
    </w:pPr>
  </w:style>
  <w:style w:type="paragraph" w:styleId="BodyTextIndent3">
    <w:name w:val="Body Text Indent 3"/>
    <w:basedOn w:val="Normal"/>
    <w:semiHidden/>
    <w:rsid w:val="00910679"/>
    <w:pPr>
      <w:spacing w:after="120"/>
      <w:ind w:left="283"/>
    </w:pPr>
    <w:rPr>
      <w:sz w:val="16"/>
      <w:szCs w:val="16"/>
    </w:rPr>
  </w:style>
  <w:style w:type="paragraph" w:styleId="Closing">
    <w:name w:val="Closing"/>
    <w:basedOn w:val="Normal"/>
    <w:semiHidden/>
    <w:rsid w:val="00910679"/>
    <w:pPr>
      <w:ind w:left="4252"/>
    </w:pPr>
  </w:style>
  <w:style w:type="paragraph" w:styleId="Date">
    <w:name w:val="Date"/>
    <w:basedOn w:val="Normal"/>
    <w:next w:val="Normal"/>
    <w:semiHidden/>
    <w:rsid w:val="00910679"/>
  </w:style>
  <w:style w:type="paragraph" w:styleId="E-mailSignature">
    <w:name w:val="E-mail Signature"/>
    <w:basedOn w:val="Normal"/>
    <w:semiHidden/>
    <w:rsid w:val="00910679"/>
  </w:style>
  <w:style w:type="character" w:styleId="Emphasis">
    <w:name w:val="Emphasis"/>
    <w:qFormat/>
    <w:rsid w:val="00910679"/>
    <w:rPr>
      <w:i/>
      <w:iCs/>
    </w:rPr>
  </w:style>
  <w:style w:type="paragraph" w:styleId="EnvelopeAddress">
    <w:name w:val="envelope address"/>
    <w:basedOn w:val="Normal"/>
    <w:semiHidden/>
    <w:rsid w:val="0091067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910679"/>
    <w:rPr>
      <w:rFonts w:ascii="Arial" w:hAnsi="Arial" w:cs="Arial"/>
      <w:sz w:val="20"/>
    </w:rPr>
  </w:style>
  <w:style w:type="character" w:styleId="FollowedHyperlink">
    <w:name w:val="FollowedHyperlink"/>
    <w:semiHidden/>
    <w:rsid w:val="00910679"/>
    <w:rPr>
      <w:color w:val="800080"/>
      <w:u w:val="single"/>
    </w:rPr>
  </w:style>
  <w:style w:type="character" w:styleId="HTMLAcronym">
    <w:name w:val="HTML Acronym"/>
    <w:basedOn w:val="DefaultParagraphFont"/>
    <w:semiHidden/>
    <w:rsid w:val="00910679"/>
  </w:style>
  <w:style w:type="paragraph" w:styleId="HTMLAddress">
    <w:name w:val="HTML Address"/>
    <w:basedOn w:val="Normal"/>
    <w:semiHidden/>
    <w:rsid w:val="00910679"/>
    <w:rPr>
      <w:i/>
      <w:iCs/>
    </w:rPr>
  </w:style>
  <w:style w:type="character" w:styleId="HTMLCite">
    <w:name w:val="HTML Cite"/>
    <w:semiHidden/>
    <w:rsid w:val="00910679"/>
    <w:rPr>
      <w:i/>
      <w:iCs/>
    </w:rPr>
  </w:style>
  <w:style w:type="character" w:styleId="HTMLCode">
    <w:name w:val="HTML Code"/>
    <w:semiHidden/>
    <w:rsid w:val="00910679"/>
    <w:rPr>
      <w:rFonts w:ascii="Courier New" w:hAnsi="Courier New" w:cs="Courier New"/>
      <w:sz w:val="20"/>
      <w:szCs w:val="20"/>
    </w:rPr>
  </w:style>
  <w:style w:type="character" w:styleId="HTMLDefinition">
    <w:name w:val="HTML Definition"/>
    <w:semiHidden/>
    <w:rsid w:val="00910679"/>
    <w:rPr>
      <w:i/>
      <w:iCs/>
    </w:rPr>
  </w:style>
  <w:style w:type="character" w:styleId="HTMLKeyboard">
    <w:name w:val="HTML Keyboard"/>
    <w:semiHidden/>
    <w:rsid w:val="00910679"/>
    <w:rPr>
      <w:rFonts w:ascii="Courier New" w:hAnsi="Courier New" w:cs="Courier New"/>
      <w:sz w:val="20"/>
      <w:szCs w:val="20"/>
    </w:rPr>
  </w:style>
  <w:style w:type="paragraph" w:styleId="HTMLPreformatted">
    <w:name w:val="HTML Preformatted"/>
    <w:basedOn w:val="Normal"/>
    <w:semiHidden/>
    <w:rsid w:val="00910679"/>
    <w:rPr>
      <w:rFonts w:ascii="Courier New" w:hAnsi="Courier New" w:cs="Courier New"/>
      <w:sz w:val="20"/>
    </w:rPr>
  </w:style>
  <w:style w:type="character" w:styleId="HTMLSample">
    <w:name w:val="HTML Sample"/>
    <w:semiHidden/>
    <w:rsid w:val="00910679"/>
    <w:rPr>
      <w:rFonts w:ascii="Courier New" w:hAnsi="Courier New" w:cs="Courier New"/>
    </w:rPr>
  </w:style>
  <w:style w:type="character" w:styleId="HTMLTypewriter">
    <w:name w:val="HTML Typewriter"/>
    <w:semiHidden/>
    <w:rsid w:val="00910679"/>
    <w:rPr>
      <w:rFonts w:ascii="Courier New" w:hAnsi="Courier New" w:cs="Courier New"/>
      <w:sz w:val="20"/>
      <w:szCs w:val="20"/>
    </w:rPr>
  </w:style>
  <w:style w:type="character" w:styleId="HTMLVariable">
    <w:name w:val="HTML Variable"/>
    <w:semiHidden/>
    <w:rsid w:val="00910679"/>
    <w:rPr>
      <w:i/>
      <w:iCs/>
    </w:rPr>
  </w:style>
  <w:style w:type="character" w:styleId="Hyperlink">
    <w:name w:val="Hyperlink"/>
    <w:semiHidden/>
    <w:rsid w:val="00910679"/>
    <w:rPr>
      <w:color w:val="0000FF"/>
      <w:u w:val="single"/>
    </w:rPr>
  </w:style>
  <w:style w:type="paragraph" w:styleId="List">
    <w:name w:val="List"/>
    <w:basedOn w:val="Normal"/>
    <w:semiHidden/>
    <w:rsid w:val="00910679"/>
    <w:pPr>
      <w:ind w:left="283" w:hanging="283"/>
    </w:pPr>
  </w:style>
  <w:style w:type="paragraph" w:styleId="List2">
    <w:name w:val="List 2"/>
    <w:basedOn w:val="Normal"/>
    <w:semiHidden/>
    <w:rsid w:val="00910679"/>
    <w:pPr>
      <w:ind w:left="566" w:hanging="283"/>
    </w:pPr>
  </w:style>
  <w:style w:type="paragraph" w:styleId="List3">
    <w:name w:val="List 3"/>
    <w:basedOn w:val="Normal"/>
    <w:semiHidden/>
    <w:rsid w:val="00910679"/>
    <w:pPr>
      <w:ind w:left="849" w:hanging="283"/>
    </w:pPr>
  </w:style>
  <w:style w:type="paragraph" w:styleId="List4">
    <w:name w:val="List 4"/>
    <w:basedOn w:val="Normal"/>
    <w:semiHidden/>
    <w:rsid w:val="00910679"/>
    <w:pPr>
      <w:ind w:left="1132" w:hanging="283"/>
    </w:pPr>
  </w:style>
  <w:style w:type="paragraph" w:styleId="List5">
    <w:name w:val="List 5"/>
    <w:basedOn w:val="Normal"/>
    <w:semiHidden/>
    <w:rsid w:val="00910679"/>
    <w:pPr>
      <w:ind w:left="1415" w:hanging="283"/>
    </w:pPr>
  </w:style>
  <w:style w:type="paragraph" w:styleId="ListBullet2">
    <w:name w:val="List Bullet 2"/>
    <w:basedOn w:val="Normal"/>
    <w:autoRedefine/>
    <w:semiHidden/>
    <w:rsid w:val="00910679"/>
    <w:pPr>
      <w:numPr>
        <w:numId w:val="2"/>
      </w:numPr>
    </w:pPr>
  </w:style>
  <w:style w:type="paragraph" w:styleId="ListBullet3">
    <w:name w:val="List Bullet 3"/>
    <w:basedOn w:val="Normal"/>
    <w:autoRedefine/>
    <w:semiHidden/>
    <w:rsid w:val="00910679"/>
    <w:pPr>
      <w:numPr>
        <w:numId w:val="3"/>
      </w:numPr>
    </w:pPr>
  </w:style>
  <w:style w:type="paragraph" w:styleId="ListBullet4">
    <w:name w:val="List Bullet 4"/>
    <w:basedOn w:val="Normal"/>
    <w:autoRedefine/>
    <w:semiHidden/>
    <w:rsid w:val="00910679"/>
    <w:pPr>
      <w:numPr>
        <w:numId w:val="4"/>
      </w:numPr>
    </w:pPr>
  </w:style>
  <w:style w:type="paragraph" w:styleId="ListBullet5">
    <w:name w:val="List Bullet 5"/>
    <w:basedOn w:val="Normal"/>
    <w:autoRedefine/>
    <w:semiHidden/>
    <w:rsid w:val="00910679"/>
    <w:pPr>
      <w:numPr>
        <w:numId w:val="5"/>
      </w:numPr>
    </w:pPr>
  </w:style>
  <w:style w:type="paragraph" w:styleId="ListContinue">
    <w:name w:val="List Continue"/>
    <w:basedOn w:val="Normal"/>
    <w:semiHidden/>
    <w:rsid w:val="00910679"/>
    <w:pPr>
      <w:spacing w:after="120"/>
      <w:ind w:left="283"/>
    </w:pPr>
  </w:style>
  <w:style w:type="paragraph" w:styleId="ListContinue2">
    <w:name w:val="List Continue 2"/>
    <w:basedOn w:val="Normal"/>
    <w:semiHidden/>
    <w:rsid w:val="00910679"/>
    <w:pPr>
      <w:spacing w:after="120"/>
      <w:ind w:left="566"/>
    </w:pPr>
  </w:style>
  <w:style w:type="paragraph" w:styleId="ListContinue3">
    <w:name w:val="List Continue 3"/>
    <w:basedOn w:val="Normal"/>
    <w:semiHidden/>
    <w:rsid w:val="00910679"/>
    <w:pPr>
      <w:spacing w:after="120"/>
      <w:ind w:left="849"/>
    </w:pPr>
  </w:style>
  <w:style w:type="paragraph" w:styleId="ListContinue4">
    <w:name w:val="List Continue 4"/>
    <w:basedOn w:val="Normal"/>
    <w:semiHidden/>
    <w:rsid w:val="00910679"/>
    <w:pPr>
      <w:spacing w:after="120"/>
      <w:ind w:left="1132"/>
    </w:pPr>
  </w:style>
  <w:style w:type="paragraph" w:styleId="ListContinue5">
    <w:name w:val="List Continue 5"/>
    <w:basedOn w:val="Normal"/>
    <w:semiHidden/>
    <w:rsid w:val="00910679"/>
    <w:pPr>
      <w:spacing w:after="120"/>
      <w:ind w:left="1415"/>
    </w:pPr>
  </w:style>
  <w:style w:type="paragraph" w:styleId="ListNumber">
    <w:name w:val="List Number"/>
    <w:basedOn w:val="Normal"/>
    <w:semiHidden/>
    <w:rsid w:val="00910679"/>
    <w:pPr>
      <w:numPr>
        <w:numId w:val="7"/>
      </w:numPr>
    </w:pPr>
  </w:style>
  <w:style w:type="paragraph" w:styleId="ListNumber2">
    <w:name w:val="List Number 2"/>
    <w:basedOn w:val="Normal"/>
    <w:semiHidden/>
    <w:rsid w:val="00910679"/>
    <w:pPr>
      <w:numPr>
        <w:numId w:val="8"/>
      </w:numPr>
    </w:pPr>
  </w:style>
  <w:style w:type="paragraph" w:styleId="ListNumber3">
    <w:name w:val="List Number 3"/>
    <w:basedOn w:val="Normal"/>
    <w:semiHidden/>
    <w:rsid w:val="00910679"/>
    <w:pPr>
      <w:numPr>
        <w:numId w:val="9"/>
      </w:numPr>
    </w:pPr>
  </w:style>
  <w:style w:type="paragraph" w:styleId="ListNumber4">
    <w:name w:val="List Number 4"/>
    <w:basedOn w:val="Normal"/>
    <w:semiHidden/>
    <w:rsid w:val="00910679"/>
    <w:pPr>
      <w:numPr>
        <w:numId w:val="10"/>
      </w:numPr>
    </w:pPr>
  </w:style>
  <w:style w:type="paragraph" w:styleId="ListNumber5">
    <w:name w:val="List Number 5"/>
    <w:basedOn w:val="Normal"/>
    <w:semiHidden/>
    <w:rsid w:val="00910679"/>
    <w:pPr>
      <w:numPr>
        <w:numId w:val="11"/>
      </w:numPr>
    </w:pPr>
  </w:style>
  <w:style w:type="paragraph" w:styleId="MessageHeader">
    <w:name w:val="Message Header"/>
    <w:basedOn w:val="Normal"/>
    <w:semiHidden/>
    <w:rsid w:val="009106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910679"/>
    <w:rPr>
      <w:sz w:val="24"/>
    </w:rPr>
  </w:style>
  <w:style w:type="paragraph" w:styleId="NormalIndent">
    <w:name w:val="Normal Indent"/>
    <w:basedOn w:val="Normal"/>
    <w:semiHidden/>
    <w:rsid w:val="00910679"/>
    <w:pPr>
      <w:ind w:left="720"/>
    </w:pPr>
  </w:style>
  <w:style w:type="paragraph" w:styleId="NoteHeading">
    <w:name w:val="Note Heading"/>
    <w:basedOn w:val="Normal"/>
    <w:next w:val="Normal"/>
    <w:semiHidden/>
    <w:rsid w:val="00910679"/>
  </w:style>
  <w:style w:type="character" w:styleId="PageNumber">
    <w:name w:val="page number"/>
    <w:basedOn w:val="DefaultParagraphFont"/>
    <w:semiHidden/>
    <w:rsid w:val="00910679"/>
  </w:style>
  <w:style w:type="paragraph" w:styleId="PlainText">
    <w:name w:val="Plain Text"/>
    <w:basedOn w:val="Normal"/>
    <w:semiHidden/>
    <w:rsid w:val="00910679"/>
    <w:rPr>
      <w:rFonts w:ascii="Courier New" w:hAnsi="Courier New" w:cs="Courier New"/>
      <w:sz w:val="20"/>
    </w:rPr>
  </w:style>
  <w:style w:type="paragraph" w:styleId="Salutation">
    <w:name w:val="Salutation"/>
    <w:basedOn w:val="Normal"/>
    <w:next w:val="Normal"/>
    <w:semiHidden/>
    <w:rsid w:val="00910679"/>
  </w:style>
  <w:style w:type="paragraph" w:styleId="Signature">
    <w:name w:val="Signature"/>
    <w:basedOn w:val="Normal"/>
    <w:semiHidden/>
    <w:rsid w:val="00910679"/>
    <w:pPr>
      <w:ind w:left="4252"/>
    </w:pPr>
  </w:style>
  <w:style w:type="character" w:styleId="Strong">
    <w:name w:val="Strong"/>
    <w:qFormat/>
    <w:rsid w:val="00910679"/>
    <w:rPr>
      <w:b/>
      <w:bCs/>
    </w:rPr>
  </w:style>
  <w:style w:type="paragraph" w:styleId="Subtitle">
    <w:name w:val="Subtitle"/>
    <w:basedOn w:val="Normal"/>
    <w:qFormat/>
    <w:rsid w:val="00910679"/>
    <w:pPr>
      <w:spacing w:after="60"/>
      <w:jc w:val="center"/>
      <w:outlineLvl w:val="1"/>
    </w:pPr>
    <w:rPr>
      <w:rFonts w:ascii="Arial" w:hAnsi="Arial" w:cs="Arial"/>
      <w:sz w:val="24"/>
    </w:rPr>
  </w:style>
  <w:style w:type="table" w:styleId="Table3Deffects1">
    <w:name w:val="Table 3D effects 1"/>
    <w:basedOn w:val="TableNormal"/>
    <w:semiHidden/>
    <w:rsid w:val="00910679"/>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10679"/>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10679"/>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1067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1067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10679"/>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10679"/>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10679"/>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10679"/>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10679"/>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10679"/>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10679"/>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10679"/>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10679"/>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10679"/>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10679"/>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10679"/>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54F4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1067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10679"/>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10679"/>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10679"/>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10679"/>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10679"/>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10679"/>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10679"/>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10679"/>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1067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1067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10679"/>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1067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1067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10679"/>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10679"/>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10679"/>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10679"/>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10679"/>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10679"/>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10679"/>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10679"/>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10679"/>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0679"/>
    <w:pPr>
      <w:spacing w:before="240" w:after="60"/>
      <w:jc w:val="center"/>
    </w:pPr>
    <w:rPr>
      <w:rFonts w:ascii="Arial" w:hAnsi="Arial" w:cs="Arial"/>
      <w:b/>
      <w:bCs/>
      <w:kern w:val="28"/>
      <w:sz w:val="32"/>
      <w:szCs w:val="32"/>
    </w:rPr>
  </w:style>
  <w:style w:type="paragraph" w:styleId="TOAHeading">
    <w:name w:val="toa heading"/>
    <w:basedOn w:val="Normal"/>
    <w:next w:val="Normal"/>
    <w:rsid w:val="00910679"/>
    <w:pPr>
      <w:spacing w:before="120"/>
    </w:pPr>
    <w:rPr>
      <w:rFonts w:ascii="Arial" w:hAnsi="Arial" w:cs="Arial"/>
      <w:b/>
      <w:bCs/>
      <w:sz w:val="24"/>
    </w:rPr>
  </w:style>
  <w:style w:type="paragraph" w:styleId="BalloonText">
    <w:name w:val="Balloon Text"/>
    <w:basedOn w:val="Normal"/>
    <w:link w:val="BalloonTextChar"/>
    <w:uiPriority w:val="99"/>
    <w:semiHidden/>
    <w:unhideWhenUsed/>
    <w:rsid w:val="00654F44"/>
    <w:pPr>
      <w:spacing w:line="240" w:lineRule="auto"/>
    </w:pPr>
    <w:rPr>
      <w:rFonts w:ascii="Tahoma" w:hAnsi="Tahoma" w:cs="Tahoma"/>
      <w:sz w:val="16"/>
      <w:szCs w:val="16"/>
    </w:rPr>
  </w:style>
  <w:style w:type="paragraph" w:styleId="Caption">
    <w:name w:val="caption"/>
    <w:basedOn w:val="Normal"/>
    <w:next w:val="Normal"/>
    <w:qFormat/>
    <w:rsid w:val="00910679"/>
    <w:pPr>
      <w:spacing w:before="120" w:after="120"/>
    </w:pPr>
    <w:rPr>
      <w:b/>
      <w:bCs/>
      <w:sz w:val="20"/>
    </w:rPr>
  </w:style>
  <w:style w:type="character" w:styleId="CommentReference">
    <w:name w:val="annotation reference"/>
    <w:semiHidden/>
    <w:rsid w:val="00910679"/>
    <w:rPr>
      <w:sz w:val="16"/>
      <w:szCs w:val="16"/>
    </w:rPr>
  </w:style>
  <w:style w:type="paragraph" w:styleId="CommentText">
    <w:name w:val="annotation text"/>
    <w:basedOn w:val="Normal"/>
    <w:semiHidden/>
    <w:rsid w:val="00910679"/>
    <w:rPr>
      <w:sz w:val="20"/>
    </w:rPr>
  </w:style>
  <w:style w:type="paragraph" w:styleId="CommentSubject">
    <w:name w:val="annotation subject"/>
    <w:basedOn w:val="CommentText"/>
    <w:next w:val="CommentText"/>
    <w:semiHidden/>
    <w:rsid w:val="00910679"/>
    <w:rPr>
      <w:b/>
      <w:bCs/>
    </w:rPr>
  </w:style>
  <w:style w:type="paragraph" w:styleId="DocumentMap">
    <w:name w:val="Document Map"/>
    <w:basedOn w:val="Normal"/>
    <w:semiHidden/>
    <w:rsid w:val="00910679"/>
    <w:pPr>
      <w:shd w:val="clear" w:color="auto" w:fill="000080"/>
    </w:pPr>
    <w:rPr>
      <w:rFonts w:ascii="Tahoma" w:hAnsi="Tahoma" w:cs="Tahoma"/>
    </w:rPr>
  </w:style>
  <w:style w:type="character" w:styleId="EndnoteReference">
    <w:name w:val="endnote reference"/>
    <w:semiHidden/>
    <w:rsid w:val="00910679"/>
    <w:rPr>
      <w:vertAlign w:val="superscript"/>
    </w:rPr>
  </w:style>
  <w:style w:type="paragraph" w:styleId="EndnoteText">
    <w:name w:val="endnote text"/>
    <w:basedOn w:val="Normal"/>
    <w:semiHidden/>
    <w:rsid w:val="00910679"/>
    <w:rPr>
      <w:sz w:val="20"/>
    </w:rPr>
  </w:style>
  <w:style w:type="character" w:styleId="FootnoteReference">
    <w:name w:val="footnote reference"/>
    <w:semiHidden/>
    <w:rsid w:val="00910679"/>
    <w:rPr>
      <w:vertAlign w:val="superscript"/>
    </w:rPr>
  </w:style>
  <w:style w:type="paragraph" w:styleId="FootnoteText">
    <w:name w:val="footnote text"/>
    <w:basedOn w:val="Normal"/>
    <w:semiHidden/>
    <w:rsid w:val="00910679"/>
    <w:rPr>
      <w:sz w:val="20"/>
    </w:rPr>
  </w:style>
  <w:style w:type="paragraph" w:styleId="Index1">
    <w:name w:val="index 1"/>
    <w:basedOn w:val="Normal"/>
    <w:next w:val="Normal"/>
    <w:autoRedefine/>
    <w:semiHidden/>
    <w:rsid w:val="00910679"/>
    <w:pPr>
      <w:ind w:left="220" w:hanging="220"/>
    </w:pPr>
  </w:style>
  <w:style w:type="paragraph" w:styleId="Index2">
    <w:name w:val="index 2"/>
    <w:basedOn w:val="Normal"/>
    <w:next w:val="Normal"/>
    <w:autoRedefine/>
    <w:semiHidden/>
    <w:rsid w:val="00910679"/>
    <w:pPr>
      <w:ind w:left="440" w:hanging="220"/>
    </w:pPr>
  </w:style>
  <w:style w:type="paragraph" w:styleId="Index3">
    <w:name w:val="index 3"/>
    <w:basedOn w:val="Normal"/>
    <w:next w:val="Normal"/>
    <w:autoRedefine/>
    <w:semiHidden/>
    <w:rsid w:val="00910679"/>
    <w:pPr>
      <w:ind w:left="660" w:hanging="220"/>
    </w:pPr>
  </w:style>
  <w:style w:type="paragraph" w:styleId="Index4">
    <w:name w:val="index 4"/>
    <w:basedOn w:val="Normal"/>
    <w:next w:val="Normal"/>
    <w:autoRedefine/>
    <w:semiHidden/>
    <w:rsid w:val="00910679"/>
    <w:pPr>
      <w:ind w:left="880" w:hanging="220"/>
    </w:pPr>
  </w:style>
  <w:style w:type="paragraph" w:styleId="Index5">
    <w:name w:val="index 5"/>
    <w:basedOn w:val="Normal"/>
    <w:next w:val="Normal"/>
    <w:autoRedefine/>
    <w:semiHidden/>
    <w:rsid w:val="00910679"/>
    <w:pPr>
      <w:ind w:left="1100" w:hanging="220"/>
    </w:pPr>
  </w:style>
  <w:style w:type="paragraph" w:styleId="Index6">
    <w:name w:val="index 6"/>
    <w:basedOn w:val="Normal"/>
    <w:next w:val="Normal"/>
    <w:autoRedefine/>
    <w:semiHidden/>
    <w:rsid w:val="00910679"/>
    <w:pPr>
      <w:ind w:left="1320" w:hanging="220"/>
    </w:pPr>
  </w:style>
  <w:style w:type="paragraph" w:styleId="Index7">
    <w:name w:val="index 7"/>
    <w:basedOn w:val="Normal"/>
    <w:next w:val="Normal"/>
    <w:autoRedefine/>
    <w:semiHidden/>
    <w:rsid w:val="00910679"/>
    <w:pPr>
      <w:ind w:left="1540" w:hanging="220"/>
    </w:pPr>
  </w:style>
  <w:style w:type="paragraph" w:styleId="Index8">
    <w:name w:val="index 8"/>
    <w:basedOn w:val="Normal"/>
    <w:next w:val="Normal"/>
    <w:autoRedefine/>
    <w:semiHidden/>
    <w:rsid w:val="00910679"/>
    <w:pPr>
      <w:ind w:left="1760" w:hanging="220"/>
    </w:pPr>
  </w:style>
  <w:style w:type="paragraph" w:styleId="Index9">
    <w:name w:val="index 9"/>
    <w:basedOn w:val="Normal"/>
    <w:next w:val="Normal"/>
    <w:autoRedefine/>
    <w:semiHidden/>
    <w:rsid w:val="00910679"/>
    <w:pPr>
      <w:ind w:left="1980" w:hanging="220"/>
    </w:pPr>
  </w:style>
  <w:style w:type="paragraph" w:styleId="IndexHeading">
    <w:name w:val="index heading"/>
    <w:basedOn w:val="Normal"/>
    <w:next w:val="Index1"/>
    <w:semiHidden/>
    <w:rsid w:val="00910679"/>
    <w:rPr>
      <w:rFonts w:ascii="Arial" w:hAnsi="Arial" w:cs="Arial"/>
      <w:b/>
      <w:bCs/>
    </w:rPr>
  </w:style>
  <w:style w:type="paragraph" w:styleId="MacroText">
    <w:name w:val="macro"/>
    <w:semiHidden/>
    <w:rsid w:val="0091067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basedOn w:val="Normal"/>
    <w:next w:val="Normal"/>
    <w:semiHidden/>
    <w:rsid w:val="00910679"/>
    <w:pPr>
      <w:ind w:left="220" w:hanging="220"/>
    </w:pPr>
  </w:style>
  <w:style w:type="paragraph" w:styleId="TableofFigures">
    <w:name w:val="table of figures"/>
    <w:basedOn w:val="Normal"/>
    <w:next w:val="Normal"/>
    <w:semiHidden/>
    <w:rsid w:val="00910679"/>
    <w:pPr>
      <w:ind w:left="440" w:hanging="440"/>
    </w:pPr>
  </w:style>
  <w:style w:type="character" w:customStyle="1" w:styleId="OPCCharBase">
    <w:name w:val="OPCCharBase"/>
    <w:uiPriority w:val="1"/>
    <w:qFormat/>
    <w:rsid w:val="00654F44"/>
  </w:style>
  <w:style w:type="paragraph" w:customStyle="1" w:styleId="OPCParaBase">
    <w:name w:val="OPCParaBase"/>
    <w:qFormat/>
    <w:rsid w:val="00654F44"/>
    <w:pPr>
      <w:spacing w:line="260" w:lineRule="atLeast"/>
    </w:pPr>
    <w:rPr>
      <w:sz w:val="22"/>
    </w:rPr>
  </w:style>
  <w:style w:type="paragraph" w:customStyle="1" w:styleId="Blocks">
    <w:name w:val="Blocks"/>
    <w:aliases w:val="bb"/>
    <w:basedOn w:val="OPCParaBase"/>
    <w:qFormat/>
    <w:rsid w:val="00654F44"/>
    <w:pPr>
      <w:spacing w:line="240" w:lineRule="auto"/>
    </w:pPr>
    <w:rPr>
      <w:sz w:val="24"/>
    </w:rPr>
  </w:style>
  <w:style w:type="character" w:customStyle="1" w:styleId="CharBoldItalic">
    <w:name w:val="CharBoldItalic"/>
    <w:basedOn w:val="OPCCharBase"/>
    <w:uiPriority w:val="1"/>
    <w:qFormat/>
    <w:rsid w:val="00654F44"/>
    <w:rPr>
      <w:b/>
      <w:i/>
    </w:rPr>
  </w:style>
  <w:style w:type="character" w:customStyle="1" w:styleId="CharItalic">
    <w:name w:val="CharItalic"/>
    <w:basedOn w:val="OPCCharBase"/>
    <w:uiPriority w:val="1"/>
    <w:qFormat/>
    <w:rsid w:val="00654F44"/>
    <w:rPr>
      <w:i/>
    </w:rPr>
  </w:style>
  <w:style w:type="paragraph" w:customStyle="1" w:styleId="CTA--">
    <w:name w:val="CTA --"/>
    <w:basedOn w:val="OPCParaBase"/>
    <w:next w:val="Normal"/>
    <w:rsid w:val="00654F44"/>
    <w:pPr>
      <w:spacing w:before="60" w:line="240" w:lineRule="atLeast"/>
      <w:ind w:left="142" w:hanging="142"/>
    </w:pPr>
    <w:rPr>
      <w:sz w:val="20"/>
    </w:rPr>
  </w:style>
  <w:style w:type="paragraph" w:customStyle="1" w:styleId="CTA-">
    <w:name w:val="CTA -"/>
    <w:basedOn w:val="OPCParaBase"/>
    <w:rsid w:val="00654F44"/>
    <w:pPr>
      <w:spacing w:before="60" w:line="240" w:lineRule="atLeast"/>
      <w:ind w:left="85" w:hanging="85"/>
    </w:pPr>
    <w:rPr>
      <w:sz w:val="20"/>
    </w:rPr>
  </w:style>
  <w:style w:type="paragraph" w:customStyle="1" w:styleId="CTA---">
    <w:name w:val="CTA ---"/>
    <w:basedOn w:val="OPCParaBase"/>
    <w:next w:val="Normal"/>
    <w:rsid w:val="00654F44"/>
    <w:pPr>
      <w:spacing w:before="60" w:line="240" w:lineRule="atLeast"/>
      <w:ind w:left="198" w:hanging="198"/>
    </w:pPr>
    <w:rPr>
      <w:sz w:val="20"/>
    </w:rPr>
  </w:style>
  <w:style w:type="paragraph" w:customStyle="1" w:styleId="CTA----">
    <w:name w:val="CTA ----"/>
    <w:basedOn w:val="OPCParaBase"/>
    <w:next w:val="Normal"/>
    <w:rsid w:val="00654F44"/>
    <w:pPr>
      <w:spacing w:before="60" w:line="240" w:lineRule="atLeast"/>
      <w:ind w:left="255" w:hanging="255"/>
    </w:pPr>
    <w:rPr>
      <w:sz w:val="20"/>
    </w:rPr>
  </w:style>
  <w:style w:type="paragraph" w:customStyle="1" w:styleId="CTA1a">
    <w:name w:val="CTA 1(a)"/>
    <w:basedOn w:val="OPCParaBase"/>
    <w:rsid w:val="00654F44"/>
    <w:pPr>
      <w:tabs>
        <w:tab w:val="right" w:pos="414"/>
      </w:tabs>
      <w:spacing w:before="40" w:line="240" w:lineRule="atLeast"/>
      <w:ind w:left="675" w:hanging="675"/>
    </w:pPr>
    <w:rPr>
      <w:sz w:val="20"/>
    </w:rPr>
  </w:style>
  <w:style w:type="paragraph" w:customStyle="1" w:styleId="CTA1ai">
    <w:name w:val="CTA 1(a)(i)"/>
    <w:basedOn w:val="OPCParaBase"/>
    <w:rsid w:val="00654F44"/>
    <w:pPr>
      <w:tabs>
        <w:tab w:val="right" w:pos="1004"/>
      </w:tabs>
      <w:spacing w:before="40" w:line="240" w:lineRule="atLeast"/>
      <w:ind w:left="1253" w:hanging="1253"/>
    </w:pPr>
    <w:rPr>
      <w:sz w:val="20"/>
    </w:rPr>
  </w:style>
  <w:style w:type="paragraph" w:customStyle="1" w:styleId="CTA2a">
    <w:name w:val="CTA 2(a)"/>
    <w:basedOn w:val="OPCParaBase"/>
    <w:rsid w:val="00654F44"/>
    <w:pPr>
      <w:tabs>
        <w:tab w:val="right" w:pos="482"/>
      </w:tabs>
      <w:spacing w:before="40" w:line="240" w:lineRule="atLeast"/>
      <w:ind w:left="748" w:hanging="748"/>
    </w:pPr>
    <w:rPr>
      <w:sz w:val="20"/>
    </w:rPr>
  </w:style>
  <w:style w:type="paragraph" w:customStyle="1" w:styleId="CTA2ai">
    <w:name w:val="CTA 2(a)(i)"/>
    <w:basedOn w:val="OPCParaBase"/>
    <w:rsid w:val="00654F44"/>
    <w:pPr>
      <w:tabs>
        <w:tab w:val="right" w:pos="1089"/>
      </w:tabs>
      <w:spacing w:before="40" w:line="240" w:lineRule="atLeast"/>
      <w:ind w:left="1327" w:hanging="1327"/>
    </w:pPr>
    <w:rPr>
      <w:sz w:val="20"/>
    </w:rPr>
  </w:style>
  <w:style w:type="paragraph" w:customStyle="1" w:styleId="CTA3a">
    <w:name w:val="CTA 3(a)"/>
    <w:basedOn w:val="OPCParaBase"/>
    <w:rsid w:val="00654F44"/>
    <w:pPr>
      <w:tabs>
        <w:tab w:val="right" w:pos="556"/>
      </w:tabs>
      <w:spacing w:before="40" w:line="240" w:lineRule="atLeast"/>
      <w:ind w:left="805" w:hanging="805"/>
    </w:pPr>
    <w:rPr>
      <w:sz w:val="20"/>
    </w:rPr>
  </w:style>
  <w:style w:type="paragraph" w:customStyle="1" w:styleId="CTA3ai">
    <w:name w:val="CTA 3(a)(i)"/>
    <w:basedOn w:val="OPCParaBase"/>
    <w:rsid w:val="00654F44"/>
    <w:pPr>
      <w:tabs>
        <w:tab w:val="right" w:pos="1140"/>
      </w:tabs>
      <w:spacing w:before="40" w:line="240" w:lineRule="atLeast"/>
      <w:ind w:left="1361" w:hanging="1361"/>
    </w:pPr>
    <w:rPr>
      <w:sz w:val="20"/>
    </w:rPr>
  </w:style>
  <w:style w:type="paragraph" w:customStyle="1" w:styleId="CTA4a">
    <w:name w:val="CTA 4(a)"/>
    <w:basedOn w:val="OPCParaBase"/>
    <w:rsid w:val="00654F44"/>
    <w:pPr>
      <w:tabs>
        <w:tab w:val="right" w:pos="624"/>
      </w:tabs>
      <w:spacing w:before="40" w:line="240" w:lineRule="atLeast"/>
      <w:ind w:left="873" w:hanging="873"/>
    </w:pPr>
    <w:rPr>
      <w:sz w:val="20"/>
    </w:rPr>
  </w:style>
  <w:style w:type="paragraph" w:customStyle="1" w:styleId="CTA4ai">
    <w:name w:val="CTA 4(a)(i)"/>
    <w:basedOn w:val="OPCParaBase"/>
    <w:rsid w:val="00654F44"/>
    <w:pPr>
      <w:tabs>
        <w:tab w:val="right" w:pos="1213"/>
      </w:tabs>
      <w:spacing w:before="40" w:line="240" w:lineRule="atLeast"/>
      <w:ind w:left="1452" w:hanging="1452"/>
    </w:pPr>
    <w:rPr>
      <w:sz w:val="20"/>
    </w:rPr>
  </w:style>
  <w:style w:type="paragraph" w:customStyle="1" w:styleId="CTACAPS">
    <w:name w:val="CTA CAPS"/>
    <w:basedOn w:val="OPCParaBase"/>
    <w:rsid w:val="00654F44"/>
    <w:pPr>
      <w:spacing w:before="60" w:line="240" w:lineRule="atLeast"/>
    </w:pPr>
    <w:rPr>
      <w:sz w:val="20"/>
    </w:rPr>
  </w:style>
  <w:style w:type="paragraph" w:customStyle="1" w:styleId="CTAright">
    <w:name w:val="CTA right"/>
    <w:basedOn w:val="OPCParaBase"/>
    <w:rsid w:val="00654F44"/>
    <w:pPr>
      <w:spacing w:before="60" w:line="240" w:lineRule="auto"/>
      <w:jc w:val="right"/>
    </w:pPr>
    <w:rPr>
      <w:sz w:val="20"/>
    </w:rPr>
  </w:style>
  <w:style w:type="character" w:customStyle="1" w:styleId="HeaderChar">
    <w:name w:val="Header Char"/>
    <w:basedOn w:val="DefaultParagraphFont"/>
    <w:link w:val="Header"/>
    <w:rsid w:val="00654F44"/>
    <w:rPr>
      <w:sz w:val="16"/>
    </w:rPr>
  </w:style>
  <w:style w:type="paragraph" w:customStyle="1" w:styleId="House">
    <w:name w:val="House"/>
    <w:basedOn w:val="OPCParaBase"/>
    <w:rsid w:val="00654F44"/>
    <w:pPr>
      <w:spacing w:line="240" w:lineRule="auto"/>
    </w:pPr>
    <w:rPr>
      <w:sz w:val="28"/>
    </w:rPr>
  </w:style>
  <w:style w:type="paragraph" w:customStyle="1" w:styleId="noteToPara">
    <w:name w:val="noteToPara"/>
    <w:aliases w:val="ntp"/>
    <w:basedOn w:val="OPCParaBase"/>
    <w:rsid w:val="00654F44"/>
    <w:pPr>
      <w:spacing w:before="122" w:line="198" w:lineRule="exact"/>
      <w:ind w:left="2353" w:hanging="709"/>
    </w:pPr>
    <w:rPr>
      <w:sz w:val="18"/>
    </w:rPr>
  </w:style>
  <w:style w:type="paragraph" w:customStyle="1" w:styleId="Portfolio">
    <w:name w:val="Portfolio"/>
    <w:basedOn w:val="OPCParaBase"/>
    <w:rsid w:val="00654F44"/>
    <w:pPr>
      <w:spacing w:line="240" w:lineRule="auto"/>
    </w:pPr>
    <w:rPr>
      <w:i/>
      <w:sz w:val="20"/>
    </w:rPr>
  </w:style>
  <w:style w:type="paragraph" w:customStyle="1" w:styleId="Reading">
    <w:name w:val="Reading"/>
    <w:basedOn w:val="OPCParaBase"/>
    <w:rsid w:val="00654F44"/>
    <w:pPr>
      <w:spacing w:line="240" w:lineRule="auto"/>
    </w:pPr>
    <w:rPr>
      <w:i/>
      <w:sz w:val="20"/>
    </w:rPr>
  </w:style>
  <w:style w:type="paragraph" w:customStyle="1" w:styleId="Session">
    <w:name w:val="Session"/>
    <w:basedOn w:val="OPCParaBase"/>
    <w:rsid w:val="00654F44"/>
    <w:pPr>
      <w:spacing w:line="240" w:lineRule="auto"/>
    </w:pPr>
    <w:rPr>
      <w:sz w:val="28"/>
    </w:rPr>
  </w:style>
  <w:style w:type="paragraph" w:customStyle="1" w:styleId="Sponsor">
    <w:name w:val="Sponsor"/>
    <w:basedOn w:val="OPCParaBase"/>
    <w:rsid w:val="00654F44"/>
    <w:pPr>
      <w:spacing w:line="240" w:lineRule="auto"/>
    </w:pPr>
    <w:rPr>
      <w:i/>
    </w:rPr>
  </w:style>
  <w:style w:type="paragraph" w:customStyle="1" w:styleId="Tabletext">
    <w:name w:val="Tabletext"/>
    <w:aliases w:val="tt"/>
    <w:basedOn w:val="OPCParaBase"/>
    <w:rsid w:val="00654F44"/>
    <w:pPr>
      <w:spacing w:before="60" w:line="240" w:lineRule="atLeast"/>
    </w:pPr>
    <w:rPr>
      <w:sz w:val="20"/>
    </w:rPr>
  </w:style>
  <w:style w:type="paragraph" w:customStyle="1" w:styleId="WRStyle">
    <w:name w:val="WR Style"/>
    <w:aliases w:val="WR"/>
    <w:basedOn w:val="OPCParaBase"/>
    <w:rsid w:val="00654F44"/>
    <w:pPr>
      <w:spacing w:before="240" w:line="240" w:lineRule="auto"/>
      <w:ind w:left="284" w:hanging="284"/>
    </w:pPr>
    <w:rPr>
      <w:b/>
      <w:i/>
      <w:kern w:val="28"/>
      <w:sz w:val="24"/>
    </w:rPr>
  </w:style>
  <w:style w:type="character" w:customStyle="1" w:styleId="FooterChar">
    <w:name w:val="Footer Char"/>
    <w:basedOn w:val="DefaultParagraphFont"/>
    <w:link w:val="Footer"/>
    <w:rsid w:val="00654F44"/>
    <w:rPr>
      <w:sz w:val="22"/>
      <w:szCs w:val="24"/>
    </w:rPr>
  </w:style>
  <w:style w:type="table" w:customStyle="1" w:styleId="CFlag">
    <w:name w:val="CFlag"/>
    <w:basedOn w:val="TableNormal"/>
    <w:uiPriority w:val="99"/>
    <w:rsid w:val="00654F44"/>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654F4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4F44"/>
    <w:pPr>
      <w:pBdr>
        <w:top w:val="single" w:sz="4" w:space="1" w:color="auto"/>
      </w:pBdr>
      <w:spacing w:before="360"/>
      <w:ind w:right="397"/>
      <w:jc w:val="both"/>
    </w:pPr>
  </w:style>
  <w:style w:type="paragraph" w:customStyle="1" w:styleId="ENotesHeading1">
    <w:name w:val="ENotesHeading 1"/>
    <w:aliases w:val="Enh1"/>
    <w:basedOn w:val="OPCParaBase"/>
    <w:next w:val="Normal"/>
    <w:rsid w:val="00654F44"/>
    <w:pPr>
      <w:spacing w:before="120"/>
      <w:outlineLvl w:val="1"/>
    </w:pPr>
    <w:rPr>
      <w:b/>
      <w:sz w:val="28"/>
      <w:szCs w:val="28"/>
    </w:rPr>
  </w:style>
  <w:style w:type="paragraph" w:customStyle="1" w:styleId="ENotesHeading2">
    <w:name w:val="ENotesHeading 2"/>
    <w:aliases w:val="Enh2"/>
    <w:basedOn w:val="OPCParaBase"/>
    <w:next w:val="Normal"/>
    <w:rsid w:val="00654F44"/>
    <w:pPr>
      <w:spacing w:before="120" w:after="120"/>
      <w:outlineLvl w:val="2"/>
    </w:pPr>
    <w:rPr>
      <w:b/>
      <w:sz w:val="24"/>
      <w:szCs w:val="28"/>
    </w:rPr>
  </w:style>
  <w:style w:type="paragraph" w:customStyle="1" w:styleId="CompiledActNo">
    <w:name w:val="CompiledActNo"/>
    <w:basedOn w:val="OPCParaBase"/>
    <w:next w:val="Normal"/>
    <w:rsid w:val="00654F44"/>
    <w:rPr>
      <w:b/>
      <w:sz w:val="24"/>
      <w:szCs w:val="24"/>
    </w:rPr>
  </w:style>
  <w:style w:type="paragraph" w:customStyle="1" w:styleId="ENotesText">
    <w:name w:val="ENotesText"/>
    <w:aliases w:val="Ent,ENt"/>
    <w:basedOn w:val="OPCParaBase"/>
    <w:next w:val="Normal"/>
    <w:rsid w:val="00654F44"/>
    <w:pPr>
      <w:spacing w:before="120"/>
    </w:pPr>
  </w:style>
  <w:style w:type="paragraph" w:customStyle="1" w:styleId="CompiledMadeUnder">
    <w:name w:val="CompiledMadeUnder"/>
    <w:basedOn w:val="OPCParaBase"/>
    <w:next w:val="Normal"/>
    <w:rsid w:val="00654F44"/>
    <w:rPr>
      <w:i/>
      <w:sz w:val="24"/>
      <w:szCs w:val="24"/>
    </w:rPr>
  </w:style>
  <w:style w:type="paragraph" w:customStyle="1" w:styleId="Paragraphsub-sub-sub">
    <w:name w:val="Paragraph(sub-sub-sub)"/>
    <w:aliases w:val="aaaa"/>
    <w:basedOn w:val="OPCParaBase"/>
    <w:rsid w:val="00654F4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4F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4F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4F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4F4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4F44"/>
    <w:pPr>
      <w:spacing w:before="60" w:line="240" w:lineRule="auto"/>
    </w:pPr>
    <w:rPr>
      <w:rFonts w:cs="Arial"/>
      <w:sz w:val="20"/>
      <w:szCs w:val="22"/>
    </w:rPr>
  </w:style>
  <w:style w:type="paragraph" w:customStyle="1" w:styleId="ActHead10">
    <w:name w:val="ActHead 10"/>
    <w:aliases w:val="sp"/>
    <w:basedOn w:val="OPCParaBase"/>
    <w:next w:val="ActHead3"/>
    <w:rsid w:val="00654F4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654F44"/>
    <w:rPr>
      <w:rFonts w:ascii="Tahoma" w:eastAsiaTheme="minorHAnsi" w:hAnsi="Tahoma" w:cs="Tahoma"/>
      <w:sz w:val="16"/>
      <w:szCs w:val="16"/>
      <w:lang w:eastAsia="en-US"/>
    </w:rPr>
  </w:style>
  <w:style w:type="paragraph" w:customStyle="1" w:styleId="NoteToSubpara">
    <w:name w:val="NoteToSubpara"/>
    <w:aliases w:val="nts"/>
    <w:basedOn w:val="OPCParaBase"/>
    <w:rsid w:val="00654F44"/>
    <w:pPr>
      <w:spacing w:before="40" w:line="198" w:lineRule="exact"/>
      <w:ind w:left="2835" w:hanging="709"/>
    </w:pPr>
    <w:rPr>
      <w:sz w:val="18"/>
    </w:rPr>
  </w:style>
  <w:style w:type="paragraph" w:customStyle="1" w:styleId="ENoteTableHeading">
    <w:name w:val="ENoteTableHeading"/>
    <w:aliases w:val="enth"/>
    <w:basedOn w:val="OPCParaBase"/>
    <w:rsid w:val="00654F44"/>
    <w:pPr>
      <w:keepNext/>
      <w:spacing w:before="60" w:line="240" w:lineRule="atLeast"/>
    </w:pPr>
    <w:rPr>
      <w:rFonts w:ascii="Arial" w:hAnsi="Arial"/>
      <w:b/>
      <w:sz w:val="16"/>
    </w:rPr>
  </w:style>
  <w:style w:type="paragraph" w:customStyle="1" w:styleId="ENoteTTi">
    <w:name w:val="ENoteTTi"/>
    <w:aliases w:val="entti"/>
    <w:basedOn w:val="OPCParaBase"/>
    <w:rsid w:val="00654F44"/>
    <w:pPr>
      <w:keepNext/>
      <w:spacing w:before="60" w:line="240" w:lineRule="atLeast"/>
      <w:ind w:left="170"/>
    </w:pPr>
    <w:rPr>
      <w:sz w:val="16"/>
    </w:rPr>
  </w:style>
  <w:style w:type="paragraph" w:customStyle="1" w:styleId="ENoteTTIndentHeading">
    <w:name w:val="ENoteTTIndentHeading"/>
    <w:aliases w:val="enTTHi"/>
    <w:basedOn w:val="OPCParaBase"/>
    <w:rsid w:val="00654F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54F44"/>
    <w:pPr>
      <w:spacing w:before="60" w:line="240" w:lineRule="atLeast"/>
    </w:pPr>
    <w:rPr>
      <w:sz w:val="16"/>
    </w:rPr>
  </w:style>
  <w:style w:type="paragraph" w:customStyle="1" w:styleId="MadeunderText">
    <w:name w:val="MadeunderText"/>
    <w:basedOn w:val="OPCParaBase"/>
    <w:next w:val="CompiledMadeUnder"/>
    <w:rsid w:val="00654F44"/>
    <w:pPr>
      <w:spacing w:before="240"/>
    </w:pPr>
    <w:rPr>
      <w:sz w:val="24"/>
      <w:szCs w:val="24"/>
    </w:rPr>
  </w:style>
  <w:style w:type="paragraph" w:customStyle="1" w:styleId="ENotesHeading3">
    <w:name w:val="ENotesHeading 3"/>
    <w:aliases w:val="Enh3"/>
    <w:basedOn w:val="OPCParaBase"/>
    <w:next w:val="Normal"/>
    <w:rsid w:val="00654F44"/>
    <w:pPr>
      <w:keepNext/>
      <w:spacing w:before="120" w:line="240" w:lineRule="auto"/>
      <w:outlineLvl w:val="4"/>
    </w:pPr>
    <w:rPr>
      <w:b/>
      <w:szCs w:val="24"/>
    </w:rPr>
  </w:style>
  <w:style w:type="paragraph" w:customStyle="1" w:styleId="SubPartCASA">
    <w:name w:val="SubPart(CASA)"/>
    <w:aliases w:val="csp"/>
    <w:basedOn w:val="OPCParaBase"/>
    <w:next w:val="ActHead3"/>
    <w:rsid w:val="00654F44"/>
    <w:pPr>
      <w:keepNext/>
      <w:keepLines/>
      <w:spacing w:before="280"/>
      <w:outlineLvl w:val="1"/>
    </w:pPr>
    <w:rPr>
      <w:b/>
      <w:kern w:val="28"/>
      <w:sz w:val="32"/>
    </w:rPr>
  </w:style>
  <w:style w:type="character" w:customStyle="1" w:styleId="CharSubPartTextCASA">
    <w:name w:val="CharSubPartText(CASA)"/>
    <w:basedOn w:val="OPCCharBase"/>
    <w:uiPriority w:val="1"/>
    <w:rsid w:val="00654F44"/>
  </w:style>
  <w:style w:type="character" w:customStyle="1" w:styleId="CharSubPartNoCASA">
    <w:name w:val="CharSubPartNo(CASA)"/>
    <w:basedOn w:val="OPCCharBase"/>
    <w:uiPriority w:val="1"/>
    <w:rsid w:val="00654F44"/>
  </w:style>
  <w:style w:type="paragraph" w:customStyle="1" w:styleId="ENoteTTIndentHeadingSub">
    <w:name w:val="ENoteTTIndentHeadingSub"/>
    <w:aliases w:val="enTTHis"/>
    <w:basedOn w:val="OPCParaBase"/>
    <w:rsid w:val="00654F44"/>
    <w:pPr>
      <w:keepNext/>
      <w:spacing w:before="60" w:line="240" w:lineRule="atLeast"/>
      <w:ind w:left="340"/>
    </w:pPr>
    <w:rPr>
      <w:b/>
      <w:sz w:val="16"/>
    </w:rPr>
  </w:style>
  <w:style w:type="paragraph" w:customStyle="1" w:styleId="ENoteTTiSub">
    <w:name w:val="ENoteTTiSub"/>
    <w:aliases w:val="enttis"/>
    <w:basedOn w:val="OPCParaBase"/>
    <w:rsid w:val="00654F44"/>
    <w:pPr>
      <w:keepNext/>
      <w:spacing w:before="60" w:line="240" w:lineRule="atLeast"/>
      <w:ind w:left="340"/>
    </w:pPr>
    <w:rPr>
      <w:sz w:val="16"/>
    </w:rPr>
  </w:style>
  <w:style w:type="paragraph" w:customStyle="1" w:styleId="SubDivisionMigration">
    <w:name w:val="SubDivisionMigration"/>
    <w:aliases w:val="sdm"/>
    <w:basedOn w:val="OPCParaBase"/>
    <w:rsid w:val="00654F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4F44"/>
    <w:pPr>
      <w:keepNext/>
      <w:keepLines/>
      <w:spacing w:before="240" w:line="240" w:lineRule="auto"/>
      <w:ind w:left="1134" w:hanging="1134"/>
    </w:pPr>
    <w:rPr>
      <w:b/>
      <w:sz w:val="28"/>
    </w:rPr>
  </w:style>
  <w:style w:type="paragraph" w:customStyle="1" w:styleId="FreeForm">
    <w:name w:val="FreeForm"/>
    <w:rsid w:val="00BF69CF"/>
    <w:rPr>
      <w:rFonts w:ascii="Arial" w:eastAsiaTheme="minorHAnsi" w:hAnsi="Arial" w:cstheme="minorBidi"/>
      <w:sz w:val="22"/>
      <w:lang w:eastAsia="en-US"/>
    </w:rPr>
  </w:style>
  <w:style w:type="paragraph" w:customStyle="1" w:styleId="TableHeading">
    <w:name w:val="TableHeading"/>
    <w:aliases w:val="th"/>
    <w:basedOn w:val="OPCParaBase"/>
    <w:next w:val="Tabletext"/>
    <w:rsid w:val="00654F44"/>
    <w:pPr>
      <w:keepNext/>
      <w:spacing w:before="60" w:line="240" w:lineRule="atLeast"/>
    </w:pPr>
    <w:rPr>
      <w:b/>
      <w:sz w:val="20"/>
    </w:rPr>
  </w:style>
  <w:style w:type="paragraph" w:customStyle="1" w:styleId="ActHead1">
    <w:name w:val="ActHead 1"/>
    <w:aliases w:val="c"/>
    <w:basedOn w:val="OPCParaBase"/>
    <w:next w:val="Normal"/>
    <w:qFormat/>
    <w:rsid w:val="00654F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4F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4F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4F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54F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4F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4F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4F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4F44"/>
    <w:pPr>
      <w:keepNext/>
      <w:keepLines/>
      <w:spacing w:before="280" w:line="240" w:lineRule="auto"/>
      <w:ind w:left="1134" w:hanging="1134"/>
      <w:outlineLvl w:val="8"/>
    </w:pPr>
    <w:rPr>
      <w:b/>
      <w:i/>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42</Pages>
  <Words>7912</Words>
  <Characters>37523</Characters>
  <Application>Microsoft Office Word</Application>
  <DocSecurity>0</DocSecurity>
  <PresentationFormat/>
  <Lines>1163</Lines>
  <Paragraphs>601</Paragraphs>
  <ScaleCrop>false</ScaleCrop>
  <HeadingPairs>
    <vt:vector size="2" baseType="variant">
      <vt:variant>
        <vt:lpstr>Title</vt:lpstr>
      </vt:variant>
      <vt:variant>
        <vt:i4>1</vt:i4>
      </vt:variant>
    </vt:vector>
  </HeadingPairs>
  <TitlesOfParts>
    <vt:vector size="1" baseType="lpstr">
      <vt:lpstr>High Court of Australia Act 1979</vt:lpstr>
    </vt:vector>
  </TitlesOfParts>
  <Manager/>
  <Company/>
  <LinksUpToDate>false</LinksUpToDate>
  <CharactersWithSpaces>45101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of Australia Act 1979</dc:title>
  <dc:subject/>
  <dc:creator/>
  <cp:keywords/>
  <dc:description/>
  <cp:lastModifiedBy/>
  <cp:revision>1</cp:revision>
  <cp:lastPrinted>2014-07-03T05:23:00Z</cp:lastPrinted>
  <dcterms:created xsi:type="dcterms:W3CDTF">2014-07-08T04:33:00Z</dcterms:created>
  <dcterms:modified xsi:type="dcterms:W3CDTF">2014-07-08T04:33:00Z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High Court of Australia Act 1979</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