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1A0AA" w14:textId="77777777" w:rsidR="000B3C57" w:rsidRPr="00EA6587" w:rsidRDefault="00CC0412" w:rsidP="00EA6587">
      <w:pPr>
        <w:shd w:val="clear" w:color="auto" w:fill="FFFFFF"/>
        <w:spacing w:before="60" w:after="60"/>
        <w:ind w:left="1152" w:right="1152"/>
        <w:jc w:val="center"/>
        <w:rPr>
          <w:sz w:val="32"/>
          <w:szCs w:val="24"/>
        </w:rPr>
      </w:pPr>
      <w:bookmarkStart w:id="0" w:name="_GoBack"/>
      <w:bookmarkEnd w:id="0"/>
      <w:r w:rsidRPr="00EA6587">
        <w:rPr>
          <w:b/>
          <w:bCs/>
          <w:sz w:val="32"/>
          <w:szCs w:val="28"/>
          <w:lang w:val="fr-FR"/>
        </w:rPr>
        <w:t xml:space="preserve">REMUNERATION </w:t>
      </w:r>
      <w:r w:rsidRPr="00EA6587">
        <w:rPr>
          <w:b/>
          <w:bCs/>
          <w:sz w:val="32"/>
          <w:szCs w:val="28"/>
          <w:lang w:val="de-DE"/>
        </w:rPr>
        <w:t xml:space="preserve">TRIBUNALS AMENDMENT ACT </w:t>
      </w:r>
      <w:r w:rsidRPr="00EA6587">
        <w:rPr>
          <w:b/>
          <w:bCs/>
          <w:sz w:val="32"/>
          <w:szCs w:val="28"/>
        </w:rPr>
        <w:t>(No. 2) 1978</w:t>
      </w:r>
    </w:p>
    <w:p w14:paraId="4A6D85F4" w14:textId="77777777" w:rsidR="000B3C57" w:rsidRPr="00EA6587" w:rsidRDefault="00CC0412" w:rsidP="00EA6587">
      <w:pPr>
        <w:shd w:val="clear" w:color="auto" w:fill="FFFFFF"/>
        <w:spacing w:before="240" w:after="360"/>
        <w:jc w:val="center"/>
        <w:rPr>
          <w:sz w:val="24"/>
          <w:szCs w:val="24"/>
        </w:rPr>
      </w:pPr>
      <w:r w:rsidRPr="00EA6587">
        <w:rPr>
          <w:b/>
          <w:bCs/>
          <w:sz w:val="24"/>
          <w:szCs w:val="26"/>
        </w:rPr>
        <w:t>No. 178 of 1978</w:t>
      </w:r>
    </w:p>
    <w:p w14:paraId="66B8C691" w14:textId="77777777" w:rsidR="000B3C57" w:rsidRPr="00EA6587" w:rsidRDefault="00CC0412" w:rsidP="00EA6587">
      <w:pPr>
        <w:shd w:val="clear" w:color="auto" w:fill="FFFFFF"/>
        <w:spacing w:before="60" w:after="360"/>
        <w:jc w:val="center"/>
        <w:rPr>
          <w:sz w:val="24"/>
          <w:szCs w:val="24"/>
        </w:rPr>
      </w:pPr>
      <w:r w:rsidRPr="00EA6587">
        <w:rPr>
          <w:sz w:val="24"/>
          <w:szCs w:val="24"/>
        </w:rPr>
        <w:t xml:space="preserve">An Act to amend the </w:t>
      </w:r>
      <w:r w:rsidRPr="00EA6587">
        <w:rPr>
          <w:i/>
          <w:iCs/>
          <w:sz w:val="24"/>
          <w:szCs w:val="24"/>
        </w:rPr>
        <w:t xml:space="preserve">Remuneration Tribunals Act </w:t>
      </w:r>
      <w:r w:rsidRPr="00EA6587">
        <w:rPr>
          <w:sz w:val="24"/>
          <w:szCs w:val="24"/>
        </w:rPr>
        <w:t>1973.</w:t>
      </w:r>
    </w:p>
    <w:p w14:paraId="59A69C37" w14:textId="77777777" w:rsidR="000B3C57" w:rsidRPr="00BA4569" w:rsidRDefault="00CC0412" w:rsidP="00EA6587">
      <w:pPr>
        <w:shd w:val="clear" w:color="auto" w:fill="FFFFFF"/>
        <w:spacing w:after="60"/>
        <w:ind w:firstLine="288"/>
        <w:jc w:val="both"/>
        <w:rPr>
          <w:sz w:val="24"/>
          <w:szCs w:val="24"/>
        </w:rPr>
      </w:pPr>
      <w:r w:rsidRPr="00BA4569">
        <w:rPr>
          <w:sz w:val="24"/>
          <w:szCs w:val="24"/>
        </w:rPr>
        <w:t>BE IT ENACTED by the Queen, and the Senate and House of Representatives of the Commonwealth of Australia, as follows:</w:t>
      </w:r>
    </w:p>
    <w:p w14:paraId="67C3C744" w14:textId="77777777" w:rsidR="000B3C57" w:rsidRPr="00EA6587" w:rsidRDefault="00CC0412" w:rsidP="00EA6587">
      <w:pPr>
        <w:shd w:val="clear" w:color="auto" w:fill="FFFFFF"/>
        <w:spacing w:before="120" w:after="60"/>
        <w:jc w:val="both"/>
        <w:rPr>
          <w:b/>
          <w:szCs w:val="24"/>
        </w:rPr>
      </w:pPr>
      <w:r w:rsidRPr="00EA6587">
        <w:rPr>
          <w:b/>
          <w:szCs w:val="18"/>
        </w:rPr>
        <w:t>Short title, &amp;c.</w:t>
      </w:r>
    </w:p>
    <w:p w14:paraId="5CC05B03" w14:textId="1AFE3CBD" w:rsidR="000B3C57" w:rsidRPr="00BA4569" w:rsidRDefault="00CC0412" w:rsidP="00EA6587">
      <w:pPr>
        <w:shd w:val="clear" w:color="auto" w:fill="FFFFFF"/>
        <w:spacing w:after="60"/>
        <w:ind w:firstLine="288"/>
        <w:jc w:val="both"/>
        <w:rPr>
          <w:sz w:val="24"/>
          <w:szCs w:val="24"/>
        </w:rPr>
      </w:pPr>
      <w:r w:rsidRPr="00BA4569">
        <w:rPr>
          <w:b/>
          <w:bCs/>
          <w:sz w:val="24"/>
          <w:szCs w:val="24"/>
        </w:rPr>
        <w:t xml:space="preserve">1. </w:t>
      </w:r>
      <w:r w:rsidRPr="00BA4569">
        <w:rPr>
          <w:sz w:val="24"/>
          <w:szCs w:val="24"/>
        </w:rPr>
        <w:t xml:space="preserve">(1) This Act may be cited as the </w:t>
      </w:r>
      <w:r w:rsidRPr="00BA4569">
        <w:rPr>
          <w:i/>
          <w:iCs/>
          <w:sz w:val="24"/>
          <w:szCs w:val="24"/>
        </w:rPr>
        <w:t>Remuneration</w:t>
      </w:r>
      <w:r w:rsidR="00BF6FEE" w:rsidRPr="00BA4569">
        <w:rPr>
          <w:i/>
          <w:iCs/>
          <w:sz w:val="24"/>
          <w:szCs w:val="24"/>
        </w:rPr>
        <w:t xml:space="preserve"> </w:t>
      </w:r>
      <w:r w:rsidRPr="00BA4569">
        <w:rPr>
          <w:i/>
          <w:iCs/>
          <w:sz w:val="24"/>
          <w:szCs w:val="24"/>
        </w:rPr>
        <w:t xml:space="preserve">Tribunals Amendment Act </w:t>
      </w:r>
      <w:r w:rsidRPr="00240A50">
        <w:rPr>
          <w:iCs/>
          <w:sz w:val="24"/>
          <w:szCs w:val="24"/>
        </w:rPr>
        <w:t>(</w:t>
      </w:r>
      <w:r w:rsidRPr="00BA4569">
        <w:rPr>
          <w:i/>
          <w:iCs/>
          <w:sz w:val="24"/>
          <w:szCs w:val="24"/>
        </w:rPr>
        <w:t xml:space="preserve">No. </w:t>
      </w:r>
      <w:r w:rsidRPr="00BA4569">
        <w:rPr>
          <w:sz w:val="24"/>
          <w:szCs w:val="24"/>
        </w:rPr>
        <w:t>2) 1978.</w:t>
      </w:r>
    </w:p>
    <w:p w14:paraId="5A705DBA" w14:textId="266CDB0E" w:rsidR="000B3C57" w:rsidRPr="00BA4569" w:rsidRDefault="00CC0412" w:rsidP="00EA6587">
      <w:pPr>
        <w:shd w:val="clear" w:color="auto" w:fill="FFFFFF"/>
        <w:spacing w:after="60"/>
        <w:ind w:firstLine="288"/>
        <w:jc w:val="both"/>
        <w:rPr>
          <w:sz w:val="24"/>
          <w:szCs w:val="24"/>
        </w:rPr>
      </w:pPr>
      <w:r w:rsidRPr="00BA4569">
        <w:rPr>
          <w:sz w:val="24"/>
          <w:szCs w:val="24"/>
        </w:rPr>
        <w:t xml:space="preserve">(2) The </w:t>
      </w:r>
      <w:r w:rsidRPr="00BA4569">
        <w:rPr>
          <w:i/>
          <w:iCs/>
          <w:sz w:val="24"/>
          <w:szCs w:val="24"/>
        </w:rPr>
        <w:t xml:space="preserve">Remuneration Tribunals Act </w:t>
      </w:r>
      <w:r w:rsidRPr="00BA4569">
        <w:rPr>
          <w:sz w:val="24"/>
          <w:szCs w:val="24"/>
        </w:rPr>
        <w:t>1973 is in this Act referred to as the Principal Act.</w:t>
      </w:r>
    </w:p>
    <w:p w14:paraId="23C88808" w14:textId="77777777" w:rsidR="000B3C57" w:rsidRPr="00EA6587" w:rsidRDefault="00CC0412" w:rsidP="00EA6587">
      <w:pPr>
        <w:shd w:val="clear" w:color="auto" w:fill="FFFFFF"/>
        <w:spacing w:before="120" w:after="60"/>
        <w:jc w:val="both"/>
        <w:rPr>
          <w:b/>
          <w:szCs w:val="24"/>
        </w:rPr>
      </w:pPr>
      <w:r w:rsidRPr="00EA6587">
        <w:rPr>
          <w:b/>
          <w:szCs w:val="18"/>
        </w:rPr>
        <w:t>Commencement</w:t>
      </w:r>
    </w:p>
    <w:p w14:paraId="5F175E1E" w14:textId="77777777" w:rsidR="000B3C57" w:rsidRPr="00BA4569" w:rsidRDefault="00CC0412" w:rsidP="00EA6587">
      <w:pPr>
        <w:shd w:val="clear" w:color="auto" w:fill="FFFFFF"/>
        <w:spacing w:after="60"/>
        <w:ind w:firstLine="288"/>
        <w:jc w:val="both"/>
        <w:rPr>
          <w:sz w:val="24"/>
          <w:szCs w:val="24"/>
        </w:rPr>
      </w:pPr>
      <w:r w:rsidRPr="00BA4569">
        <w:rPr>
          <w:b/>
          <w:bCs/>
          <w:sz w:val="24"/>
          <w:szCs w:val="24"/>
        </w:rPr>
        <w:t>2.</w:t>
      </w:r>
      <w:r w:rsidRPr="00BA4569">
        <w:rPr>
          <w:sz w:val="24"/>
          <w:szCs w:val="24"/>
        </w:rPr>
        <w:t xml:space="preserve"> This Act shall come into operation on a date to be fixed by Proclamation.</w:t>
      </w:r>
    </w:p>
    <w:p w14:paraId="1E827C1E" w14:textId="77777777" w:rsidR="000B3C57" w:rsidRPr="00EA6587" w:rsidRDefault="00CC0412" w:rsidP="00EA6587">
      <w:pPr>
        <w:shd w:val="clear" w:color="auto" w:fill="FFFFFF"/>
        <w:spacing w:before="120" w:after="60"/>
        <w:jc w:val="both"/>
        <w:rPr>
          <w:b/>
          <w:szCs w:val="24"/>
        </w:rPr>
      </w:pPr>
      <w:r w:rsidRPr="00EA6587">
        <w:rPr>
          <w:b/>
          <w:szCs w:val="18"/>
        </w:rPr>
        <w:t>Establishment of Remuneration Tribunal</w:t>
      </w:r>
    </w:p>
    <w:p w14:paraId="0EE04EDD" w14:textId="77777777" w:rsidR="000B3C57" w:rsidRPr="00BA4569" w:rsidRDefault="00CC0412" w:rsidP="00EA6587">
      <w:pPr>
        <w:shd w:val="clear" w:color="auto" w:fill="FFFFFF"/>
        <w:spacing w:after="60"/>
        <w:ind w:firstLine="288"/>
        <w:jc w:val="both"/>
        <w:rPr>
          <w:sz w:val="24"/>
          <w:szCs w:val="24"/>
        </w:rPr>
      </w:pPr>
      <w:r w:rsidRPr="00BA4569">
        <w:rPr>
          <w:b/>
          <w:bCs/>
          <w:sz w:val="24"/>
          <w:szCs w:val="24"/>
        </w:rPr>
        <w:t>3.</w:t>
      </w:r>
      <w:r w:rsidRPr="00BA4569">
        <w:rPr>
          <w:sz w:val="24"/>
          <w:szCs w:val="24"/>
        </w:rPr>
        <w:t xml:space="preserve"> Section 4 of the Principal Act is amended by omitting from sub-section (6) all the words after </w:t>
      </w:r>
      <w:r w:rsidR="00BF6FEE" w:rsidRPr="00BA4569">
        <w:rPr>
          <w:sz w:val="24"/>
          <w:szCs w:val="24"/>
        </w:rPr>
        <w:t>“</w:t>
      </w:r>
      <w:r w:rsidRPr="00BA4569">
        <w:rPr>
          <w:sz w:val="24"/>
          <w:szCs w:val="24"/>
        </w:rPr>
        <w:t>State</w:t>
      </w:r>
      <w:r w:rsidR="00BF6FEE" w:rsidRPr="00BA4569">
        <w:rPr>
          <w:sz w:val="24"/>
          <w:szCs w:val="24"/>
        </w:rPr>
        <w:t>”</w:t>
      </w:r>
      <w:r w:rsidRPr="00BA4569">
        <w:rPr>
          <w:sz w:val="24"/>
          <w:szCs w:val="24"/>
        </w:rPr>
        <w:t xml:space="preserve"> (second occurring).</w:t>
      </w:r>
    </w:p>
    <w:p w14:paraId="4E3E1E18" w14:textId="77777777" w:rsidR="000B3C57" w:rsidRPr="00EA6587" w:rsidRDefault="00CC0412" w:rsidP="00EA6587">
      <w:pPr>
        <w:shd w:val="clear" w:color="auto" w:fill="FFFFFF"/>
        <w:spacing w:before="120" w:after="60"/>
        <w:jc w:val="both"/>
        <w:rPr>
          <w:b/>
          <w:szCs w:val="24"/>
        </w:rPr>
      </w:pPr>
      <w:r w:rsidRPr="00EA6587">
        <w:rPr>
          <w:b/>
          <w:szCs w:val="18"/>
        </w:rPr>
        <w:t>Establishment of Academic Salaries Tribunal</w:t>
      </w:r>
    </w:p>
    <w:p w14:paraId="40156632" w14:textId="78EE0464" w:rsidR="000B3C57" w:rsidRPr="00BA4569" w:rsidRDefault="00CC0412" w:rsidP="00EA6587">
      <w:pPr>
        <w:shd w:val="clear" w:color="auto" w:fill="FFFFFF"/>
        <w:spacing w:after="60"/>
        <w:ind w:firstLine="288"/>
        <w:jc w:val="both"/>
        <w:rPr>
          <w:sz w:val="24"/>
          <w:szCs w:val="24"/>
        </w:rPr>
      </w:pPr>
      <w:r w:rsidRPr="00BA4569">
        <w:rPr>
          <w:b/>
          <w:bCs/>
          <w:sz w:val="24"/>
          <w:szCs w:val="24"/>
        </w:rPr>
        <w:t>4.</w:t>
      </w:r>
      <w:r w:rsidRPr="00BA4569">
        <w:rPr>
          <w:sz w:val="24"/>
          <w:szCs w:val="24"/>
        </w:rPr>
        <w:t xml:space="preserve"> Section 12</w:t>
      </w:r>
      <w:r w:rsidR="00240A50">
        <w:rPr>
          <w:smallCaps/>
          <w:sz w:val="24"/>
          <w:szCs w:val="24"/>
        </w:rPr>
        <w:t>b</w:t>
      </w:r>
      <w:r w:rsidRPr="00BA4569">
        <w:rPr>
          <w:sz w:val="24"/>
          <w:szCs w:val="24"/>
        </w:rPr>
        <w:t xml:space="preserve"> of the Principal Act is amended by omitting sub-sections (2) and (3) and substituting the following sub-sections:</w:t>
      </w:r>
    </w:p>
    <w:p w14:paraId="2CB8F041" w14:textId="2F4D5402" w:rsidR="000B3C57" w:rsidRPr="00BA4569" w:rsidRDefault="00BF6FEE" w:rsidP="00752B03">
      <w:pPr>
        <w:shd w:val="clear" w:color="auto" w:fill="FFFFFF"/>
        <w:spacing w:after="60"/>
        <w:ind w:firstLine="288"/>
        <w:jc w:val="both"/>
        <w:rPr>
          <w:sz w:val="24"/>
          <w:szCs w:val="24"/>
        </w:rPr>
      </w:pPr>
      <w:r w:rsidRPr="00BA4569">
        <w:rPr>
          <w:sz w:val="24"/>
          <w:szCs w:val="24"/>
        </w:rPr>
        <w:t>“</w:t>
      </w:r>
      <w:r w:rsidR="00CC0412" w:rsidRPr="00BA4569">
        <w:rPr>
          <w:sz w:val="24"/>
          <w:szCs w:val="24"/>
        </w:rPr>
        <w:t>(2) Subject to sub-section (8), the Tribunal shall be constituted by a person appointed by the Governor-General on a part-time basis.</w:t>
      </w:r>
    </w:p>
    <w:p w14:paraId="001C419B" w14:textId="449C9D9A" w:rsidR="000B3C57" w:rsidRPr="00BA4569" w:rsidRDefault="00BF6FEE" w:rsidP="00752B03">
      <w:pPr>
        <w:shd w:val="clear" w:color="auto" w:fill="FFFFFF"/>
        <w:spacing w:after="60"/>
        <w:ind w:firstLine="288"/>
        <w:jc w:val="both"/>
        <w:rPr>
          <w:sz w:val="24"/>
          <w:szCs w:val="24"/>
        </w:rPr>
      </w:pPr>
      <w:r w:rsidRPr="00BA4569">
        <w:rPr>
          <w:sz w:val="24"/>
          <w:szCs w:val="24"/>
        </w:rPr>
        <w:t>“</w:t>
      </w:r>
      <w:r w:rsidR="00CC0412" w:rsidRPr="00BA4569">
        <w:rPr>
          <w:sz w:val="24"/>
          <w:szCs w:val="24"/>
        </w:rPr>
        <w:t>(3) Subject to this section, the person constituting the Tribunal holds office for such period, not exceeding 5 years, as is specified in the instrument of his appointment, but is eligible for re-appointment.</w:t>
      </w:r>
    </w:p>
    <w:p w14:paraId="3CE87A53" w14:textId="475704B9" w:rsidR="000B3C57" w:rsidRPr="00BA4569" w:rsidRDefault="00BF6FEE" w:rsidP="00752B03">
      <w:pPr>
        <w:shd w:val="clear" w:color="auto" w:fill="FFFFFF"/>
        <w:spacing w:after="60"/>
        <w:ind w:firstLine="288"/>
        <w:jc w:val="both"/>
        <w:rPr>
          <w:sz w:val="24"/>
          <w:szCs w:val="24"/>
        </w:rPr>
      </w:pPr>
      <w:r w:rsidRPr="00BA4569">
        <w:rPr>
          <w:sz w:val="24"/>
          <w:szCs w:val="24"/>
        </w:rPr>
        <w:t>“</w:t>
      </w:r>
      <w:r w:rsidR="00CC0412" w:rsidRPr="00BA4569">
        <w:rPr>
          <w:sz w:val="24"/>
          <w:szCs w:val="24"/>
        </w:rPr>
        <w:t>(4) A person shall not be appointed under sub-section (2) if he is, or has been during the immediately preceding period of 7 years, a member of the full-time staff of an institution of tertiary education.</w:t>
      </w:r>
    </w:p>
    <w:p w14:paraId="2D1A64BC" w14:textId="705CF6A2" w:rsidR="000B3C57" w:rsidRPr="00BA4569" w:rsidRDefault="00BF6FEE" w:rsidP="00752B03">
      <w:pPr>
        <w:shd w:val="clear" w:color="auto" w:fill="FFFFFF"/>
        <w:spacing w:after="60"/>
        <w:ind w:firstLine="288"/>
        <w:jc w:val="both"/>
        <w:rPr>
          <w:sz w:val="24"/>
          <w:szCs w:val="24"/>
        </w:rPr>
      </w:pPr>
      <w:r w:rsidRPr="00BA4569">
        <w:rPr>
          <w:sz w:val="24"/>
          <w:szCs w:val="24"/>
        </w:rPr>
        <w:t>“</w:t>
      </w:r>
      <w:r w:rsidR="00CC0412" w:rsidRPr="00BA4569">
        <w:rPr>
          <w:sz w:val="24"/>
          <w:szCs w:val="24"/>
        </w:rPr>
        <w:t>(5) The person constituting the Tribunal may resign his office by writing signed by him and delivered to the Governor-General.</w:t>
      </w:r>
    </w:p>
    <w:p w14:paraId="0E19C88B" w14:textId="396EA55B" w:rsidR="000B3C57" w:rsidRPr="00BA4569" w:rsidRDefault="00BF6FEE" w:rsidP="00752B03">
      <w:pPr>
        <w:shd w:val="clear" w:color="auto" w:fill="FFFFFF"/>
        <w:spacing w:after="60"/>
        <w:ind w:firstLine="288"/>
        <w:jc w:val="both"/>
        <w:rPr>
          <w:sz w:val="24"/>
          <w:szCs w:val="24"/>
        </w:rPr>
      </w:pPr>
      <w:r w:rsidRPr="00BA4569">
        <w:rPr>
          <w:sz w:val="24"/>
          <w:szCs w:val="24"/>
        </w:rPr>
        <w:t>“</w:t>
      </w:r>
      <w:r w:rsidR="00CC0412" w:rsidRPr="00BA4569">
        <w:rPr>
          <w:sz w:val="24"/>
          <w:szCs w:val="24"/>
        </w:rPr>
        <w:t>(6) The Governor-General may remove the person constituting the Tribunal from office for misbehaviour or physical or mental incapacity.</w:t>
      </w:r>
    </w:p>
    <w:p w14:paraId="63B0CC6B" w14:textId="5521FB67" w:rsidR="00EA6587" w:rsidRDefault="00BF6FEE" w:rsidP="00240A50">
      <w:pPr>
        <w:shd w:val="clear" w:color="auto" w:fill="FFFFFF"/>
        <w:spacing w:after="60"/>
        <w:ind w:firstLine="288"/>
        <w:jc w:val="both"/>
        <w:rPr>
          <w:sz w:val="24"/>
          <w:szCs w:val="24"/>
        </w:rPr>
      </w:pPr>
      <w:r w:rsidRPr="00BA4569">
        <w:rPr>
          <w:sz w:val="24"/>
          <w:szCs w:val="24"/>
        </w:rPr>
        <w:t>“</w:t>
      </w:r>
      <w:r w:rsidR="00CC0412" w:rsidRPr="00BA4569">
        <w:rPr>
          <w:sz w:val="24"/>
          <w:szCs w:val="24"/>
        </w:rPr>
        <w:t>(7) The person constituting the Tribunal ceases to hold office if he becomes a person who is ineligible for appointment by virtue of sub</w:t>
      </w:r>
      <w:r w:rsidR="00240A50">
        <w:rPr>
          <w:sz w:val="24"/>
          <w:szCs w:val="24"/>
        </w:rPr>
        <w:t>-</w:t>
      </w:r>
      <w:r w:rsidR="00CC0412" w:rsidRPr="00BA4569">
        <w:rPr>
          <w:sz w:val="24"/>
          <w:szCs w:val="24"/>
        </w:rPr>
        <w:t>section (4).</w:t>
      </w:r>
    </w:p>
    <w:p w14:paraId="109F0203" w14:textId="13B67EDB" w:rsidR="000B3C57" w:rsidRPr="00BA4569" w:rsidRDefault="00BF6FEE" w:rsidP="00EA6587">
      <w:pPr>
        <w:shd w:val="clear" w:color="auto" w:fill="FFFFFF"/>
        <w:spacing w:after="60"/>
        <w:ind w:firstLine="288"/>
        <w:jc w:val="both"/>
        <w:rPr>
          <w:sz w:val="24"/>
          <w:szCs w:val="24"/>
        </w:rPr>
      </w:pPr>
      <w:r w:rsidRPr="00BA4569">
        <w:rPr>
          <w:sz w:val="24"/>
          <w:szCs w:val="24"/>
        </w:rPr>
        <w:t>“</w:t>
      </w:r>
      <w:r w:rsidR="00CC0412" w:rsidRPr="00BA4569">
        <w:rPr>
          <w:sz w:val="24"/>
          <w:szCs w:val="24"/>
        </w:rPr>
        <w:t>(8) If the person constituting the Tribunal is unavailable to hold a particular inquiry, the Tribunal shall be constituted for the purposes of that inquiry, and of any determination or report resulting from that inquiry, by a person appointed by the Minister.</w:t>
      </w:r>
      <w:r w:rsidRPr="00BA4569">
        <w:rPr>
          <w:sz w:val="24"/>
          <w:szCs w:val="24"/>
        </w:rPr>
        <w:t>”</w:t>
      </w:r>
      <w:r w:rsidR="00CC0412" w:rsidRPr="00BA4569">
        <w:rPr>
          <w:sz w:val="24"/>
          <w:szCs w:val="24"/>
        </w:rPr>
        <w:t>.</w:t>
      </w:r>
    </w:p>
    <w:p w14:paraId="3F1CD819" w14:textId="77777777" w:rsidR="000B3C57" w:rsidRPr="00EA6587" w:rsidRDefault="00CC0412" w:rsidP="00EA6587">
      <w:pPr>
        <w:shd w:val="clear" w:color="auto" w:fill="FFFFFF"/>
        <w:spacing w:before="120" w:after="60"/>
        <w:jc w:val="both"/>
        <w:rPr>
          <w:b/>
          <w:szCs w:val="24"/>
        </w:rPr>
      </w:pPr>
      <w:r w:rsidRPr="00EA6587">
        <w:rPr>
          <w:b/>
          <w:szCs w:val="18"/>
        </w:rPr>
        <w:t>Minor amendments</w:t>
      </w:r>
    </w:p>
    <w:p w14:paraId="509B1AF6" w14:textId="77777777" w:rsidR="000B3C57" w:rsidRPr="00BA4569" w:rsidRDefault="00CC0412" w:rsidP="00EA6587">
      <w:pPr>
        <w:shd w:val="clear" w:color="auto" w:fill="FFFFFF"/>
        <w:spacing w:after="60"/>
        <w:ind w:firstLine="288"/>
        <w:jc w:val="both"/>
        <w:rPr>
          <w:sz w:val="24"/>
          <w:szCs w:val="24"/>
        </w:rPr>
      </w:pPr>
      <w:r w:rsidRPr="00BA4569">
        <w:rPr>
          <w:b/>
          <w:bCs/>
          <w:sz w:val="24"/>
          <w:szCs w:val="24"/>
        </w:rPr>
        <w:t>5.</w:t>
      </w:r>
      <w:r w:rsidRPr="00BA4569">
        <w:rPr>
          <w:sz w:val="24"/>
          <w:szCs w:val="24"/>
        </w:rPr>
        <w:t xml:space="preserve"> The Principal Act is amended as set out in the Schedule.</w:t>
      </w:r>
    </w:p>
    <w:p w14:paraId="69662E13" w14:textId="77777777" w:rsidR="000B3C57" w:rsidRPr="00EA6587" w:rsidRDefault="00CC0412" w:rsidP="00EA6587">
      <w:pPr>
        <w:shd w:val="clear" w:color="auto" w:fill="FFFFFF"/>
        <w:spacing w:before="120" w:after="60"/>
        <w:jc w:val="both"/>
        <w:rPr>
          <w:b/>
          <w:szCs w:val="24"/>
        </w:rPr>
      </w:pPr>
      <w:r w:rsidRPr="00EA6587">
        <w:rPr>
          <w:b/>
          <w:szCs w:val="18"/>
        </w:rPr>
        <w:t>Savings</w:t>
      </w:r>
    </w:p>
    <w:p w14:paraId="10027F86" w14:textId="032CA417" w:rsidR="000B3C57" w:rsidRPr="00BA4569" w:rsidRDefault="00CC0412" w:rsidP="00EA6587">
      <w:pPr>
        <w:shd w:val="clear" w:color="auto" w:fill="FFFFFF"/>
        <w:spacing w:after="60"/>
        <w:ind w:firstLine="288"/>
        <w:jc w:val="both"/>
        <w:rPr>
          <w:sz w:val="24"/>
          <w:szCs w:val="24"/>
        </w:rPr>
      </w:pPr>
      <w:r w:rsidRPr="00BA4569">
        <w:rPr>
          <w:b/>
          <w:bCs/>
          <w:sz w:val="24"/>
          <w:szCs w:val="24"/>
        </w:rPr>
        <w:t>6.</w:t>
      </w:r>
      <w:r w:rsidRPr="00BA4569">
        <w:rPr>
          <w:sz w:val="24"/>
          <w:szCs w:val="24"/>
        </w:rPr>
        <w:t xml:space="preserve"> A determination made by the Academic Salaries Tribunal, being that Tribunal as constituted by section </w:t>
      </w:r>
      <w:r w:rsidRPr="00BA4569">
        <w:rPr>
          <w:smallCaps/>
          <w:sz w:val="24"/>
          <w:szCs w:val="24"/>
        </w:rPr>
        <w:t xml:space="preserve">12b </w:t>
      </w:r>
      <w:r w:rsidRPr="00BA4569">
        <w:rPr>
          <w:sz w:val="24"/>
          <w:szCs w:val="24"/>
        </w:rPr>
        <w:t>of the Principal Act before the date of commencement of this Act, being a determination that was in operation immediately before that date, has effect on and after that date as if it had been made by the Academic Salaries Tribunal as constituted under section 12</w:t>
      </w:r>
      <w:r w:rsidR="00240A50">
        <w:rPr>
          <w:smallCaps/>
          <w:sz w:val="24"/>
          <w:szCs w:val="24"/>
        </w:rPr>
        <w:t>b</w:t>
      </w:r>
      <w:r w:rsidRPr="00BA4569">
        <w:rPr>
          <w:sz w:val="24"/>
          <w:szCs w:val="24"/>
        </w:rPr>
        <w:t xml:space="preserve"> of the Principal Act as amended by this Act.</w:t>
      </w:r>
    </w:p>
    <w:p w14:paraId="201B6F36" w14:textId="77777777" w:rsidR="00240A50" w:rsidRDefault="00240A50">
      <w:pPr>
        <w:widowControl/>
        <w:autoSpaceDE/>
        <w:autoSpaceDN/>
        <w:adjustRightInd/>
        <w:spacing w:after="200" w:line="276" w:lineRule="auto"/>
        <w:rPr>
          <w:sz w:val="24"/>
          <w:szCs w:val="18"/>
        </w:rPr>
      </w:pPr>
      <w:r>
        <w:rPr>
          <w:sz w:val="24"/>
          <w:szCs w:val="18"/>
        </w:rPr>
        <w:br w:type="page"/>
      </w:r>
    </w:p>
    <w:p w14:paraId="4AE2EB61" w14:textId="1779360E" w:rsidR="000B3C57" w:rsidRPr="0066604C" w:rsidRDefault="00331777" w:rsidP="00EA6587">
      <w:pPr>
        <w:shd w:val="clear" w:color="auto" w:fill="FFFFFF"/>
        <w:tabs>
          <w:tab w:val="left" w:pos="4770"/>
        </w:tabs>
        <w:spacing w:before="360"/>
        <w:jc w:val="right"/>
        <w:rPr>
          <w:sz w:val="22"/>
          <w:szCs w:val="24"/>
        </w:rPr>
      </w:pPr>
      <w:r>
        <w:rPr>
          <w:noProof/>
          <w:sz w:val="24"/>
          <w:szCs w:val="18"/>
          <w:lang w:val="en-AU" w:eastAsia="en-AU"/>
        </w:rPr>
        <w:lastRenderedPageBreak/>
        <mc:AlternateContent>
          <mc:Choice Requires="wps">
            <w:drawing>
              <wp:anchor distT="0" distB="0" distL="114300" distR="114300" simplePos="0" relativeHeight="251659264" behindDoc="0" locked="0" layoutInCell="1" allowOverlap="1" wp14:anchorId="70F2E3B5" wp14:editId="31169229">
                <wp:simplePos x="0" y="0"/>
                <wp:positionH relativeFrom="column">
                  <wp:posOffset>2737714</wp:posOffset>
                </wp:positionH>
                <wp:positionV relativeFrom="paragraph">
                  <wp:posOffset>30988</wp:posOffset>
                </wp:positionV>
                <wp:extent cx="555955"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5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55pt,2.45pt" to="259.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LtAEAALYDAAAOAAAAZHJzL2Uyb0RvYy54bWysU8GO0zAQvSPxD5bvNO1KQRA13UNXcEFQ&#10;sfABXmfcWNgea2za9O8Zu20WLQih1V4cj/3ezLznyfp28k4cgJLF0MvVYikFBI2DDftefv/24c07&#10;KVJWYVAOA/TyBEnebl6/Wh9jBzc4ohuABCcJqTvGXo45x65pkh7Bq7TACIEvDZJXmUPaNwOpI2f3&#10;rrlZLt82R6QhEmpIiU/vzpdyU/MbAzp/MSZBFq6X3FuuK9X1oazNZq26Pak4Wn1pQz2jC69s4KJz&#10;qjuVlfhJ9o9U3mrChCYvNPoGjbEaqgZWs1o+UXM/qghVC5uT4mxTerm0+vNhR8IO/HZSBOX5ie4z&#10;Kbsfs9hiCGwgklgVn44xdQzfhh1dohR3VERPhnz5shwxVW9Ps7cwZaH5sG3b920rhb5eNY+8SCl/&#10;BPSibHrpbCiqVacOn1LmWgy9QjgofZwr110+OShgF76CYSVca1XZdYZg60gcFL/+8KOq4FwVWSjG&#10;OjeTlv8mXbCFBnWu/pc4o2tFDHkmehuQ/lY1T9dWzRl/VX3WWmQ/4HCq71Dt4OGoLl0GuUzf73Gl&#10;P/5um18AAAD//wMAUEsDBBQABgAIAAAAIQAazCuG2wAAAAcBAAAPAAAAZHJzL2Rvd25yZXYueG1s&#10;TI5LT4RAEITvJv6HSZt4cwd8gciwMT5O7gHZPXicZVogy/QQZhbQX2/rRW9VqUrVl68X24sJR985&#10;UhCvIhBItTMdNQp225eLFIQPmozuHaGCT/SwLk5Pcp0ZN9MbTlVoBI+Qz7SCNoQhk9LXLVrtV25A&#10;4uzDjVYHtmMjzahnHre9vIyiW2l1R/zQ6gEfW6wP1dEqSJ5fq3KYnzZfpUxkWU4upId3pc7Plod7&#10;EAGX8FeGH3xGh4KZ9u5IxotewfVVHHOVxR0Izm/iNAGx//WyyOV//uIbAAD//wMAUEsBAi0AFAAG&#10;AAgAAAAhALaDOJL+AAAA4QEAABMAAAAAAAAAAAAAAAAAAAAAAFtDb250ZW50X1R5cGVzXS54bWxQ&#10;SwECLQAUAAYACAAAACEAOP0h/9YAAACUAQAACwAAAAAAAAAAAAAAAAAvAQAAX3JlbHMvLnJlbHNQ&#10;SwECLQAUAAYACAAAACEA8Kv+C7QBAAC2AwAADgAAAAAAAAAAAAAAAAAuAgAAZHJzL2Uyb0RvYy54&#10;bWxQSwECLQAUAAYACAAAACEAGswrhtsAAAAHAQAADwAAAAAAAAAAAAAAAAAOBAAAZHJzL2Rvd25y&#10;ZXYueG1sUEsFBgAAAAAEAAQA8wAAABYFAAAAAA==&#10;" strokecolor="black [3040]"/>
            </w:pict>
          </mc:Fallback>
        </mc:AlternateContent>
      </w:r>
      <w:r w:rsidR="00CC0412" w:rsidRPr="00BA4569">
        <w:rPr>
          <w:sz w:val="24"/>
          <w:szCs w:val="18"/>
        </w:rPr>
        <w:t>SCHEDULE</w:t>
      </w:r>
      <w:r w:rsidR="00EA6587">
        <w:rPr>
          <w:b/>
          <w:bCs/>
          <w:sz w:val="24"/>
          <w:szCs w:val="18"/>
        </w:rPr>
        <w:tab/>
      </w:r>
      <w:r w:rsidR="0066604C">
        <w:rPr>
          <w:sz w:val="22"/>
          <w:szCs w:val="18"/>
        </w:rPr>
        <w:t>Section 5</w:t>
      </w:r>
    </w:p>
    <w:p w14:paraId="7E6CCED0" w14:textId="77777777" w:rsidR="000B3C57" w:rsidRPr="0066604C" w:rsidRDefault="00CC0412" w:rsidP="00EA6587">
      <w:pPr>
        <w:shd w:val="clear" w:color="auto" w:fill="FFFFFF"/>
        <w:spacing w:before="60" w:after="60"/>
        <w:jc w:val="center"/>
        <w:rPr>
          <w:sz w:val="22"/>
          <w:szCs w:val="24"/>
        </w:rPr>
      </w:pPr>
      <w:r w:rsidRPr="0066604C">
        <w:rPr>
          <w:sz w:val="22"/>
          <w:szCs w:val="18"/>
        </w:rPr>
        <w:t>MINOR AMENDMENTS</w:t>
      </w:r>
    </w:p>
    <w:tbl>
      <w:tblPr>
        <w:tblW w:w="5000" w:type="pct"/>
        <w:jc w:val="center"/>
        <w:tblLayout w:type="fixed"/>
        <w:tblCellMar>
          <w:left w:w="40" w:type="dxa"/>
          <w:right w:w="40" w:type="dxa"/>
        </w:tblCellMar>
        <w:tblLook w:val="0000" w:firstRow="0" w:lastRow="0" w:firstColumn="0" w:lastColumn="0" w:noHBand="0" w:noVBand="0"/>
      </w:tblPr>
      <w:tblGrid>
        <w:gridCol w:w="4941"/>
        <w:gridCol w:w="4888"/>
      </w:tblGrid>
      <w:tr w:rsidR="000B3C57" w:rsidRPr="00BA4569" w14:paraId="5D15E876" w14:textId="77777777" w:rsidTr="00EA6587">
        <w:trPr>
          <w:trHeight w:val="240"/>
          <w:jc w:val="center"/>
        </w:trPr>
        <w:tc>
          <w:tcPr>
            <w:tcW w:w="3600" w:type="dxa"/>
            <w:tcBorders>
              <w:top w:val="single" w:sz="6" w:space="0" w:color="auto"/>
              <w:left w:val="nil"/>
              <w:bottom w:val="single" w:sz="6" w:space="0" w:color="auto"/>
              <w:right w:val="nil"/>
            </w:tcBorders>
            <w:shd w:val="clear" w:color="auto" w:fill="FFFFFF"/>
          </w:tcPr>
          <w:p w14:paraId="2F46F4F4" w14:textId="77777777" w:rsidR="000B3C57" w:rsidRPr="00BA4569" w:rsidRDefault="00CC0412">
            <w:pPr>
              <w:shd w:val="clear" w:color="auto" w:fill="FFFFFF"/>
              <w:rPr>
                <w:sz w:val="24"/>
                <w:szCs w:val="24"/>
              </w:rPr>
            </w:pPr>
            <w:r w:rsidRPr="00BA4569">
              <w:rPr>
                <w:sz w:val="24"/>
                <w:szCs w:val="18"/>
              </w:rPr>
              <w:t>Provision</w:t>
            </w:r>
          </w:p>
        </w:tc>
        <w:tc>
          <w:tcPr>
            <w:tcW w:w="3562" w:type="dxa"/>
            <w:tcBorders>
              <w:top w:val="single" w:sz="6" w:space="0" w:color="auto"/>
              <w:left w:val="nil"/>
              <w:bottom w:val="single" w:sz="6" w:space="0" w:color="auto"/>
              <w:right w:val="nil"/>
            </w:tcBorders>
            <w:shd w:val="clear" w:color="auto" w:fill="FFFFFF"/>
          </w:tcPr>
          <w:p w14:paraId="503003FD" w14:textId="77777777" w:rsidR="000B3C57" w:rsidRPr="00BA4569" w:rsidRDefault="00CC0412">
            <w:pPr>
              <w:shd w:val="clear" w:color="auto" w:fill="FFFFFF"/>
              <w:rPr>
                <w:sz w:val="24"/>
                <w:szCs w:val="24"/>
              </w:rPr>
            </w:pPr>
            <w:r w:rsidRPr="00BA4569">
              <w:rPr>
                <w:sz w:val="24"/>
                <w:szCs w:val="18"/>
              </w:rPr>
              <w:t>Amendment</w:t>
            </w:r>
          </w:p>
        </w:tc>
      </w:tr>
      <w:tr w:rsidR="000B3C57" w:rsidRPr="00BA4569" w14:paraId="624DD674" w14:textId="77777777" w:rsidTr="00EA6587">
        <w:trPr>
          <w:trHeight w:val="984"/>
          <w:jc w:val="center"/>
        </w:trPr>
        <w:tc>
          <w:tcPr>
            <w:tcW w:w="3600" w:type="dxa"/>
            <w:tcBorders>
              <w:top w:val="single" w:sz="6" w:space="0" w:color="auto"/>
              <w:left w:val="nil"/>
              <w:bottom w:val="nil"/>
              <w:right w:val="nil"/>
            </w:tcBorders>
            <w:shd w:val="clear" w:color="auto" w:fill="FFFFFF"/>
          </w:tcPr>
          <w:p w14:paraId="2C83D1C2" w14:textId="55DFE60B" w:rsidR="000B3C57" w:rsidRPr="00BA4569" w:rsidRDefault="00CC0412" w:rsidP="00240A50">
            <w:pPr>
              <w:shd w:val="clear" w:color="auto" w:fill="FFFFFF"/>
              <w:spacing w:before="100"/>
              <w:ind w:left="216" w:right="144" w:hanging="216"/>
              <w:jc w:val="both"/>
              <w:rPr>
                <w:sz w:val="24"/>
                <w:szCs w:val="24"/>
              </w:rPr>
            </w:pPr>
            <w:r w:rsidRPr="00BA4569">
              <w:rPr>
                <w:sz w:val="24"/>
                <w:szCs w:val="18"/>
              </w:rPr>
              <w:t xml:space="preserve">Sub-section 3(1) (definition of </w:t>
            </w:r>
            <w:r w:rsidR="00BF6FEE" w:rsidRPr="00BA4569">
              <w:rPr>
                <w:sz w:val="24"/>
                <w:szCs w:val="18"/>
              </w:rPr>
              <w:t>“</w:t>
            </w:r>
            <w:r w:rsidRPr="00BA4569">
              <w:rPr>
                <w:sz w:val="24"/>
                <w:szCs w:val="18"/>
              </w:rPr>
              <w:t>public statutory corporation</w:t>
            </w:r>
            <w:r w:rsidR="00BF6FEE" w:rsidRPr="00BA4569">
              <w:rPr>
                <w:sz w:val="24"/>
                <w:szCs w:val="18"/>
              </w:rPr>
              <w:t>”</w:t>
            </w:r>
            <w:r w:rsidRPr="00BA4569">
              <w:rPr>
                <w:sz w:val="24"/>
                <w:szCs w:val="18"/>
              </w:rPr>
              <w:t>), paragraphs 3(4)(a), (c) and (e), sub-sections 6(1) and 7(1), (2), (9) and (11),</w:t>
            </w:r>
            <w:r w:rsidR="00BF6FEE" w:rsidRPr="00BA4569">
              <w:rPr>
                <w:sz w:val="24"/>
                <w:szCs w:val="18"/>
              </w:rPr>
              <w:t xml:space="preserve"> </w:t>
            </w:r>
            <w:r w:rsidRPr="00BA4569">
              <w:rPr>
                <w:sz w:val="24"/>
                <w:szCs w:val="18"/>
              </w:rPr>
              <w:t>paragraph</w:t>
            </w:r>
            <w:r w:rsidR="00BF6FEE" w:rsidRPr="00BA4569">
              <w:rPr>
                <w:sz w:val="24"/>
                <w:szCs w:val="18"/>
              </w:rPr>
              <w:t xml:space="preserve"> </w:t>
            </w:r>
            <w:r w:rsidRPr="00BA4569">
              <w:rPr>
                <w:sz w:val="24"/>
                <w:szCs w:val="18"/>
              </w:rPr>
              <w:t>12</w:t>
            </w:r>
            <w:r w:rsidR="00240A50">
              <w:rPr>
                <w:smallCaps/>
                <w:sz w:val="24"/>
                <w:szCs w:val="18"/>
              </w:rPr>
              <w:t>c</w:t>
            </w:r>
            <w:r w:rsidRPr="00BA4569">
              <w:rPr>
                <w:sz w:val="24"/>
                <w:szCs w:val="18"/>
              </w:rPr>
              <w:t>(a),</w:t>
            </w:r>
            <w:r w:rsidR="00BF6FEE" w:rsidRPr="00BA4569">
              <w:rPr>
                <w:sz w:val="24"/>
                <w:szCs w:val="18"/>
              </w:rPr>
              <w:t xml:space="preserve"> </w:t>
            </w:r>
            <w:r w:rsidRPr="00BA4569">
              <w:rPr>
                <w:sz w:val="24"/>
                <w:szCs w:val="18"/>
              </w:rPr>
              <w:t xml:space="preserve">sub-paragraph </w:t>
            </w:r>
            <w:r w:rsidRPr="00BA4569">
              <w:rPr>
                <w:smallCaps/>
                <w:sz w:val="24"/>
                <w:szCs w:val="18"/>
              </w:rPr>
              <w:t>12d(2)(c)</w:t>
            </w:r>
            <w:r w:rsidRPr="00BA4569">
              <w:rPr>
                <w:sz w:val="24"/>
                <w:szCs w:val="18"/>
              </w:rPr>
              <w:t>(</w:t>
            </w:r>
            <w:proofErr w:type="spellStart"/>
            <w:r w:rsidRPr="00BA4569">
              <w:rPr>
                <w:sz w:val="24"/>
                <w:szCs w:val="18"/>
              </w:rPr>
              <w:t>i</w:t>
            </w:r>
            <w:proofErr w:type="spellEnd"/>
            <w:r w:rsidRPr="00BA4569">
              <w:rPr>
                <w:sz w:val="24"/>
                <w:szCs w:val="18"/>
              </w:rPr>
              <w:t xml:space="preserve">) and sub-section </w:t>
            </w:r>
            <w:r w:rsidRPr="00BA4569">
              <w:rPr>
                <w:smallCaps/>
                <w:sz w:val="24"/>
                <w:szCs w:val="18"/>
              </w:rPr>
              <w:t>12d</w:t>
            </w:r>
            <w:r w:rsidRPr="00BA4569">
              <w:rPr>
                <w:sz w:val="24"/>
                <w:szCs w:val="18"/>
              </w:rPr>
              <w:t>(7)</w:t>
            </w:r>
          </w:p>
        </w:tc>
        <w:tc>
          <w:tcPr>
            <w:tcW w:w="3562" w:type="dxa"/>
            <w:tcBorders>
              <w:top w:val="single" w:sz="6" w:space="0" w:color="auto"/>
              <w:left w:val="nil"/>
              <w:bottom w:val="nil"/>
              <w:right w:val="nil"/>
            </w:tcBorders>
            <w:shd w:val="clear" w:color="auto" w:fill="FFFFFF"/>
          </w:tcPr>
          <w:p w14:paraId="5812BF9D" w14:textId="77777777" w:rsidR="000B3C57" w:rsidRPr="00BA4569" w:rsidRDefault="00CC0412" w:rsidP="0066604C">
            <w:pPr>
              <w:shd w:val="clear" w:color="auto" w:fill="FFFFFF"/>
              <w:spacing w:before="100"/>
              <w:ind w:left="216" w:hanging="216"/>
              <w:jc w:val="both"/>
              <w:rPr>
                <w:sz w:val="24"/>
                <w:szCs w:val="24"/>
              </w:rPr>
            </w:pPr>
            <w:r w:rsidRPr="00BA4569">
              <w:rPr>
                <w:sz w:val="24"/>
                <w:szCs w:val="18"/>
              </w:rPr>
              <w:t xml:space="preserve">Omit </w:t>
            </w:r>
            <w:r w:rsidR="00BF6FEE" w:rsidRPr="00BA4569">
              <w:rPr>
                <w:sz w:val="24"/>
                <w:szCs w:val="18"/>
              </w:rPr>
              <w:t>“</w:t>
            </w:r>
            <w:r w:rsidRPr="00BA4569">
              <w:rPr>
                <w:sz w:val="24"/>
                <w:szCs w:val="18"/>
              </w:rPr>
              <w:t>Australia</w:t>
            </w:r>
            <w:r w:rsidR="00BF6FEE" w:rsidRPr="00BA4569">
              <w:rPr>
                <w:sz w:val="24"/>
                <w:szCs w:val="18"/>
              </w:rPr>
              <w:t>”</w:t>
            </w:r>
            <w:r w:rsidRPr="00BA4569">
              <w:rPr>
                <w:sz w:val="24"/>
                <w:szCs w:val="18"/>
              </w:rPr>
              <w:t xml:space="preserve"> (wherever occurring), substitute </w:t>
            </w:r>
            <w:r w:rsidR="00BF6FEE" w:rsidRPr="00BA4569">
              <w:rPr>
                <w:sz w:val="24"/>
                <w:szCs w:val="18"/>
              </w:rPr>
              <w:t>“</w:t>
            </w:r>
            <w:r w:rsidRPr="00BA4569">
              <w:rPr>
                <w:sz w:val="24"/>
                <w:szCs w:val="18"/>
              </w:rPr>
              <w:t>the Commonwealth</w:t>
            </w:r>
            <w:r w:rsidR="00BF6FEE" w:rsidRPr="00BA4569">
              <w:rPr>
                <w:sz w:val="24"/>
                <w:szCs w:val="18"/>
              </w:rPr>
              <w:t>”</w:t>
            </w:r>
            <w:r w:rsidRPr="00BA4569">
              <w:rPr>
                <w:sz w:val="24"/>
                <w:szCs w:val="18"/>
              </w:rPr>
              <w:t>.</w:t>
            </w:r>
          </w:p>
        </w:tc>
      </w:tr>
      <w:tr w:rsidR="000B3C57" w:rsidRPr="00BA4569" w14:paraId="2646C143" w14:textId="77777777" w:rsidTr="00EA6587">
        <w:trPr>
          <w:trHeight w:val="240"/>
          <w:jc w:val="center"/>
        </w:trPr>
        <w:tc>
          <w:tcPr>
            <w:tcW w:w="3600" w:type="dxa"/>
            <w:tcBorders>
              <w:top w:val="nil"/>
              <w:left w:val="nil"/>
              <w:bottom w:val="single" w:sz="6" w:space="0" w:color="auto"/>
              <w:right w:val="nil"/>
            </w:tcBorders>
            <w:shd w:val="clear" w:color="auto" w:fill="FFFFFF"/>
          </w:tcPr>
          <w:p w14:paraId="5F2919F9" w14:textId="6D3A5600" w:rsidR="000B3C57" w:rsidRPr="00BA4569" w:rsidRDefault="00CC0412" w:rsidP="00240A50">
            <w:pPr>
              <w:shd w:val="clear" w:color="auto" w:fill="FFFFFF"/>
              <w:tabs>
                <w:tab w:val="left" w:leader="dot" w:pos="4608"/>
              </w:tabs>
              <w:ind w:left="216" w:hanging="216"/>
              <w:jc w:val="both"/>
              <w:rPr>
                <w:sz w:val="24"/>
                <w:szCs w:val="24"/>
              </w:rPr>
            </w:pPr>
            <w:r w:rsidRPr="00BA4569">
              <w:rPr>
                <w:sz w:val="24"/>
                <w:szCs w:val="18"/>
              </w:rPr>
              <w:t>Paragraph 3(4)(n)</w:t>
            </w:r>
            <w:r w:rsidR="00EE3F1D">
              <w:rPr>
                <w:sz w:val="24"/>
                <w:szCs w:val="18"/>
              </w:rPr>
              <w:tab/>
            </w:r>
          </w:p>
        </w:tc>
        <w:tc>
          <w:tcPr>
            <w:tcW w:w="3562" w:type="dxa"/>
            <w:tcBorders>
              <w:top w:val="nil"/>
              <w:left w:val="nil"/>
              <w:bottom w:val="single" w:sz="6" w:space="0" w:color="auto"/>
              <w:right w:val="nil"/>
            </w:tcBorders>
            <w:shd w:val="clear" w:color="auto" w:fill="FFFFFF"/>
          </w:tcPr>
          <w:p w14:paraId="46D64CA2" w14:textId="77777777" w:rsidR="000B3C57" w:rsidRPr="00BA4569" w:rsidRDefault="00CC0412" w:rsidP="00EA6587">
            <w:pPr>
              <w:shd w:val="clear" w:color="auto" w:fill="FFFFFF"/>
              <w:ind w:left="216" w:hanging="216"/>
              <w:jc w:val="both"/>
              <w:rPr>
                <w:sz w:val="24"/>
                <w:szCs w:val="24"/>
              </w:rPr>
            </w:pPr>
            <w:r w:rsidRPr="00BA4569">
              <w:rPr>
                <w:sz w:val="24"/>
                <w:szCs w:val="18"/>
              </w:rPr>
              <w:t>Omit the paragraph.</w:t>
            </w:r>
          </w:p>
        </w:tc>
      </w:tr>
    </w:tbl>
    <w:p w14:paraId="740B4F6C" w14:textId="0977033B" w:rsidR="00CC0412" w:rsidRPr="00BA4569" w:rsidRDefault="00331777" w:rsidP="00240A50">
      <w:pPr>
        <w:shd w:val="clear" w:color="auto" w:fill="FFFFFF"/>
        <w:spacing w:before="360" w:after="240"/>
        <w:jc w:val="center"/>
        <w:rPr>
          <w:sz w:val="24"/>
          <w:szCs w:val="24"/>
        </w:rPr>
      </w:pPr>
      <w:r>
        <w:rPr>
          <w:b/>
          <w:bCs/>
          <w:noProof/>
          <w:sz w:val="24"/>
          <w:szCs w:val="24"/>
          <w:lang w:val="en-AU" w:eastAsia="en-AU"/>
        </w:rPr>
        <mc:AlternateContent>
          <mc:Choice Requires="wps">
            <w:drawing>
              <wp:anchor distT="0" distB="0" distL="114300" distR="114300" simplePos="0" relativeHeight="251660288" behindDoc="0" locked="0" layoutInCell="1" allowOverlap="1" wp14:anchorId="49F20F07" wp14:editId="66375B1A">
                <wp:simplePos x="0" y="0"/>
                <wp:positionH relativeFrom="column">
                  <wp:posOffset>-27432</wp:posOffset>
                </wp:positionH>
                <wp:positionV relativeFrom="paragraph">
                  <wp:posOffset>206629</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5pt,16.25pt" to="501.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1AtQEAALcDAAAOAAAAZHJzL2Uyb0RvYy54bWysU8Fu2zAMvQ/YPwi6L3aCoSiMOD2k2C7D&#10;FqzbB6gyFQuVRIHSEufvRymJO6zDMAy90KL0HslH0uu7yTtxAEoWQy+Xi1YKCBoHG/a9/P7tw7tb&#10;KVJWYVAOA/TyBEnebd6+WR9jBysc0Q1AgoOE1B1jL8ecY9c0SY/gVVpghMCPBsmrzC7tm4HUkaN7&#10;16za9qY5Ig2RUENKfHt/fpSbGt8Y0PmLMQmycL3k2nK1VO1jsc1mrbo9qThafSlD/UcVXtnASedQ&#10;9yor8YPsi1DeasKEJi80+gaNsRqqBlazbH9T8zCqCFULNyfFuU3p9cLqz4cdCTv0ciVFUJ5H9JBJ&#10;2f2YxRZD4AYiiVXp0zGmjuHbsKOLl+KOiujJkC9fliOm2tvT3FuYstB8efO+bW9bHoG+vjXPxEgp&#10;fwT0ohx66WwoslWnDp9S5mQMvULYKYWcU9dTPjkoYBe+gmEpnGxZ2XWJYOtIHBSPf3haFhkcqyIL&#10;xVjnZlL7d9IFW2hQF+tfiTO6ZsSQZ6K3AelPWfN0LdWc8VfVZ61F9iMOpzqI2g7ejqrsssll/X71&#10;K/35f9v8BAAA//8DAFBLAwQUAAYACAAAACEAoY58i94AAAAJAQAADwAAAGRycy9kb3ducmV2Lnht&#10;bEyPwU7DMBBE70j8g7VI3FqbBpoqjVNVBU5wSAOHHt14SaLG6yh2k8DX46oHOM7OaOZtuplMywbs&#10;XWNJwsNcAEMqrW6okvD58TpbAXNekVatJZTwjQ422e1NqhJtR9rjUPiKhRJyiZJQe98lnLuyRqPc&#10;3HZIwfuyvVE+yL7iuldjKDctXwix5EY1FBZq1eGuxvJUnI2E+OWtyLvx+f0n5zHP88H61ekg5f3d&#10;tF0D8zj5vzBc8AM6ZIHpaM+kHWslzB6jkJQQLZ6AXXwhohjY8XrhWcr/f5D9AgAA//8DAFBLAQIt&#10;ABQABgAIAAAAIQC2gziS/gAAAOEBAAATAAAAAAAAAAAAAAAAAAAAAABbQ29udGVudF9UeXBlc10u&#10;eG1sUEsBAi0AFAAGAAgAAAAhADj9If/WAAAAlAEAAAsAAAAAAAAAAAAAAAAALwEAAF9yZWxzLy5y&#10;ZWxzUEsBAi0AFAAGAAgAAAAhAMJRXUC1AQAAtwMAAA4AAAAAAAAAAAAAAAAALgIAAGRycy9lMm9E&#10;b2MueG1sUEsBAi0AFAAGAAgAAAAhAKGOfIveAAAACQEAAA8AAAAAAAAAAAAAAAAADwQAAGRycy9k&#10;b3ducmV2LnhtbFBLBQYAAAAABAAEAPMAAAAaBQAAAAA=&#10;" strokecolor="black [3040]"/>
            </w:pict>
          </mc:Fallback>
        </mc:AlternateContent>
      </w:r>
    </w:p>
    <w:sectPr w:rsidR="00CC0412" w:rsidRPr="00BA4569" w:rsidSect="00127493">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CD963" w14:textId="77777777" w:rsidR="001C2102" w:rsidRDefault="001C2102" w:rsidP="00127493">
      <w:r>
        <w:separator/>
      </w:r>
    </w:p>
  </w:endnote>
  <w:endnote w:type="continuationSeparator" w:id="0">
    <w:p w14:paraId="503418CC" w14:textId="77777777" w:rsidR="001C2102" w:rsidRDefault="001C2102" w:rsidP="0012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047DB" w14:textId="77777777" w:rsidR="001C2102" w:rsidRDefault="001C2102" w:rsidP="00127493">
      <w:r>
        <w:separator/>
      </w:r>
    </w:p>
  </w:footnote>
  <w:footnote w:type="continuationSeparator" w:id="0">
    <w:p w14:paraId="2757D7B2" w14:textId="77777777" w:rsidR="001C2102" w:rsidRDefault="001C2102" w:rsidP="00127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B6BDA" w14:textId="77777777" w:rsidR="00127493" w:rsidRPr="00BF0B93" w:rsidRDefault="00127493" w:rsidP="00127493">
    <w:pPr>
      <w:pStyle w:val="Header"/>
      <w:tabs>
        <w:tab w:val="clear" w:pos="9360"/>
        <w:tab w:val="right" w:pos="9720"/>
      </w:tabs>
      <w:rPr>
        <w:sz w:val="22"/>
      </w:rPr>
    </w:pPr>
    <w:r w:rsidRPr="00BF0B93">
      <w:rPr>
        <w:bCs/>
        <w:sz w:val="22"/>
      </w:rPr>
      <w:t>1978</w:t>
    </w:r>
    <w:r w:rsidRPr="00BF0B93">
      <w:rPr>
        <w:bCs/>
        <w:sz w:val="22"/>
      </w:rPr>
      <w:tab/>
    </w:r>
    <w:r w:rsidRPr="00BF0B93">
      <w:rPr>
        <w:i/>
        <w:iCs/>
        <w:sz w:val="22"/>
        <w:szCs w:val="22"/>
      </w:rPr>
      <w:t xml:space="preserve">Remuneration Tribunals Amendment </w:t>
    </w:r>
    <w:r w:rsidRPr="00240A50">
      <w:rPr>
        <w:iCs/>
        <w:sz w:val="22"/>
        <w:szCs w:val="22"/>
      </w:rPr>
      <w:t>(</w:t>
    </w:r>
    <w:r w:rsidRPr="00BF0B93">
      <w:rPr>
        <w:i/>
        <w:iCs/>
        <w:sz w:val="22"/>
        <w:szCs w:val="22"/>
      </w:rPr>
      <w:t xml:space="preserve">No. </w:t>
    </w:r>
    <w:r w:rsidRPr="00240A50">
      <w:rPr>
        <w:iCs/>
        <w:sz w:val="22"/>
        <w:szCs w:val="22"/>
      </w:rPr>
      <w:t>2)</w:t>
    </w:r>
    <w:r w:rsidRPr="00BF0B93">
      <w:rPr>
        <w:i/>
        <w:iCs/>
        <w:sz w:val="22"/>
        <w:szCs w:val="22"/>
      </w:rPr>
      <w:tab/>
    </w:r>
    <w:r w:rsidRPr="00BF0B93">
      <w:rPr>
        <w:sz w:val="22"/>
        <w:szCs w:val="22"/>
      </w:rPr>
      <w:t xml:space="preserve">No. </w:t>
    </w:r>
    <w:r w:rsidRPr="00BF0B93">
      <w:rPr>
        <w:bCs/>
        <w:sz w:val="22"/>
        <w:szCs w:val="22"/>
      </w:rPr>
      <w:t>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A11E2F607D294A1984E852EEEE9FBDEF"/>
      </w:placeholder>
      <w:temporary/>
      <w:showingPlcHdr/>
    </w:sdtPr>
    <w:sdtContent>
      <w:p w14:paraId="3FB86F4F" w14:textId="77777777" w:rsidR="00127493" w:rsidRDefault="00127493">
        <w:pPr>
          <w:pStyle w:val="Header"/>
        </w:pPr>
        <w:r>
          <w:t>[Type text]</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EE"/>
    <w:rsid w:val="000B3C57"/>
    <w:rsid w:val="00127493"/>
    <w:rsid w:val="001C2102"/>
    <w:rsid w:val="00240A50"/>
    <w:rsid w:val="00331777"/>
    <w:rsid w:val="00454A49"/>
    <w:rsid w:val="0066604C"/>
    <w:rsid w:val="00752B03"/>
    <w:rsid w:val="007C5384"/>
    <w:rsid w:val="00806C24"/>
    <w:rsid w:val="008D7788"/>
    <w:rsid w:val="008F291B"/>
    <w:rsid w:val="00B4722A"/>
    <w:rsid w:val="00BA4569"/>
    <w:rsid w:val="00BF0B93"/>
    <w:rsid w:val="00BF6FEE"/>
    <w:rsid w:val="00C457ED"/>
    <w:rsid w:val="00CC0412"/>
    <w:rsid w:val="00CC57C7"/>
    <w:rsid w:val="00CD2F16"/>
    <w:rsid w:val="00EA6587"/>
    <w:rsid w:val="00EE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ADB79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493"/>
    <w:pPr>
      <w:tabs>
        <w:tab w:val="center" w:pos="4680"/>
        <w:tab w:val="right" w:pos="9360"/>
      </w:tabs>
    </w:pPr>
  </w:style>
  <w:style w:type="character" w:customStyle="1" w:styleId="HeaderChar">
    <w:name w:val="Header Char"/>
    <w:basedOn w:val="DefaultParagraphFont"/>
    <w:link w:val="Header"/>
    <w:uiPriority w:val="99"/>
    <w:rsid w:val="00127493"/>
    <w:rPr>
      <w:rFonts w:ascii="Times New Roman" w:hAnsi="Times New Roman" w:cs="Times New Roman"/>
      <w:sz w:val="20"/>
      <w:szCs w:val="20"/>
    </w:rPr>
  </w:style>
  <w:style w:type="paragraph" w:styleId="Footer">
    <w:name w:val="footer"/>
    <w:basedOn w:val="Normal"/>
    <w:link w:val="FooterChar"/>
    <w:uiPriority w:val="99"/>
    <w:unhideWhenUsed/>
    <w:rsid w:val="00127493"/>
    <w:pPr>
      <w:tabs>
        <w:tab w:val="center" w:pos="4680"/>
        <w:tab w:val="right" w:pos="9360"/>
      </w:tabs>
    </w:pPr>
  </w:style>
  <w:style w:type="character" w:customStyle="1" w:styleId="FooterChar">
    <w:name w:val="Footer Char"/>
    <w:basedOn w:val="DefaultParagraphFont"/>
    <w:link w:val="Footer"/>
    <w:uiPriority w:val="99"/>
    <w:rsid w:val="0012749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27493"/>
    <w:rPr>
      <w:rFonts w:ascii="Tahoma" w:hAnsi="Tahoma" w:cs="Tahoma"/>
      <w:sz w:val="16"/>
      <w:szCs w:val="16"/>
    </w:rPr>
  </w:style>
  <w:style w:type="character" w:customStyle="1" w:styleId="BalloonTextChar">
    <w:name w:val="Balloon Text Char"/>
    <w:basedOn w:val="DefaultParagraphFont"/>
    <w:link w:val="BalloonText"/>
    <w:uiPriority w:val="99"/>
    <w:semiHidden/>
    <w:rsid w:val="00127493"/>
    <w:rPr>
      <w:rFonts w:ascii="Tahoma" w:hAnsi="Tahoma" w:cs="Tahoma"/>
      <w:sz w:val="16"/>
      <w:szCs w:val="16"/>
    </w:rPr>
  </w:style>
  <w:style w:type="character" w:styleId="CommentReference">
    <w:name w:val="annotation reference"/>
    <w:basedOn w:val="DefaultParagraphFont"/>
    <w:uiPriority w:val="99"/>
    <w:semiHidden/>
    <w:unhideWhenUsed/>
    <w:rsid w:val="00CC57C7"/>
    <w:rPr>
      <w:sz w:val="16"/>
      <w:szCs w:val="16"/>
    </w:rPr>
  </w:style>
  <w:style w:type="paragraph" w:styleId="CommentText">
    <w:name w:val="annotation text"/>
    <w:basedOn w:val="Normal"/>
    <w:link w:val="CommentTextChar"/>
    <w:uiPriority w:val="99"/>
    <w:semiHidden/>
    <w:unhideWhenUsed/>
    <w:rsid w:val="00CC57C7"/>
  </w:style>
  <w:style w:type="character" w:customStyle="1" w:styleId="CommentTextChar">
    <w:name w:val="Comment Text Char"/>
    <w:basedOn w:val="DefaultParagraphFont"/>
    <w:link w:val="CommentText"/>
    <w:uiPriority w:val="99"/>
    <w:semiHidden/>
    <w:rsid w:val="00CC57C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7C7"/>
    <w:rPr>
      <w:b/>
      <w:bCs/>
    </w:rPr>
  </w:style>
  <w:style w:type="character" w:customStyle="1" w:styleId="CommentSubjectChar">
    <w:name w:val="Comment Subject Char"/>
    <w:basedOn w:val="CommentTextChar"/>
    <w:link w:val="CommentSubject"/>
    <w:uiPriority w:val="99"/>
    <w:semiHidden/>
    <w:rsid w:val="00CC57C7"/>
    <w:rPr>
      <w:rFonts w:ascii="Times New Roman" w:hAnsi="Times New Roman" w:cs="Times New Roman"/>
      <w:b/>
      <w:bCs/>
      <w:sz w:val="20"/>
      <w:szCs w:val="20"/>
    </w:rPr>
  </w:style>
  <w:style w:type="paragraph" w:styleId="Revision">
    <w:name w:val="Revision"/>
    <w:hidden/>
    <w:uiPriority w:val="99"/>
    <w:semiHidden/>
    <w:rsid w:val="00240A50"/>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493"/>
    <w:pPr>
      <w:tabs>
        <w:tab w:val="center" w:pos="4680"/>
        <w:tab w:val="right" w:pos="9360"/>
      </w:tabs>
    </w:pPr>
  </w:style>
  <w:style w:type="character" w:customStyle="1" w:styleId="HeaderChar">
    <w:name w:val="Header Char"/>
    <w:basedOn w:val="DefaultParagraphFont"/>
    <w:link w:val="Header"/>
    <w:uiPriority w:val="99"/>
    <w:rsid w:val="00127493"/>
    <w:rPr>
      <w:rFonts w:ascii="Times New Roman" w:hAnsi="Times New Roman" w:cs="Times New Roman"/>
      <w:sz w:val="20"/>
      <w:szCs w:val="20"/>
    </w:rPr>
  </w:style>
  <w:style w:type="paragraph" w:styleId="Footer">
    <w:name w:val="footer"/>
    <w:basedOn w:val="Normal"/>
    <w:link w:val="FooterChar"/>
    <w:uiPriority w:val="99"/>
    <w:unhideWhenUsed/>
    <w:rsid w:val="00127493"/>
    <w:pPr>
      <w:tabs>
        <w:tab w:val="center" w:pos="4680"/>
        <w:tab w:val="right" w:pos="9360"/>
      </w:tabs>
    </w:pPr>
  </w:style>
  <w:style w:type="character" w:customStyle="1" w:styleId="FooterChar">
    <w:name w:val="Footer Char"/>
    <w:basedOn w:val="DefaultParagraphFont"/>
    <w:link w:val="Footer"/>
    <w:uiPriority w:val="99"/>
    <w:rsid w:val="0012749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27493"/>
    <w:rPr>
      <w:rFonts w:ascii="Tahoma" w:hAnsi="Tahoma" w:cs="Tahoma"/>
      <w:sz w:val="16"/>
      <w:szCs w:val="16"/>
    </w:rPr>
  </w:style>
  <w:style w:type="character" w:customStyle="1" w:styleId="BalloonTextChar">
    <w:name w:val="Balloon Text Char"/>
    <w:basedOn w:val="DefaultParagraphFont"/>
    <w:link w:val="BalloonText"/>
    <w:uiPriority w:val="99"/>
    <w:semiHidden/>
    <w:rsid w:val="00127493"/>
    <w:rPr>
      <w:rFonts w:ascii="Tahoma" w:hAnsi="Tahoma" w:cs="Tahoma"/>
      <w:sz w:val="16"/>
      <w:szCs w:val="16"/>
    </w:rPr>
  </w:style>
  <w:style w:type="character" w:styleId="CommentReference">
    <w:name w:val="annotation reference"/>
    <w:basedOn w:val="DefaultParagraphFont"/>
    <w:uiPriority w:val="99"/>
    <w:semiHidden/>
    <w:unhideWhenUsed/>
    <w:rsid w:val="00CC57C7"/>
    <w:rPr>
      <w:sz w:val="16"/>
      <w:szCs w:val="16"/>
    </w:rPr>
  </w:style>
  <w:style w:type="paragraph" w:styleId="CommentText">
    <w:name w:val="annotation text"/>
    <w:basedOn w:val="Normal"/>
    <w:link w:val="CommentTextChar"/>
    <w:uiPriority w:val="99"/>
    <w:semiHidden/>
    <w:unhideWhenUsed/>
    <w:rsid w:val="00CC57C7"/>
  </w:style>
  <w:style w:type="character" w:customStyle="1" w:styleId="CommentTextChar">
    <w:name w:val="Comment Text Char"/>
    <w:basedOn w:val="DefaultParagraphFont"/>
    <w:link w:val="CommentText"/>
    <w:uiPriority w:val="99"/>
    <w:semiHidden/>
    <w:rsid w:val="00CC57C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7C7"/>
    <w:rPr>
      <w:b/>
      <w:bCs/>
    </w:rPr>
  </w:style>
  <w:style w:type="character" w:customStyle="1" w:styleId="CommentSubjectChar">
    <w:name w:val="Comment Subject Char"/>
    <w:basedOn w:val="CommentTextChar"/>
    <w:link w:val="CommentSubject"/>
    <w:uiPriority w:val="99"/>
    <w:semiHidden/>
    <w:rsid w:val="00CC57C7"/>
    <w:rPr>
      <w:rFonts w:ascii="Times New Roman" w:hAnsi="Times New Roman" w:cs="Times New Roman"/>
      <w:b/>
      <w:bCs/>
      <w:sz w:val="20"/>
      <w:szCs w:val="20"/>
    </w:rPr>
  </w:style>
  <w:style w:type="paragraph" w:styleId="Revision">
    <w:name w:val="Revision"/>
    <w:hidden/>
    <w:uiPriority w:val="99"/>
    <w:semiHidden/>
    <w:rsid w:val="00240A50"/>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4753">
      <w:bodyDiv w:val="1"/>
      <w:marLeft w:val="0"/>
      <w:marRight w:val="0"/>
      <w:marTop w:val="0"/>
      <w:marBottom w:val="0"/>
      <w:divBdr>
        <w:top w:val="none" w:sz="0" w:space="0" w:color="auto"/>
        <w:left w:val="none" w:sz="0" w:space="0" w:color="auto"/>
        <w:bottom w:val="none" w:sz="0" w:space="0" w:color="auto"/>
        <w:right w:val="none" w:sz="0" w:space="0" w:color="auto"/>
      </w:divBdr>
    </w:div>
    <w:div w:id="577522284">
      <w:bodyDiv w:val="1"/>
      <w:marLeft w:val="0"/>
      <w:marRight w:val="0"/>
      <w:marTop w:val="0"/>
      <w:marBottom w:val="0"/>
      <w:divBdr>
        <w:top w:val="none" w:sz="0" w:space="0" w:color="auto"/>
        <w:left w:val="none" w:sz="0" w:space="0" w:color="auto"/>
        <w:bottom w:val="none" w:sz="0" w:space="0" w:color="auto"/>
        <w:right w:val="none" w:sz="0" w:space="0" w:color="auto"/>
      </w:divBdr>
    </w:div>
    <w:div w:id="1025638462">
      <w:bodyDiv w:val="1"/>
      <w:marLeft w:val="0"/>
      <w:marRight w:val="0"/>
      <w:marTop w:val="0"/>
      <w:marBottom w:val="0"/>
      <w:divBdr>
        <w:top w:val="none" w:sz="0" w:space="0" w:color="auto"/>
        <w:left w:val="none" w:sz="0" w:space="0" w:color="auto"/>
        <w:bottom w:val="none" w:sz="0" w:space="0" w:color="auto"/>
        <w:right w:val="none" w:sz="0" w:space="0" w:color="auto"/>
      </w:divBdr>
    </w:div>
    <w:div w:id="1707560598">
      <w:bodyDiv w:val="1"/>
      <w:marLeft w:val="0"/>
      <w:marRight w:val="0"/>
      <w:marTop w:val="0"/>
      <w:marBottom w:val="0"/>
      <w:divBdr>
        <w:top w:val="none" w:sz="0" w:space="0" w:color="auto"/>
        <w:left w:val="none" w:sz="0" w:space="0" w:color="auto"/>
        <w:bottom w:val="none" w:sz="0" w:space="0" w:color="auto"/>
        <w:right w:val="none" w:sz="0" w:space="0" w:color="auto"/>
      </w:divBdr>
    </w:div>
    <w:div w:id="1778789246">
      <w:bodyDiv w:val="1"/>
      <w:marLeft w:val="0"/>
      <w:marRight w:val="0"/>
      <w:marTop w:val="0"/>
      <w:marBottom w:val="0"/>
      <w:divBdr>
        <w:top w:val="none" w:sz="0" w:space="0" w:color="auto"/>
        <w:left w:val="none" w:sz="0" w:space="0" w:color="auto"/>
        <w:bottom w:val="none" w:sz="0" w:space="0" w:color="auto"/>
        <w:right w:val="none" w:sz="0" w:space="0" w:color="auto"/>
      </w:divBdr>
    </w:div>
    <w:div w:id="18774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1E2F607D294A1984E852EEEE9FBDEF"/>
        <w:category>
          <w:name w:val="General"/>
          <w:gallery w:val="placeholder"/>
        </w:category>
        <w:types>
          <w:type w:val="bbPlcHdr"/>
        </w:types>
        <w:behaviors>
          <w:behavior w:val="content"/>
        </w:behaviors>
        <w:guid w:val="{EBEA50FF-7242-4795-BEA9-CBA35172DED0}"/>
      </w:docPartPr>
      <w:docPartBody>
        <w:p w:rsidR="00C9612A" w:rsidRDefault="008E0733" w:rsidP="008E0733">
          <w:pPr>
            <w:pStyle w:val="A11E2F607D294A1984E852EEEE9FBDE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33"/>
    <w:rsid w:val="00112B02"/>
    <w:rsid w:val="008E0733"/>
    <w:rsid w:val="00A743BC"/>
    <w:rsid w:val="00C9612A"/>
    <w:rsid w:val="00D5575B"/>
    <w:rsid w:val="00E45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E2F607D294A1984E852EEEE9FBDEF">
    <w:name w:val="A11E2F607D294A1984E852EEEE9FBDEF"/>
    <w:rsid w:val="008E07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E2F607D294A1984E852EEEE9FBDEF">
    <w:name w:val="A11E2F607D294A1984E852EEEE9FBDEF"/>
    <w:rsid w:val="008E0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470</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Harper, Michael</cp:lastModifiedBy>
  <cp:revision>1</cp:revision>
  <dcterms:created xsi:type="dcterms:W3CDTF">2018-10-17T23:03:00Z</dcterms:created>
  <dcterms:modified xsi:type="dcterms:W3CDTF">2019-09-29T21:55:00Z</dcterms:modified>
</cp:coreProperties>
</file>