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72C09" w14:textId="77777777" w:rsidR="00E32617" w:rsidRPr="0019672F" w:rsidRDefault="00704BF9" w:rsidP="00FA2417">
      <w:pPr>
        <w:shd w:val="clear" w:color="auto" w:fill="FFFFFF"/>
        <w:ind w:left="1440" w:right="1440"/>
        <w:jc w:val="center"/>
        <w:rPr>
          <w:rFonts w:cs="Arial"/>
          <w:sz w:val="32"/>
          <w:szCs w:val="24"/>
        </w:rPr>
      </w:pPr>
      <w:r w:rsidRPr="0019672F">
        <w:rPr>
          <w:rFonts w:cs="Arial"/>
          <w:b/>
          <w:bCs/>
          <w:sz w:val="32"/>
          <w:szCs w:val="28"/>
        </w:rPr>
        <w:t>WEIGHTS AND MEASURES (NATIONAL</w:t>
      </w:r>
      <w:r w:rsidR="00FA2417" w:rsidRPr="0019672F">
        <w:rPr>
          <w:rFonts w:cs="Arial"/>
          <w:b/>
          <w:bCs/>
          <w:sz w:val="32"/>
          <w:szCs w:val="28"/>
        </w:rPr>
        <w:t xml:space="preserve"> </w:t>
      </w:r>
      <w:r w:rsidRPr="0019672F">
        <w:rPr>
          <w:rFonts w:cs="Arial"/>
          <w:b/>
          <w:bCs/>
          <w:sz w:val="32"/>
          <w:szCs w:val="28"/>
        </w:rPr>
        <w:t>STANDARDS) AMENDMENT ACT 1978</w:t>
      </w:r>
    </w:p>
    <w:p w14:paraId="2421017B" w14:textId="77777777" w:rsidR="00E32617" w:rsidRPr="0019672F" w:rsidRDefault="00704BF9" w:rsidP="0057077E">
      <w:pPr>
        <w:shd w:val="clear" w:color="auto" w:fill="FFFFFF"/>
        <w:spacing w:before="240" w:after="360"/>
        <w:jc w:val="center"/>
        <w:rPr>
          <w:rFonts w:cs="Arial"/>
          <w:sz w:val="28"/>
          <w:szCs w:val="24"/>
        </w:rPr>
      </w:pPr>
      <w:r w:rsidRPr="0019672F">
        <w:rPr>
          <w:rFonts w:cs="Arial"/>
          <w:b/>
          <w:bCs/>
          <w:sz w:val="28"/>
          <w:szCs w:val="28"/>
        </w:rPr>
        <w:t>No. 158 of 1978</w:t>
      </w:r>
    </w:p>
    <w:p w14:paraId="2142911B" w14:textId="77777777" w:rsidR="00E32617" w:rsidRPr="0019672F" w:rsidRDefault="00704BF9" w:rsidP="008B69E5">
      <w:pPr>
        <w:shd w:val="clear" w:color="auto" w:fill="FFFFFF"/>
        <w:jc w:val="both"/>
        <w:rPr>
          <w:rFonts w:cs="Arial"/>
          <w:sz w:val="24"/>
          <w:szCs w:val="24"/>
        </w:rPr>
      </w:pPr>
      <w:r w:rsidRPr="0019672F">
        <w:rPr>
          <w:sz w:val="24"/>
          <w:szCs w:val="24"/>
        </w:rPr>
        <w:t xml:space="preserve">An Act to amend the </w:t>
      </w:r>
      <w:r w:rsidRPr="0019672F">
        <w:rPr>
          <w:i/>
          <w:iCs/>
          <w:sz w:val="24"/>
          <w:szCs w:val="24"/>
        </w:rPr>
        <w:t xml:space="preserve">Weights and Measures (National Standards) Act </w:t>
      </w:r>
      <w:r w:rsidRPr="0019672F">
        <w:rPr>
          <w:sz w:val="24"/>
          <w:szCs w:val="24"/>
        </w:rPr>
        <w:t>1960.</w:t>
      </w:r>
    </w:p>
    <w:p w14:paraId="11C58A99" w14:textId="77777777" w:rsidR="00E32617" w:rsidRPr="0019672F" w:rsidRDefault="00704BF9" w:rsidP="00632B03">
      <w:pPr>
        <w:shd w:val="clear" w:color="auto" w:fill="FFFFFF"/>
        <w:spacing w:before="360" w:after="240"/>
        <w:ind w:firstLine="432"/>
        <w:jc w:val="both"/>
        <w:rPr>
          <w:rFonts w:cs="Arial"/>
          <w:sz w:val="24"/>
          <w:szCs w:val="24"/>
        </w:rPr>
      </w:pPr>
      <w:r w:rsidRPr="0019672F">
        <w:rPr>
          <w:sz w:val="24"/>
          <w:szCs w:val="24"/>
        </w:rPr>
        <w:t>BE IT ENACTED by the Queen, and the Senate and House of Representatives of the Commonwealth of Australia, as follows:</w:t>
      </w:r>
    </w:p>
    <w:p w14:paraId="6262B9E1" w14:textId="77777777" w:rsidR="00E32617" w:rsidRPr="0019672F" w:rsidRDefault="00704BF9" w:rsidP="005E491B">
      <w:pPr>
        <w:shd w:val="clear" w:color="auto" w:fill="FFFFFF"/>
        <w:spacing w:before="120" w:after="60"/>
        <w:rPr>
          <w:b/>
          <w:szCs w:val="24"/>
        </w:rPr>
      </w:pPr>
      <w:r w:rsidRPr="0019672F">
        <w:rPr>
          <w:b/>
          <w:szCs w:val="18"/>
        </w:rPr>
        <w:t>Short title, &amp;c.</w:t>
      </w:r>
    </w:p>
    <w:p w14:paraId="0081C7F8" w14:textId="31CA84B0" w:rsidR="00E32617" w:rsidRPr="0019672F" w:rsidRDefault="00704BF9" w:rsidP="005E491B">
      <w:pPr>
        <w:shd w:val="clear" w:color="auto" w:fill="FFFFFF"/>
        <w:spacing w:before="60" w:after="60"/>
        <w:ind w:firstLine="432"/>
        <w:jc w:val="both"/>
        <w:rPr>
          <w:rFonts w:cs="Arial"/>
          <w:sz w:val="24"/>
          <w:szCs w:val="24"/>
        </w:rPr>
      </w:pPr>
      <w:r w:rsidRPr="0019672F">
        <w:rPr>
          <w:b/>
          <w:bCs/>
          <w:sz w:val="24"/>
          <w:szCs w:val="24"/>
        </w:rPr>
        <w:t xml:space="preserve">1. </w:t>
      </w:r>
      <w:r w:rsidRPr="0019672F">
        <w:rPr>
          <w:sz w:val="24"/>
          <w:szCs w:val="24"/>
        </w:rPr>
        <w:t xml:space="preserve">(1) This Act may be cited as the </w:t>
      </w:r>
      <w:r w:rsidRPr="0019672F">
        <w:rPr>
          <w:i/>
          <w:iCs/>
          <w:sz w:val="24"/>
          <w:szCs w:val="24"/>
        </w:rPr>
        <w:t xml:space="preserve">Weights and Measures (National Standards) Amendment Act </w:t>
      </w:r>
      <w:r w:rsidRPr="0019672F">
        <w:rPr>
          <w:sz w:val="24"/>
          <w:szCs w:val="24"/>
        </w:rPr>
        <w:t>1978.</w:t>
      </w:r>
    </w:p>
    <w:p w14:paraId="0FD5F220" w14:textId="1BC6B997" w:rsidR="00E32617" w:rsidRPr="0019672F" w:rsidRDefault="00704BF9" w:rsidP="00BA18F9">
      <w:pPr>
        <w:shd w:val="clear" w:color="auto" w:fill="FFFFFF"/>
        <w:spacing w:before="60" w:after="60"/>
        <w:ind w:firstLine="432"/>
        <w:jc w:val="both"/>
        <w:rPr>
          <w:rFonts w:cs="Arial"/>
          <w:sz w:val="24"/>
          <w:szCs w:val="24"/>
        </w:rPr>
      </w:pPr>
      <w:r w:rsidRPr="0019672F">
        <w:rPr>
          <w:sz w:val="24"/>
          <w:szCs w:val="24"/>
        </w:rPr>
        <w:t xml:space="preserve">(2) The </w:t>
      </w:r>
      <w:r w:rsidRPr="0019672F">
        <w:rPr>
          <w:i/>
          <w:iCs/>
          <w:sz w:val="24"/>
          <w:szCs w:val="24"/>
        </w:rPr>
        <w:t xml:space="preserve">Weights and Measures (National Standards) Act </w:t>
      </w:r>
      <w:r w:rsidRPr="0019672F">
        <w:rPr>
          <w:sz w:val="24"/>
          <w:szCs w:val="24"/>
        </w:rPr>
        <w:t>1960 is in this Act referred to as the Principal Act.</w:t>
      </w:r>
    </w:p>
    <w:p w14:paraId="1DB65ECD" w14:textId="77777777" w:rsidR="00E32617" w:rsidRPr="0019672F" w:rsidRDefault="00704BF9" w:rsidP="007B075C">
      <w:pPr>
        <w:shd w:val="clear" w:color="auto" w:fill="FFFFFF"/>
        <w:spacing w:before="120" w:after="60"/>
        <w:rPr>
          <w:b/>
          <w:szCs w:val="24"/>
        </w:rPr>
      </w:pPr>
      <w:r w:rsidRPr="0019672F">
        <w:rPr>
          <w:b/>
          <w:szCs w:val="18"/>
        </w:rPr>
        <w:t>Commencement</w:t>
      </w:r>
    </w:p>
    <w:p w14:paraId="785F9DE5" w14:textId="41511B92" w:rsidR="00E32617" w:rsidRPr="0019672F" w:rsidRDefault="00704BF9" w:rsidP="007B075C">
      <w:pPr>
        <w:shd w:val="clear" w:color="auto" w:fill="FFFFFF"/>
        <w:spacing w:before="60" w:after="60"/>
        <w:ind w:firstLine="432"/>
        <w:jc w:val="both"/>
        <w:rPr>
          <w:rFonts w:cs="Arial"/>
          <w:sz w:val="24"/>
          <w:szCs w:val="24"/>
        </w:rPr>
      </w:pPr>
      <w:r w:rsidRPr="0019672F">
        <w:rPr>
          <w:b/>
          <w:bCs/>
          <w:sz w:val="24"/>
          <w:szCs w:val="24"/>
        </w:rPr>
        <w:t>2.</w:t>
      </w:r>
      <w:r w:rsidRPr="0019672F">
        <w:rPr>
          <w:sz w:val="24"/>
          <w:szCs w:val="24"/>
        </w:rPr>
        <w:t xml:space="preserve"> (1) Sections 1, 2, 10, 11 and 13 shall come into operation on the day on which this Act receives the Royal Assent.</w:t>
      </w:r>
    </w:p>
    <w:p w14:paraId="3FCA8544" w14:textId="5F9B7C64" w:rsidR="00E32617" w:rsidRPr="0019672F" w:rsidRDefault="00704BF9" w:rsidP="00BA18F9">
      <w:pPr>
        <w:shd w:val="clear" w:color="auto" w:fill="FFFFFF"/>
        <w:spacing w:before="60" w:after="60"/>
        <w:ind w:firstLine="432"/>
        <w:jc w:val="both"/>
        <w:rPr>
          <w:rFonts w:cs="Arial"/>
          <w:sz w:val="24"/>
          <w:szCs w:val="24"/>
        </w:rPr>
      </w:pPr>
      <w:r w:rsidRPr="0019672F">
        <w:rPr>
          <w:sz w:val="24"/>
          <w:szCs w:val="24"/>
        </w:rPr>
        <w:t xml:space="preserve">(2) </w:t>
      </w:r>
      <w:bookmarkStart w:id="0" w:name="_GoBack"/>
      <w:r w:rsidRPr="0019672F">
        <w:rPr>
          <w:sz w:val="24"/>
          <w:szCs w:val="24"/>
        </w:rPr>
        <w:t>The remaining provisions of this Act shall come into operation on a date to be fixed by Proclamation.</w:t>
      </w:r>
      <w:bookmarkEnd w:id="0"/>
    </w:p>
    <w:p w14:paraId="5767559F" w14:textId="77777777" w:rsidR="00E32617" w:rsidRPr="0019672F" w:rsidRDefault="00704BF9" w:rsidP="000A738B">
      <w:pPr>
        <w:shd w:val="clear" w:color="auto" w:fill="FFFFFF"/>
        <w:spacing w:before="120" w:after="60"/>
        <w:rPr>
          <w:b/>
          <w:szCs w:val="24"/>
        </w:rPr>
      </w:pPr>
      <w:r w:rsidRPr="0019672F">
        <w:rPr>
          <w:b/>
          <w:szCs w:val="18"/>
        </w:rPr>
        <w:t>Insertion of heading</w:t>
      </w:r>
      <w:r w:rsidRPr="0019672F">
        <w:rPr>
          <w:rFonts w:eastAsia="Times New Roman"/>
          <w:b/>
          <w:szCs w:val="18"/>
        </w:rPr>
        <w:t>—Part I</w:t>
      </w:r>
    </w:p>
    <w:p w14:paraId="324C9F63" w14:textId="77777777" w:rsidR="00E32617" w:rsidRPr="0019672F" w:rsidRDefault="00704BF9" w:rsidP="000A738B">
      <w:pPr>
        <w:shd w:val="clear" w:color="auto" w:fill="FFFFFF"/>
        <w:spacing w:before="60" w:after="60"/>
        <w:ind w:firstLine="432"/>
        <w:jc w:val="both"/>
        <w:rPr>
          <w:rFonts w:cs="Arial"/>
          <w:sz w:val="24"/>
          <w:szCs w:val="24"/>
        </w:rPr>
      </w:pPr>
      <w:r w:rsidRPr="0019672F">
        <w:rPr>
          <w:b/>
          <w:bCs/>
          <w:sz w:val="24"/>
          <w:szCs w:val="24"/>
        </w:rPr>
        <w:t>3.</w:t>
      </w:r>
      <w:r w:rsidRPr="0019672F">
        <w:rPr>
          <w:sz w:val="24"/>
          <w:szCs w:val="24"/>
        </w:rPr>
        <w:t xml:space="preserve"> Before section 1 of the Principal Act the following heading is inserted:</w:t>
      </w:r>
    </w:p>
    <w:p w14:paraId="408B5EA6" w14:textId="77777777" w:rsidR="00BA18F9" w:rsidRDefault="00BA18F9" w:rsidP="00BA18F9">
      <w:pPr>
        <w:shd w:val="clear" w:color="auto" w:fill="FFFFFF"/>
        <w:spacing w:after="60"/>
        <w:ind w:firstLine="432"/>
        <w:jc w:val="both"/>
        <w:rPr>
          <w:sz w:val="2"/>
          <w:szCs w:val="2"/>
        </w:rPr>
      </w:pPr>
    </w:p>
    <w:p w14:paraId="3DBADD4C" w14:textId="6AFFE5B0" w:rsidR="00E32617" w:rsidRPr="0019672F" w:rsidRDefault="008B69E5" w:rsidP="00BA18F9">
      <w:pPr>
        <w:shd w:val="clear" w:color="auto" w:fill="FFFFFF"/>
        <w:spacing w:before="120" w:after="120"/>
        <w:jc w:val="center"/>
        <w:rPr>
          <w:rFonts w:cs="Arial"/>
          <w:sz w:val="24"/>
          <w:szCs w:val="24"/>
        </w:rPr>
      </w:pPr>
      <w:r w:rsidRPr="0019672F">
        <w:rPr>
          <w:sz w:val="24"/>
          <w:szCs w:val="24"/>
        </w:rPr>
        <w:t>“</w:t>
      </w:r>
      <w:r w:rsidR="00704BF9" w:rsidRPr="0019672F">
        <w:rPr>
          <w:sz w:val="24"/>
          <w:szCs w:val="24"/>
        </w:rPr>
        <w:t>PART I</w:t>
      </w:r>
      <w:r w:rsidR="00704BF9" w:rsidRPr="0019672F">
        <w:rPr>
          <w:rFonts w:eastAsia="Times New Roman"/>
          <w:sz w:val="24"/>
          <w:szCs w:val="24"/>
        </w:rPr>
        <w:t>—PRELIMINARY</w:t>
      </w:r>
      <w:r w:rsidRPr="0019672F">
        <w:rPr>
          <w:rFonts w:eastAsia="Times New Roman"/>
          <w:sz w:val="24"/>
          <w:szCs w:val="24"/>
        </w:rPr>
        <w:t>”</w:t>
      </w:r>
      <w:r w:rsidR="00704BF9" w:rsidRPr="0019672F">
        <w:rPr>
          <w:rFonts w:eastAsia="Times New Roman"/>
          <w:sz w:val="24"/>
          <w:szCs w:val="24"/>
        </w:rPr>
        <w:t>.</w:t>
      </w:r>
    </w:p>
    <w:p w14:paraId="44C88207" w14:textId="77777777" w:rsidR="00E32617" w:rsidRPr="0019672F" w:rsidRDefault="00704BF9" w:rsidP="00FC3F3A">
      <w:pPr>
        <w:shd w:val="clear" w:color="auto" w:fill="FFFFFF"/>
        <w:spacing w:before="120" w:after="60"/>
        <w:rPr>
          <w:b/>
          <w:szCs w:val="24"/>
        </w:rPr>
      </w:pPr>
      <w:r w:rsidRPr="0019672F">
        <w:rPr>
          <w:b/>
          <w:szCs w:val="18"/>
        </w:rPr>
        <w:t>Insertion of heading</w:t>
      </w:r>
      <w:r w:rsidRPr="0019672F">
        <w:rPr>
          <w:rFonts w:eastAsia="Times New Roman"/>
          <w:b/>
          <w:szCs w:val="18"/>
        </w:rPr>
        <w:t>—Part II</w:t>
      </w:r>
    </w:p>
    <w:p w14:paraId="5B312314" w14:textId="77777777" w:rsidR="00E32617" w:rsidRPr="0019672F" w:rsidRDefault="00704BF9" w:rsidP="005063E3">
      <w:pPr>
        <w:shd w:val="clear" w:color="auto" w:fill="FFFFFF"/>
        <w:spacing w:before="60" w:after="60"/>
        <w:ind w:firstLine="432"/>
        <w:jc w:val="both"/>
        <w:rPr>
          <w:rFonts w:cs="Arial"/>
          <w:sz w:val="24"/>
          <w:szCs w:val="24"/>
        </w:rPr>
      </w:pPr>
      <w:r w:rsidRPr="0019672F">
        <w:rPr>
          <w:b/>
          <w:bCs/>
          <w:sz w:val="24"/>
          <w:szCs w:val="24"/>
        </w:rPr>
        <w:t>4.</w:t>
      </w:r>
      <w:r w:rsidRPr="0019672F">
        <w:rPr>
          <w:sz w:val="24"/>
          <w:szCs w:val="24"/>
        </w:rPr>
        <w:t xml:space="preserve"> After section 6 of the Principal Act the following heading is inserted:</w:t>
      </w:r>
    </w:p>
    <w:p w14:paraId="071B9C9F" w14:textId="77777777" w:rsidR="00BA18F9" w:rsidRDefault="00BA18F9" w:rsidP="00BA18F9">
      <w:pPr>
        <w:shd w:val="clear" w:color="auto" w:fill="FFFFFF"/>
        <w:spacing w:after="60"/>
        <w:ind w:firstLine="432"/>
        <w:jc w:val="both"/>
        <w:rPr>
          <w:sz w:val="2"/>
          <w:szCs w:val="2"/>
        </w:rPr>
      </w:pPr>
    </w:p>
    <w:p w14:paraId="495437E2" w14:textId="761B7736" w:rsidR="00E32617" w:rsidRPr="0019672F" w:rsidRDefault="008B69E5" w:rsidP="00BA18F9">
      <w:pPr>
        <w:shd w:val="clear" w:color="auto" w:fill="FFFFFF"/>
        <w:spacing w:before="120" w:after="120"/>
        <w:jc w:val="center"/>
        <w:rPr>
          <w:rFonts w:cs="Arial"/>
          <w:sz w:val="24"/>
          <w:szCs w:val="24"/>
        </w:rPr>
      </w:pPr>
      <w:r w:rsidRPr="0019672F">
        <w:rPr>
          <w:sz w:val="24"/>
          <w:szCs w:val="24"/>
        </w:rPr>
        <w:t>“</w:t>
      </w:r>
      <w:r w:rsidR="00704BF9" w:rsidRPr="0019672F">
        <w:rPr>
          <w:sz w:val="24"/>
          <w:szCs w:val="24"/>
        </w:rPr>
        <w:t>PART II</w:t>
      </w:r>
      <w:r w:rsidR="00704BF9" w:rsidRPr="0019672F">
        <w:rPr>
          <w:rFonts w:eastAsia="Times New Roman"/>
          <w:sz w:val="24"/>
          <w:szCs w:val="24"/>
        </w:rPr>
        <w:t>—UNITS AND STANDARDS OF MEASUREMENT</w:t>
      </w:r>
      <w:r w:rsidRPr="0019672F">
        <w:rPr>
          <w:rFonts w:eastAsia="Times New Roman"/>
          <w:sz w:val="24"/>
          <w:szCs w:val="24"/>
        </w:rPr>
        <w:t>”</w:t>
      </w:r>
      <w:r w:rsidR="00704BF9" w:rsidRPr="0019672F">
        <w:rPr>
          <w:rFonts w:eastAsia="Times New Roman"/>
          <w:sz w:val="24"/>
          <w:szCs w:val="24"/>
        </w:rPr>
        <w:t>.</w:t>
      </w:r>
    </w:p>
    <w:p w14:paraId="3EF0B4D0" w14:textId="77777777" w:rsidR="00E32617" w:rsidRPr="0019672F" w:rsidRDefault="00704BF9" w:rsidP="007712B3">
      <w:pPr>
        <w:shd w:val="clear" w:color="auto" w:fill="FFFFFF"/>
        <w:spacing w:before="120" w:after="60"/>
        <w:rPr>
          <w:b/>
          <w:szCs w:val="24"/>
        </w:rPr>
      </w:pPr>
      <w:r w:rsidRPr="0019672F">
        <w:rPr>
          <w:b/>
          <w:szCs w:val="18"/>
        </w:rPr>
        <w:t>Insertion of heading</w:t>
      </w:r>
      <w:r w:rsidRPr="0019672F">
        <w:rPr>
          <w:rFonts w:eastAsia="Times New Roman"/>
          <w:b/>
          <w:szCs w:val="18"/>
        </w:rPr>
        <w:t>— Part III</w:t>
      </w:r>
    </w:p>
    <w:p w14:paraId="335575FE" w14:textId="77777777" w:rsidR="00E32617" w:rsidRPr="0019672F" w:rsidRDefault="00704BF9" w:rsidP="007712B3">
      <w:pPr>
        <w:shd w:val="clear" w:color="auto" w:fill="FFFFFF"/>
        <w:spacing w:before="60" w:after="60"/>
        <w:ind w:firstLine="432"/>
        <w:jc w:val="both"/>
        <w:rPr>
          <w:rFonts w:cs="Arial"/>
          <w:sz w:val="24"/>
          <w:szCs w:val="24"/>
        </w:rPr>
      </w:pPr>
      <w:r w:rsidRPr="0019672F">
        <w:rPr>
          <w:b/>
          <w:bCs/>
          <w:sz w:val="24"/>
          <w:szCs w:val="24"/>
        </w:rPr>
        <w:t>5.</w:t>
      </w:r>
      <w:r w:rsidRPr="0019672F">
        <w:rPr>
          <w:sz w:val="24"/>
          <w:szCs w:val="24"/>
        </w:rPr>
        <w:t xml:space="preserve"> After section 15 of the Principal Act the following heading is inserted:</w:t>
      </w:r>
    </w:p>
    <w:p w14:paraId="37C3D761" w14:textId="16B95093" w:rsidR="00E32617" w:rsidRPr="0019672F" w:rsidRDefault="008B69E5" w:rsidP="00BA18F9">
      <w:pPr>
        <w:shd w:val="clear" w:color="auto" w:fill="FFFFFF"/>
        <w:spacing w:before="120" w:after="120"/>
        <w:jc w:val="center"/>
        <w:rPr>
          <w:rFonts w:cs="Arial"/>
          <w:sz w:val="24"/>
          <w:szCs w:val="24"/>
        </w:rPr>
      </w:pPr>
      <w:r w:rsidRPr="0019672F">
        <w:rPr>
          <w:sz w:val="24"/>
          <w:szCs w:val="24"/>
        </w:rPr>
        <w:t>“</w:t>
      </w:r>
      <w:r w:rsidR="00704BF9" w:rsidRPr="0019672F">
        <w:rPr>
          <w:sz w:val="24"/>
          <w:szCs w:val="24"/>
        </w:rPr>
        <w:t>PART III</w:t>
      </w:r>
      <w:r w:rsidR="00704BF9" w:rsidRPr="0019672F">
        <w:rPr>
          <w:rFonts w:eastAsia="Times New Roman"/>
          <w:sz w:val="24"/>
          <w:szCs w:val="24"/>
        </w:rPr>
        <w:t>—NATIONAL STANDARDS COMMISSION</w:t>
      </w:r>
      <w:r w:rsidRPr="0019672F">
        <w:rPr>
          <w:rFonts w:eastAsia="Times New Roman"/>
          <w:sz w:val="24"/>
          <w:szCs w:val="24"/>
        </w:rPr>
        <w:t>”</w:t>
      </w:r>
      <w:r w:rsidR="00704BF9" w:rsidRPr="0019672F">
        <w:rPr>
          <w:rFonts w:eastAsia="Times New Roman"/>
          <w:sz w:val="24"/>
          <w:szCs w:val="24"/>
        </w:rPr>
        <w:t>.</w:t>
      </w:r>
    </w:p>
    <w:p w14:paraId="6F2A64C0" w14:textId="77777777" w:rsidR="00E32617" w:rsidRPr="0019672F" w:rsidRDefault="00704BF9" w:rsidP="007712B3">
      <w:pPr>
        <w:shd w:val="clear" w:color="auto" w:fill="FFFFFF"/>
        <w:spacing w:before="120" w:after="60"/>
        <w:rPr>
          <w:b/>
          <w:szCs w:val="24"/>
        </w:rPr>
      </w:pPr>
      <w:r w:rsidRPr="0019672F">
        <w:rPr>
          <w:b/>
          <w:szCs w:val="18"/>
        </w:rPr>
        <w:t>National Standards Commission</w:t>
      </w:r>
    </w:p>
    <w:p w14:paraId="486802A6" w14:textId="77777777" w:rsidR="00E32617" w:rsidRPr="0019672F" w:rsidRDefault="00704BF9" w:rsidP="007712B3">
      <w:pPr>
        <w:shd w:val="clear" w:color="auto" w:fill="FFFFFF"/>
        <w:spacing w:before="60" w:after="60"/>
        <w:ind w:firstLine="432"/>
        <w:jc w:val="both"/>
        <w:rPr>
          <w:rFonts w:cs="Arial"/>
          <w:sz w:val="24"/>
          <w:szCs w:val="24"/>
        </w:rPr>
      </w:pPr>
      <w:r w:rsidRPr="0019672F">
        <w:rPr>
          <w:b/>
          <w:bCs/>
          <w:sz w:val="24"/>
          <w:szCs w:val="24"/>
        </w:rPr>
        <w:t>6.</w:t>
      </w:r>
      <w:r w:rsidR="0063172E" w:rsidRPr="0019672F">
        <w:rPr>
          <w:sz w:val="24"/>
          <w:szCs w:val="24"/>
        </w:rPr>
        <w:t xml:space="preserve"> </w:t>
      </w:r>
      <w:r w:rsidRPr="0019672F">
        <w:rPr>
          <w:sz w:val="24"/>
          <w:szCs w:val="24"/>
        </w:rPr>
        <w:t>Section</w:t>
      </w:r>
      <w:r w:rsidR="0063172E" w:rsidRPr="0019672F">
        <w:rPr>
          <w:sz w:val="24"/>
          <w:szCs w:val="24"/>
        </w:rPr>
        <w:t xml:space="preserve"> </w:t>
      </w:r>
      <w:r w:rsidRPr="0019672F">
        <w:rPr>
          <w:sz w:val="24"/>
          <w:szCs w:val="24"/>
        </w:rPr>
        <w:t>16</w:t>
      </w:r>
      <w:r w:rsidR="0063172E" w:rsidRPr="0019672F">
        <w:rPr>
          <w:sz w:val="24"/>
          <w:szCs w:val="24"/>
        </w:rPr>
        <w:t xml:space="preserve"> </w:t>
      </w:r>
      <w:r w:rsidRPr="0019672F">
        <w:rPr>
          <w:sz w:val="24"/>
          <w:szCs w:val="24"/>
        </w:rPr>
        <w:t>of the</w:t>
      </w:r>
      <w:r w:rsidR="0063172E" w:rsidRPr="0019672F">
        <w:rPr>
          <w:sz w:val="24"/>
          <w:szCs w:val="24"/>
        </w:rPr>
        <w:t xml:space="preserve"> </w:t>
      </w:r>
      <w:r w:rsidRPr="0019672F">
        <w:rPr>
          <w:sz w:val="24"/>
          <w:szCs w:val="24"/>
        </w:rPr>
        <w:t>Principal</w:t>
      </w:r>
      <w:r w:rsidR="0063172E" w:rsidRPr="0019672F">
        <w:rPr>
          <w:sz w:val="24"/>
          <w:szCs w:val="24"/>
        </w:rPr>
        <w:t xml:space="preserve"> </w:t>
      </w:r>
      <w:r w:rsidRPr="0019672F">
        <w:rPr>
          <w:sz w:val="24"/>
          <w:szCs w:val="24"/>
        </w:rPr>
        <w:t>Act</w:t>
      </w:r>
      <w:r w:rsidR="0063172E" w:rsidRPr="0019672F">
        <w:rPr>
          <w:sz w:val="24"/>
          <w:szCs w:val="24"/>
        </w:rPr>
        <w:t xml:space="preserve"> </w:t>
      </w:r>
      <w:r w:rsidRPr="0019672F">
        <w:rPr>
          <w:sz w:val="24"/>
          <w:szCs w:val="24"/>
        </w:rPr>
        <w:t>is</w:t>
      </w:r>
      <w:r w:rsidR="0063172E" w:rsidRPr="0019672F">
        <w:rPr>
          <w:sz w:val="24"/>
          <w:szCs w:val="24"/>
        </w:rPr>
        <w:t xml:space="preserve"> </w:t>
      </w:r>
      <w:r w:rsidRPr="0019672F">
        <w:rPr>
          <w:sz w:val="24"/>
          <w:szCs w:val="24"/>
        </w:rPr>
        <w:t>amended</w:t>
      </w:r>
      <w:r w:rsidR="0063172E" w:rsidRPr="0019672F">
        <w:rPr>
          <w:sz w:val="24"/>
          <w:szCs w:val="24"/>
        </w:rPr>
        <w:t xml:space="preserve"> </w:t>
      </w:r>
      <w:r w:rsidRPr="0019672F">
        <w:rPr>
          <w:sz w:val="24"/>
          <w:szCs w:val="24"/>
        </w:rPr>
        <w:t>by</w:t>
      </w:r>
      <w:r w:rsidR="0063172E" w:rsidRPr="0019672F">
        <w:rPr>
          <w:sz w:val="24"/>
          <w:szCs w:val="24"/>
        </w:rPr>
        <w:t xml:space="preserve"> </w:t>
      </w:r>
      <w:r w:rsidRPr="0019672F">
        <w:rPr>
          <w:sz w:val="24"/>
          <w:szCs w:val="24"/>
        </w:rPr>
        <w:t>omitting sub-section (4).</w:t>
      </w:r>
    </w:p>
    <w:p w14:paraId="593A7F88" w14:textId="77777777" w:rsidR="00E32617" w:rsidRPr="0019672F" w:rsidRDefault="00704BF9" w:rsidP="005A3BC3">
      <w:pPr>
        <w:shd w:val="clear" w:color="auto" w:fill="FFFFFF"/>
        <w:spacing w:before="60" w:after="60"/>
        <w:ind w:firstLine="432"/>
        <w:jc w:val="both"/>
        <w:rPr>
          <w:rFonts w:cs="Arial"/>
          <w:sz w:val="24"/>
          <w:szCs w:val="24"/>
        </w:rPr>
      </w:pPr>
      <w:r w:rsidRPr="0019672F">
        <w:rPr>
          <w:b/>
          <w:bCs/>
          <w:sz w:val="24"/>
          <w:szCs w:val="24"/>
        </w:rPr>
        <w:t>7.</w:t>
      </w:r>
      <w:r w:rsidR="0063172E" w:rsidRPr="0019672F">
        <w:rPr>
          <w:sz w:val="24"/>
          <w:szCs w:val="24"/>
        </w:rPr>
        <w:t xml:space="preserve"> </w:t>
      </w:r>
      <w:r w:rsidRPr="0019672F">
        <w:rPr>
          <w:sz w:val="24"/>
          <w:szCs w:val="24"/>
        </w:rPr>
        <w:t>Section 17 of the Principal Act is repealed and the following section substituted:</w:t>
      </w:r>
    </w:p>
    <w:p w14:paraId="343B6D75" w14:textId="77777777" w:rsidR="00E32617" w:rsidRPr="0019672F" w:rsidRDefault="00704BF9" w:rsidP="007E0B9F">
      <w:pPr>
        <w:shd w:val="clear" w:color="auto" w:fill="FFFFFF"/>
        <w:spacing w:before="120" w:after="60"/>
        <w:rPr>
          <w:b/>
          <w:szCs w:val="24"/>
        </w:rPr>
      </w:pPr>
      <w:r w:rsidRPr="0019672F">
        <w:rPr>
          <w:b/>
          <w:szCs w:val="18"/>
        </w:rPr>
        <w:t>Membership of the Commission</w:t>
      </w:r>
    </w:p>
    <w:p w14:paraId="66E2EE4E" w14:textId="77777777" w:rsidR="00E32617" w:rsidRPr="0019672F" w:rsidRDefault="008B69E5" w:rsidP="007E0B9F">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17. (1) The Commission shall consist of a Chairman and 4 other members.</w:t>
      </w:r>
    </w:p>
    <w:p w14:paraId="7C67E3FD" w14:textId="5E54D7EA"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The members shall be appointed by the Governor-General and shall be so appointed as part-time members.</w:t>
      </w:r>
    </w:p>
    <w:p w14:paraId="38A2610A" w14:textId="77EC14E8" w:rsidR="00E32617" w:rsidRPr="0019672F" w:rsidRDefault="008B69E5" w:rsidP="00AD47EF">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(3) At least 3 of the members shall be persons having scientific or technical knowledge.</w:t>
      </w:r>
    </w:p>
    <w:p w14:paraId="46678B7E" w14:textId="36EAED83"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(4) For the purpose of making recommendations to the Governor-General for the appointment of persons as members in accordance with sub-section (3), the Minister shall have regard to any advice with respect to the scientific or technical knowledge of those persons given to him by the Organization.</w:t>
      </w:r>
    </w:p>
    <w:p w14:paraId="1C100B6A" w14:textId="6DA67D59"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(5) Subject to this Act, a member holds office for such period, not exceeding 5 years, as is specified in the instrument of his appointment and on such terms and conditions as the Governor-General determines but is eligible for re-appointment.</w:t>
      </w:r>
    </w:p>
    <w:p w14:paraId="485ED9BC" w14:textId="2723B978"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(6) The exercise or performance of a power or function by the Commission is not affected by reason only of there being a vacancy in the office of a member.</w:t>
      </w:r>
      <w:r w:rsidRPr="0019672F">
        <w:rPr>
          <w:sz w:val="24"/>
          <w:szCs w:val="24"/>
        </w:rPr>
        <w:t>”</w:t>
      </w:r>
      <w:r w:rsidR="00704BF9" w:rsidRPr="0019672F">
        <w:rPr>
          <w:sz w:val="24"/>
          <w:szCs w:val="24"/>
        </w:rPr>
        <w:t>.</w:t>
      </w:r>
    </w:p>
    <w:p w14:paraId="79D3EB2B" w14:textId="77777777" w:rsidR="00BA18F9" w:rsidRDefault="00BA18F9" w:rsidP="00BA18F9">
      <w:pPr>
        <w:shd w:val="clear" w:color="auto" w:fill="FFFFFF"/>
        <w:spacing w:after="60"/>
        <w:ind w:firstLine="432"/>
        <w:jc w:val="both"/>
        <w:rPr>
          <w:sz w:val="2"/>
          <w:szCs w:val="2"/>
        </w:rPr>
      </w:pPr>
    </w:p>
    <w:p w14:paraId="31FB07D1" w14:textId="77777777" w:rsidR="00C81A1F" w:rsidRDefault="00C81A1F">
      <w:pPr>
        <w:widowControl/>
        <w:autoSpaceDE/>
        <w:autoSpaceDN/>
        <w:adjustRightInd/>
        <w:spacing w:after="200" w:line="276" w:lineRule="auto"/>
        <w:rPr>
          <w:b/>
          <w:bCs/>
          <w:sz w:val="24"/>
          <w:szCs w:val="24"/>
        </w:rPr>
      </w:pPr>
      <w:r>
        <w:rPr>
          <w:b/>
          <w:bCs/>
          <w:sz w:val="24"/>
          <w:szCs w:val="24"/>
        </w:rPr>
        <w:br w:type="page"/>
      </w:r>
    </w:p>
    <w:p w14:paraId="51F1C3B6" w14:textId="09703DAF" w:rsidR="00E32617" w:rsidRPr="0019672F" w:rsidRDefault="00704BF9" w:rsidP="00AD47EF">
      <w:pPr>
        <w:shd w:val="clear" w:color="auto" w:fill="FFFFFF"/>
        <w:spacing w:before="60" w:after="60"/>
        <w:ind w:firstLine="432"/>
        <w:jc w:val="both"/>
        <w:rPr>
          <w:rFonts w:cs="Arial"/>
          <w:sz w:val="24"/>
          <w:szCs w:val="24"/>
        </w:rPr>
      </w:pPr>
      <w:r w:rsidRPr="0019672F">
        <w:rPr>
          <w:b/>
          <w:bCs/>
          <w:sz w:val="24"/>
          <w:szCs w:val="24"/>
        </w:rPr>
        <w:lastRenderedPageBreak/>
        <w:t>8.</w:t>
      </w:r>
      <w:r w:rsidRPr="0019672F">
        <w:rPr>
          <w:sz w:val="24"/>
          <w:szCs w:val="24"/>
        </w:rPr>
        <w:t xml:space="preserve"> After section 18 of the Principal Act the following sections and heading are inserted:</w:t>
      </w:r>
    </w:p>
    <w:p w14:paraId="42EDF6F5" w14:textId="77777777" w:rsidR="00E32617" w:rsidRPr="0019672F" w:rsidRDefault="00704BF9" w:rsidP="00706CD5">
      <w:pPr>
        <w:shd w:val="clear" w:color="auto" w:fill="FFFFFF"/>
        <w:spacing w:before="120" w:after="60"/>
        <w:rPr>
          <w:b/>
          <w:szCs w:val="24"/>
        </w:rPr>
      </w:pPr>
      <w:r w:rsidRPr="0019672F">
        <w:rPr>
          <w:b/>
          <w:szCs w:val="18"/>
        </w:rPr>
        <w:t>Remuneration and allowances of members</w:t>
      </w:r>
    </w:p>
    <w:p w14:paraId="3E27E6AD" w14:textId="70071FD4" w:rsidR="00E32617" w:rsidRPr="0019672F" w:rsidRDefault="008B69E5" w:rsidP="00706CD5">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aa</w:t>
      </w:r>
      <w:r w:rsidR="00704BF9" w:rsidRPr="0019672F">
        <w:rPr>
          <w:sz w:val="24"/>
          <w:szCs w:val="24"/>
        </w:rPr>
        <w:t>. (1) A member shall be paid such remuneration as is determined by the Remuneration Tribunal, but, if no determination of that remuneration by the Tribunal is in operation, he shall be paid such remuneration as is prescribed.</w:t>
      </w:r>
    </w:p>
    <w:p w14:paraId="15B17663" w14:textId="06679AF8"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A member shall be paid such allowances as are prescribed.</w:t>
      </w:r>
    </w:p>
    <w:p w14:paraId="248B81D3" w14:textId="4FB0DEDB"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 xml:space="preserve">(3) This section has effect subject to the </w:t>
      </w:r>
      <w:r w:rsidR="00704BF9" w:rsidRPr="0019672F">
        <w:rPr>
          <w:i/>
          <w:iCs/>
          <w:sz w:val="24"/>
          <w:szCs w:val="24"/>
        </w:rPr>
        <w:t xml:space="preserve">Remuneration Tribunals Act </w:t>
      </w:r>
      <w:r w:rsidR="00704BF9" w:rsidRPr="0019672F">
        <w:rPr>
          <w:sz w:val="24"/>
          <w:szCs w:val="24"/>
        </w:rPr>
        <w:t>1973.</w:t>
      </w:r>
    </w:p>
    <w:p w14:paraId="1700362D" w14:textId="77777777" w:rsidR="00E32617" w:rsidRPr="0019672F" w:rsidRDefault="00704BF9" w:rsidP="009F08D9">
      <w:pPr>
        <w:shd w:val="clear" w:color="auto" w:fill="FFFFFF"/>
        <w:spacing w:before="120" w:after="60"/>
        <w:rPr>
          <w:b/>
          <w:szCs w:val="24"/>
        </w:rPr>
      </w:pPr>
      <w:r w:rsidRPr="0019672F">
        <w:rPr>
          <w:b/>
          <w:szCs w:val="18"/>
        </w:rPr>
        <w:t>Resignation of member</w:t>
      </w:r>
    </w:p>
    <w:p w14:paraId="7E2B0A80" w14:textId="069D222C" w:rsidR="00E32617" w:rsidRPr="0019672F" w:rsidRDefault="008B69E5" w:rsidP="007744C4">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ab</w:t>
      </w:r>
      <w:r w:rsidR="00704BF9" w:rsidRPr="0019672F">
        <w:rPr>
          <w:sz w:val="24"/>
          <w:szCs w:val="24"/>
        </w:rPr>
        <w:t>. A member may resign his office by writing signed by him delivered to the Governor-General.</w:t>
      </w:r>
    </w:p>
    <w:p w14:paraId="543ECC81" w14:textId="77777777" w:rsidR="00E32617" w:rsidRPr="0019672F" w:rsidRDefault="00704BF9" w:rsidP="007744C4">
      <w:pPr>
        <w:shd w:val="clear" w:color="auto" w:fill="FFFFFF"/>
        <w:spacing w:before="120" w:after="60"/>
        <w:rPr>
          <w:b/>
          <w:szCs w:val="24"/>
        </w:rPr>
      </w:pPr>
      <w:r w:rsidRPr="0019672F">
        <w:rPr>
          <w:b/>
          <w:szCs w:val="18"/>
        </w:rPr>
        <w:t>Termination of appointment of members</w:t>
      </w:r>
    </w:p>
    <w:p w14:paraId="08386262" w14:textId="25502CFB" w:rsidR="00E32617" w:rsidRPr="0019672F" w:rsidRDefault="008B69E5" w:rsidP="007744C4">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ac</w:t>
      </w:r>
      <w:r w:rsidR="00704BF9" w:rsidRPr="0019672F">
        <w:rPr>
          <w:sz w:val="24"/>
          <w:szCs w:val="24"/>
        </w:rPr>
        <w:t>. (1) The Governor-General may terminate the appointment of a member by reason of misbehaviour or physical or mental incapacity.</w:t>
      </w:r>
    </w:p>
    <w:p w14:paraId="3864CDA7" w14:textId="3BA2F1E5"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If a member</w:t>
      </w:r>
      <w:r w:rsidR="00704BF9" w:rsidRPr="0019672F">
        <w:rPr>
          <w:rFonts w:eastAsia="Times New Roman"/>
          <w:sz w:val="24"/>
          <w:szCs w:val="24"/>
        </w:rPr>
        <w:t>—</w:t>
      </w:r>
    </w:p>
    <w:p w14:paraId="0E325145" w14:textId="77777777" w:rsidR="00E32617" w:rsidRPr="0019672F" w:rsidRDefault="00704BF9" w:rsidP="000C1800">
      <w:pPr>
        <w:shd w:val="clear" w:color="auto" w:fill="FFFFFF"/>
        <w:spacing w:before="60" w:after="60"/>
        <w:ind w:left="792" w:hanging="360"/>
        <w:jc w:val="both"/>
        <w:rPr>
          <w:rFonts w:cs="Arial"/>
          <w:sz w:val="24"/>
          <w:szCs w:val="24"/>
        </w:rPr>
      </w:pPr>
      <w:r w:rsidRPr="0019672F">
        <w:rPr>
          <w:sz w:val="24"/>
          <w:szCs w:val="24"/>
        </w:rPr>
        <w:t>(a)</w:t>
      </w:r>
      <w:r w:rsidR="0063172E" w:rsidRPr="0019672F">
        <w:rPr>
          <w:sz w:val="24"/>
          <w:szCs w:val="24"/>
        </w:rPr>
        <w:t xml:space="preserve"> </w:t>
      </w:r>
      <w:r w:rsidRPr="0019672F">
        <w:rPr>
          <w:sz w:val="24"/>
          <w:szCs w:val="24"/>
        </w:rPr>
        <w:t>becomes bankrupt, applies to take the benefit of any law for the relief of bankrupt or insolvent debtors, compounds with his creditors or makes an assignment of his remuneration for their benefit;</w:t>
      </w:r>
    </w:p>
    <w:p w14:paraId="3B647020" w14:textId="77777777" w:rsidR="00E32617" w:rsidRPr="0019672F" w:rsidRDefault="00704BF9" w:rsidP="000C1800">
      <w:pPr>
        <w:shd w:val="clear" w:color="auto" w:fill="FFFFFF"/>
        <w:spacing w:before="60" w:after="60"/>
        <w:ind w:left="792" w:hanging="360"/>
        <w:jc w:val="both"/>
        <w:rPr>
          <w:rFonts w:cs="Arial"/>
          <w:sz w:val="24"/>
          <w:szCs w:val="24"/>
        </w:rPr>
      </w:pPr>
      <w:r w:rsidRPr="0019672F">
        <w:rPr>
          <w:sz w:val="24"/>
          <w:szCs w:val="24"/>
        </w:rPr>
        <w:t>(b)</w:t>
      </w:r>
      <w:r w:rsidR="0063172E" w:rsidRPr="0019672F">
        <w:rPr>
          <w:sz w:val="24"/>
          <w:szCs w:val="24"/>
        </w:rPr>
        <w:t xml:space="preserve"> </w:t>
      </w:r>
      <w:r w:rsidRPr="0019672F">
        <w:rPr>
          <w:sz w:val="24"/>
          <w:szCs w:val="24"/>
        </w:rPr>
        <w:t>is absent, except on leave granted by the Commission, from 3 consecutive meetings of the Commission; or</w:t>
      </w:r>
    </w:p>
    <w:p w14:paraId="172E4DF9" w14:textId="1CD21D49" w:rsidR="00C4647B" w:rsidRPr="0019672F" w:rsidRDefault="00704BF9" w:rsidP="000C1800">
      <w:pPr>
        <w:shd w:val="clear" w:color="auto" w:fill="FFFFFF"/>
        <w:spacing w:before="60" w:after="60"/>
        <w:ind w:left="792" w:hanging="360"/>
        <w:jc w:val="both"/>
        <w:rPr>
          <w:sz w:val="24"/>
          <w:szCs w:val="24"/>
        </w:rPr>
      </w:pPr>
      <w:r w:rsidRPr="0019672F">
        <w:rPr>
          <w:sz w:val="24"/>
          <w:szCs w:val="24"/>
        </w:rPr>
        <w:t>(c)</w:t>
      </w:r>
      <w:r w:rsidR="0063172E" w:rsidRPr="0019672F">
        <w:rPr>
          <w:sz w:val="24"/>
          <w:szCs w:val="24"/>
        </w:rPr>
        <w:t xml:space="preserve"> </w:t>
      </w:r>
      <w:r w:rsidRPr="0019672F">
        <w:rPr>
          <w:sz w:val="24"/>
          <w:szCs w:val="24"/>
        </w:rPr>
        <w:t>fails to comply with his obligations under section 18</w:t>
      </w:r>
      <w:r w:rsidR="00C81A1F">
        <w:rPr>
          <w:smallCaps/>
          <w:sz w:val="24"/>
          <w:szCs w:val="24"/>
        </w:rPr>
        <w:t>ad</w:t>
      </w:r>
      <w:r w:rsidRPr="0019672F">
        <w:rPr>
          <w:sz w:val="24"/>
          <w:szCs w:val="24"/>
        </w:rPr>
        <w:t>,</w:t>
      </w:r>
    </w:p>
    <w:p w14:paraId="667214D5" w14:textId="77777777" w:rsidR="00E32617" w:rsidRPr="0019672F" w:rsidRDefault="00704BF9" w:rsidP="00C4647B">
      <w:pPr>
        <w:shd w:val="clear" w:color="auto" w:fill="FFFFFF"/>
        <w:spacing w:before="60" w:after="60"/>
        <w:jc w:val="both"/>
        <w:rPr>
          <w:rFonts w:cs="Arial"/>
          <w:sz w:val="24"/>
          <w:szCs w:val="24"/>
        </w:rPr>
      </w:pPr>
      <w:r w:rsidRPr="0019672F">
        <w:rPr>
          <w:sz w:val="24"/>
          <w:szCs w:val="24"/>
        </w:rPr>
        <w:t>the Governor-General shall terminate his appointment.</w:t>
      </w:r>
    </w:p>
    <w:p w14:paraId="4196253E" w14:textId="1B910955" w:rsidR="00E32617" w:rsidRPr="0019672F" w:rsidRDefault="00704BF9" w:rsidP="001C176C">
      <w:pPr>
        <w:shd w:val="clear" w:color="auto" w:fill="FFFFFF"/>
        <w:spacing w:before="120" w:after="60"/>
        <w:rPr>
          <w:b/>
          <w:szCs w:val="24"/>
        </w:rPr>
      </w:pPr>
      <w:r w:rsidRPr="0019672F">
        <w:rPr>
          <w:b/>
          <w:szCs w:val="18"/>
        </w:rPr>
        <w:t>Disclosure of interests by member</w:t>
      </w:r>
    </w:p>
    <w:p w14:paraId="381F8AA6" w14:textId="30070F0B" w:rsidR="00E32617" w:rsidRPr="0019672F" w:rsidRDefault="008B69E5" w:rsidP="001C176C">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ad</w:t>
      </w:r>
      <w:r w:rsidR="00704BF9" w:rsidRPr="0019672F">
        <w:rPr>
          <w:sz w:val="24"/>
          <w:szCs w:val="24"/>
        </w:rPr>
        <w:t>. (1) A member who has a direct or indirect pecuniary interest in a matter being considered or about to be considered by the Commission, otherwise than as a member of, and in common with the other members of, an incorporated company which consists of more than 25 persons and of which he is not a director, shall, as soon as possible after the relevant facts have come to his knowledge, disclose the nature of his interest at a meeting of the Commission.</w:t>
      </w:r>
    </w:p>
    <w:p w14:paraId="5FF45587" w14:textId="135595AC"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A disclosure under sub-section (1) shall be recorded in the minutes of the meeting of the Commission and the member shall not be present during any deliberation of the Commission with respect to that matter.</w:t>
      </w:r>
    </w:p>
    <w:p w14:paraId="3B82016C" w14:textId="77777777" w:rsidR="00E32617" w:rsidRPr="0019672F" w:rsidRDefault="00704BF9" w:rsidP="001004D9">
      <w:pPr>
        <w:shd w:val="clear" w:color="auto" w:fill="FFFFFF"/>
        <w:spacing w:before="120" w:after="60"/>
        <w:rPr>
          <w:b/>
          <w:szCs w:val="24"/>
        </w:rPr>
      </w:pPr>
      <w:r w:rsidRPr="0019672F">
        <w:rPr>
          <w:b/>
          <w:szCs w:val="18"/>
        </w:rPr>
        <w:t>Meetings</w:t>
      </w:r>
    </w:p>
    <w:p w14:paraId="057D5CDC" w14:textId="5C832A59" w:rsidR="00E32617" w:rsidRPr="0019672F" w:rsidRDefault="008B69E5" w:rsidP="00EC0F50">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ae</w:t>
      </w:r>
      <w:r w:rsidR="00704BF9" w:rsidRPr="0019672F">
        <w:rPr>
          <w:sz w:val="24"/>
          <w:szCs w:val="24"/>
        </w:rPr>
        <w:t>. (1) The Commission shall hold such meetings as are necessary for the performance of its functions.</w:t>
      </w:r>
    </w:p>
    <w:p w14:paraId="44FDD83E" w14:textId="3CC35A24"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The Chairman may, at any time, convene a meeting of the Commission, and shall do so if so directed by the Minister.</w:t>
      </w:r>
    </w:p>
    <w:p w14:paraId="745ECED2" w14:textId="2D65E0E2"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(3) At a meeting 3 members constitute a quorum.</w:t>
      </w:r>
    </w:p>
    <w:p w14:paraId="20E81D2E" w14:textId="387114B8"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(4) The Chairman shall preside at all meetings of the Commission at which he is present.</w:t>
      </w:r>
    </w:p>
    <w:p w14:paraId="3349DF01" w14:textId="6534AFC8"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(5) In the event of the absence of the Chairman from a meeting, the members present shall elect one of their number to preside at that meeting.</w:t>
      </w:r>
    </w:p>
    <w:p w14:paraId="097F9573" w14:textId="31487CCD"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(6) A question arising at a meeting shall be decided by a majority of the votes of members present and voting.</w:t>
      </w:r>
    </w:p>
    <w:p w14:paraId="3860D67E" w14:textId="44E88297"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(7) At a meeting, the Chairman or other member presiding has a deliberative vote and, in the event of votes being equal, also has a casting vote.</w:t>
      </w:r>
    </w:p>
    <w:p w14:paraId="76116D9F" w14:textId="77777777" w:rsidR="00E32617" w:rsidRPr="0019672F" w:rsidRDefault="00704BF9" w:rsidP="00AE3509">
      <w:pPr>
        <w:shd w:val="clear" w:color="auto" w:fill="FFFFFF"/>
        <w:spacing w:before="120" w:after="60"/>
        <w:rPr>
          <w:b/>
          <w:szCs w:val="24"/>
        </w:rPr>
      </w:pPr>
      <w:r w:rsidRPr="0019672F">
        <w:rPr>
          <w:b/>
          <w:szCs w:val="18"/>
        </w:rPr>
        <w:t>Delegation by Commission</w:t>
      </w:r>
    </w:p>
    <w:p w14:paraId="15A76267" w14:textId="5778777B" w:rsidR="00E32617" w:rsidRPr="0019672F" w:rsidRDefault="008B69E5" w:rsidP="00AE350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af</w:t>
      </w:r>
      <w:r w:rsidR="00704BF9" w:rsidRPr="0019672F">
        <w:rPr>
          <w:sz w:val="24"/>
          <w:szCs w:val="24"/>
        </w:rPr>
        <w:t>. (1) The Commission may, either generally or as otherwise provided by the instrument of delegation, by writing under its common seal, delegate to an officer of the Commission any of its powers under this Act, other than this power of delegation.</w:t>
      </w:r>
    </w:p>
    <w:p w14:paraId="5441E2F7" w14:textId="1BC34594"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A power so delegated, when exercised by the delegate, shall, for the purposes of this Act, be deemed to have been exercised by the Commission.</w:t>
      </w:r>
    </w:p>
    <w:p w14:paraId="67041BD6" w14:textId="77777777" w:rsidR="00C81A1F" w:rsidRDefault="00C81A1F">
      <w:pPr>
        <w:widowControl/>
        <w:autoSpaceDE/>
        <w:autoSpaceDN/>
        <w:adjustRightInd/>
        <w:spacing w:after="200" w:line="276" w:lineRule="auto"/>
        <w:rPr>
          <w:sz w:val="24"/>
          <w:szCs w:val="24"/>
        </w:rPr>
      </w:pPr>
      <w:r>
        <w:rPr>
          <w:sz w:val="24"/>
          <w:szCs w:val="24"/>
        </w:rPr>
        <w:br w:type="page"/>
      </w:r>
    </w:p>
    <w:p w14:paraId="4D3DA6BA" w14:textId="2162D14C"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lastRenderedPageBreak/>
        <w:t>“</w:t>
      </w:r>
      <w:r w:rsidR="00704BF9" w:rsidRPr="0019672F">
        <w:rPr>
          <w:sz w:val="24"/>
          <w:szCs w:val="24"/>
        </w:rPr>
        <w:t>(3) A delegation under this section does not prevent the exercise of a power by the Commission.</w:t>
      </w:r>
    </w:p>
    <w:p w14:paraId="51320E9A" w14:textId="181BE729" w:rsidR="00E32617" w:rsidRPr="0019672F" w:rsidRDefault="008B69E5" w:rsidP="009B6FCB">
      <w:pPr>
        <w:shd w:val="clear" w:color="auto" w:fill="FFFFFF"/>
        <w:spacing w:after="120"/>
        <w:jc w:val="center"/>
        <w:rPr>
          <w:rFonts w:cs="Arial"/>
          <w:sz w:val="24"/>
          <w:szCs w:val="24"/>
        </w:rPr>
      </w:pPr>
      <w:r w:rsidRPr="0019672F">
        <w:rPr>
          <w:sz w:val="24"/>
          <w:szCs w:val="24"/>
        </w:rPr>
        <w:t>“</w:t>
      </w:r>
      <w:r w:rsidR="00704BF9" w:rsidRPr="0019672F">
        <w:rPr>
          <w:sz w:val="24"/>
          <w:szCs w:val="24"/>
        </w:rPr>
        <w:t>PART IV</w:t>
      </w:r>
      <w:r w:rsidR="00704BF9" w:rsidRPr="0019672F">
        <w:rPr>
          <w:rFonts w:eastAsia="Times New Roman"/>
          <w:sz w:val="24"/>
          <w:szCs w:val="24"/>
        </w:rPr>
        <w:t>—STAFF</w:t>
      </w:r>
      <w:r w:rsidRPr="0019672F">
        <w:rPr>
          <w:rFonts w:eastAsia="Times New Roman"/>
          <w:sz w:val="24"/>
          <w:szCs w:val="24"/>
        </w:rPr>
        <w:t>”</w:t>
      </w:r>
      <w:r w:rsidR="00704BF9" w:rsidRPr="0019672F">
        <w:rPr>
          <w:rFonts w:eastAsia="Times New Roman"/>
          <w:sz w:val="24"/>
          <w:szCs w:val="24"/>
        </w:rPr>
        <w:t>.</w:t>
      </w:r>
    </w:p>
    <w:p w14:paraId="08670C68" w14:textId="7813D04E" w:rsidR="00E32617" w:rsidRPr="0019672F" w:rsidRDefault="00704BF9" w:rsidP="002F75F1">
      <w:pPr>
        <w:shd w:val="clear" w:color="auto" w:fill="FFFFFF"/>
        <w:spacing w:before="60" w:after="60"/>
        <w:ind w:firstLine="432"/>
        <w:jc w:val="both"/>
        <w:rPr>
          <w:rFonts w:cs="Arial"/>
          <w:sz w:val="24"/>
          <w:szCs w:val="24"/>
        </w:rPr>
      </w:pPr>
      <w:r w:rsidRPr="0019672F">
        <w:rPr>
          <w:b/>
          <w:sz w:val="24"/>
          <w:szCs w:val="24"/>
        </w:rPr>
        <w:t>9.</w:t>
      </w:r>
      <w:r w:rsidRPr="0019672F">
        <w:rPr>
          <w:sz w:val="24"/>
          <w:szCs w:val="24"/>
        </w:rPr>
        <w:t xml:space="preserve"> After section 18</w:t>
      </w:r>
      <w:r w:rsidR="00C81A1F">
        <w:rPr>
          <w:smallCaps/>
          <w:sz w:val="24"/>
          <w:szCs w:val="24"/>
        </w:rPr>
        <w:t>a</w:t>
      </w:r>
      <w:r w:rsidRPr="0019672F">
        <w:rPr>
          <w:sz w:val="24"/>
          <w:szCs w:val="24"/>
        </w:rPr>
        <w:t xml:space="preserve"> of the Principal Act the following Part and heading are inserted:</w:t>
      </w:r>
    </w:p>
    <w:p w14:paraId="745398D1" w14:textId="77777777" w:rsidR="00E32617" w:rsidRPr="0019672F" w:rsidRDefault="008B69E5" w:rsidP="004279C1">
      <w:pPr>
        <w:shd w:val="clear" w:color="auto" w:fill="FFFFFF"/>
        <w:spacing w:before="120"/>
        <w:jc w:val="center"/>
        <w:rPr>
          <w:rFonts w:cs="Arial"/>
          <w:sz w:val="24"/>
          <w:szCs w:val="24"/>
        </w:rPr>
      </w:pPr>
      <w:r w:rsidRPr="0019672F">
        <w:rPr>
          <w:sz w:val="24"/>
          <w:szCs w:val="24"/>
        </w:rPr>
        <w:t>“</w:t>
      </w:r>
      <w:r w:rsidR="00704BF9" w:rsidRPr="0019672F">
        <w:rPr>
          <w:sz w:val="24"/>
          <w:szCs w:val="24"/>
        </w:rPr>
        <w:t>PART V</w:t>
      </w:r>
      <w:r w:rsidR="00704BF9" w:rsidRPr="0019672F">
        <w:rPr>
          <w:rFonts w:eastAsia="Times New Roman"/>
          <w:sz w:val="24"/>
          <w:szCs w:val="24"/>
        </w:rPr>
        <w:t>—FINANCE</w:t>
      </w:r>
    </w:p>
    <w:p w14:paraId="461A7C1E" w14:textId="77777777" w:rsidR="00E32617" w:rsidRPr="0019672F" w:rsidRDefault="00704BF9" w:rsidP="00665762">
      <w:pPr>
        <w:shd w:val="clear" w:color="auto" w:fill="FFFFFF"/>
        <w:spacing w:before="120" w:after="60"/>
        <w:rPr>
          <w:b/>
          <w:szCs w:val="24"/>
        </w:rPr>
      </w:pPr>
      <w:r w:rsidRPr="0019672F">
        <w:rPr>
          <w:b/>
          <w:szCs w:val="18"/>
        </w:rPr>
        <w:t>Moneys payable to Commission</w:t>
      </w:r>
    </w:p>
    <w:p w14:paraId="01185DD9" w14:textId="77777777" w:rsidR="00E32617" w:rsidRPr="0019672F" w:rsidRDefault="008B69E5" w:rsidP="00816EB6">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w:t>
      </w:r>
      <w:r w:rsidR="00704BF9" w:rsidRPr="0019672F">
        <w:rPr>
          <w:smallCaps/>
          <w:sz w:val="24"/>
          <w:szCs w:val="24"/>
        </w:rPr>
        <w:t xml:space="preserve">8b. </w:t>
      </w:r>
      <w:r w:rsidR="00704BF9" w:rsidRPr="0019672F">
        <w:rPr>
          <w:sz w:val="24"/>
          <w:szCs w:val="24"/>
        </w:rPr>
        <w:t>(1) There are payable to the Commission such moneys as are appropriated by the Parliament for the purposes of this Act.</w:t>
      </w:r>
    </w:p>
    <w:p w14:paraId="6D102053" w14:textId="05A52BFA"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The Minister for Finance may give directions as to the amounts in which, and the times at which, moneys referred to in sub-section (1) are to be paid to the Commission.</w:t>
      </w:r>
    </w:p>
    <w:p w14:paraId="1EB51424" w14:textId="77777777" w:rsidR="00E32617" w:rsidRPr="0019672F" w:rsidRDefault="00704BF9" w:rsidP="000015C1">
      <w:pPr>
        <w:shd w:val="clear" w:color="auto" w:fill="FFFFFF"/>
        <w:spacing w:before="120" w:after="60"/>
        <w:rPr>
          <w:b/>
          <w:szCs w:val="24"/>
        </w:rPr>
      </w:pPr>
      <w:r w:rsidRPr="0019672F">
        <w:rPr>
          <w:b/>
          <w:szCs w:val="18"/>
        </w:rPr>
        <w:t>Bank accounts</w:t>
      </w:r>
    </w:p>
    <w:p w14:paraId="23D26E3D" w14:textId="31CFDD23" w:rsidR="00E32617" w:rsidRPr="0019672F" w:rsidRDefault="008B69E5" w:rsidP="000015C1">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c</w:t>
      </w:r>
      <w:r w:rsidR="00704BF9" w:rsidRPr="0019672F">
        <w:rPr>
          <w:sz w:val="24"/>
          <w:szCs w:val="24"/>
        </w:rPr>
        <w:t>. (1) The Commission may open and maintain an account or accounts with an approved bank or approved banks and shall maintain at all times at least one such account.</w:t>
      </w:r>
    </w:p>
    <w:p w14:paraId="412FAC90" w14:textId="452D6BF1"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The Commission shall pay all moneys received by it into an account referred to in this section.</w:t>
      </w:r>
    </w:p>
    <w:p w14:paraId="47558BB6" w14:textId="7A92D543"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 xml:space="preserve">(3) In this section, </w:t>
      </w:r>
      <w:r w:rsidRPr="0019672F">
        <w:rPr>
          <w:sz w:val="24"/>
          <w:szCs w:val="24"/>
        </w:rPr>
        <w:t>‘</w:t>
      </w:r>
      <w:r w:rsidR="00704BF9" w:rsidRPr="0019672F">
        <w:rPr>
          <w:sz w:val="24"/>
          <w:szCs w:val="24"/>
        </w:rPr>
        <w:t>approved bank</w:t>
      </w:r>
      <w:r w:rsidRPr="0019672F">
        <w:rPr>
          <w:sz w:val="24"/>
          <w:szCs w:val="24"/>
        </w:rPr>
        <w:t>’</w:t>
      </w:r>
      <w:r w:rsidR="00704BF9" w:rsidRPr="0019672F">
        <w:rPr>
          <w:sz w:val="24"/>
          <w:szCs w:val="24"/>
        </w:rPr>
        <w:t xml:space="preserve"> means the Reserve Bank of Australia or another bank for the time being approved by the Treasurer.</w:t>
      </w:r>
    </w:p>
    <w:p w14:paraId="37DD9A63" w14:textId="77777777" w:rsidR="00E32617" w:rsidRPr="0019672F" w:rsidRDefault="00704BF9" w:rsidP="008023B4">
      <w:pPr>
        <w:shd w:val="clear" w:color="auto" w:fill="FFFFFF"/>
        <w:spacing w:before="120" w:after="60"/>
        <w:rPr>
          <w:b/>
          <w:szCs w:val="24"/>
        </w:rPr>
      </w:pPr>
      <w:r w:rsidRPr="0019672F">
        <w:rPr>
          <w:b/>
          <w:szCs w:val="18"/>
        </w:rPr>
        <w:t>Application of moneys</w:t>
      </w:r>
    </w:p>
    <w:p w14:paraId="4B789690" w14:textId="257FB876" w:rsidR="00E32617" w:rsidRPr="0019672F" w:rsidRDefault="008B69E5" w:rsidP="008023B4">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d</w:t>
      </w:r>
      <w:r w:rsidR="00704BF9" w:rsidRPr="0019672F">
        <w:rPr>
          <w:sz w:val="24"/>
          <w:szCs w:val="24"/>
        </w:rPr>
        <w:t>. The moneys of the Commission shall be applied only</w:t>
      </w:r>
      <w:r w:rsidR="00704BF9" w:rsidRPr="0019672F">
        <w:rPr>
          <w:rFonts w:eastAsia="Times New Roman"/>
          <w:sz w:val="24"/>
          <w:szCs w:val="24"/>
        </w:rPr>
        <w:t>—</w:t>
      </w:r>
    </w:p>
    <w:p w14:paraId="6C3500E7" w14:textId="77777777" w:rsidR="00E32617" w:rsidRPr="0019672F" w:rsidRDefault="00704BF9" w:rsidP="00D62E38">
      <w:pPr>
        <w:shd w:val="clear" w:color="auto" w:fill="FFFFFF"/>
        <w:spacing w:before="60" w:after="60"/>
        <w:ind w:left="792" w:hanging="360"/>
        <w:jc w:val="both"/>
        <w:rPr>
          <w:rFonts w:cs="Arial"/>
          <w:sz w:val="24"/>
          <w:szCs w:val="24"/>
        </w:rPr>
      </w:pPr>
      <w:r w:rsidRPr="0019672F">
        <w:rPr>
          <w:sz w:val="24"/>
          <w:szCs w:val="24"/>
        </w:rPr>
        <w:t>(a)</w:t>
      </w:r>
      <w:r w:rsidR="0063172E" w:rsidRPr="0019672F">
        <w:rPr>
          <w:sz w:val="24"/>
          <w:szCs w:val="24"/>
        </w:rPr>
        <w:t xml:space="preserve"> </w:t>
      </w:r>
      <w:r w:rsidRPr="0019672F">
        <w:rPr>
          <w:sz w:val="24"/>
          <w:szCs w:val="24"/>
        </w:rPr>
        <w:t>in payment or discharge of the costs, expenses and other obligations of the Commission under this Act; and</w:t>
      </w:r>
    </w:p>
    <w:p w14:paraId="4870A204" w14:textId="77777777" w:rsidR="00E32617" w:rsidRPr="0019672F" w:rsidRDefault="00704BF9" w:rsidP="00D62E38">
      <w:pPr>
        <w:shd w:val="clear" w:color="auto" w:fill="FFFFFF"/>
        <w:spacing w:before="60" w:after="60"/>
        <w:ind w:left="792" w:hanging="360"/>
        <w:jc w:val="both"/>
        <w:rPr>
          <w:rFonts w:cs="Arial"/>
          <w:sz w:val="24"/>
          <w:szCs w:val="24"/>
        </w:rPr>
      </w:pPr>
      <w:r w:rsidRPr="0019672F">
        <w:rPr>
          <w:sz w:val="24"/>
          <w:szCs w:val="24"/>
        </w:rPr>
        <w:t>(b)</w:t>
      </w:r>
      <w:r w:rsidR="0063172E" w:rsidRPr="0019672F">
        <w:rPr>
          <w:sz w:val="24"/>
          <w:szCs w:val="24"/>
        </w:rPr>
        <w:t xml:space="preserve"> </w:t>
      </w:r>
      <w:r w:rsidRPr="0019672F">
        <w:rPr>
          <w:sz w:val="24"/>
          <w:szCs w:val="24"/>
        </w:rPr>
        <w:t>in payment of remuneration and allowances payable to any person under this Act.</w:t>
      </w:r>
    </w:p>
    <w:p w14:paraId="24045649" w14:textId="77777777" w:rsidR="00E32617" w:rsidRPr="0019672F" w:rsidRDefault="00704BF9" w:rsidP="00D17D01">
      <w:pPr>
        <w:shd w:val="clear" w:color="auto" w:fill="FFFFFF"/>
        <w:spacing w:before="120" w:after="60"/>
        <w:rPr>
          <w:b/>
          <w:szCs w:val="24"/>
        </w:rPr>
      </w:pPr>
      <w:r w:rsidRPr="0019672F">
        <w:rPr>
          <w:b/>
          <w:szCs w:val="18"/>
        </w:rPr>
        <w:t>Estimates of receipts and expenditure</w:t>
      </w:r>
    </w:p>
    <w:p w14:paraId="556EF866" w14:textId="65E84A51" w:rsidR="00E32617" w:rsidRPr="0019672F" w:rsidRDefault="008B69E5" w:rsidP="00D17D01">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e</w:t>
      </w:r>
      <w:r w:rsidR="00704BF9" w:rsidRPr="0019672F">
        <w:rPr>
          <w:sz w:val="24"/>
          <w:szCs w:val="24"/>
        </w:rPr>
        <w:t>. (1) The Commission shall prepare estimates, in such form as the Minister directs, of its receipts and expenditure for each financial year and, if the Minister so directs, for any other period specified by the Minister, and the Commission shall submit estimates so prepared to the Minister not later than such date as the Minister directs.</w:t>
      </w:r>
    </w:p>
    <w:p w14:paraId="2B3BEE66" w14:textId="5D047645"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The moneys of the Commission shall not be expended otherwise than in accordance with estimates of expenditure approved by the Minister.</w:t>
      </w:r>
    </w:p>
    <w:p w14:paraId="35358A35" w14:textId="77777777" w:rsidR="00E32617" w:rsidRPr="0019672F" w:rsidRDefault="00704BF9" w:rsidP="003C23F7">
      <w:pPr>
        <w:shd w:val="clear" w:color="auto" w:fill="FFFFFF"/>
        <w:spacing w:before="120" w:after="60"/>
        <w:rPr>
          <w:b/>
          <w:szCs w:val="24"/>
        </w:rPr>
      </w:pPr>
      <w:r w:rsidRPr="0019672F">
        <w:rPr>
          <w:b/>
          <w:szCs w:val="18"/>
        </w:rPr>
        <w:t>Contracts</w:t>
      </w:r>
    </w:p>
    <w:p w14:paraId="6203F436" w14:textId="63AD8FF2" w:rsidR="00E32617" w:rsidRPr="0019672F" w:rsidRDefault="008B69E5" w:rsidP="003C23F7">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f</w:t>
      </w:r>
      <w:r w:rsidR="00704BF9" w:rsidRPr="0019672F">
        <w:rPr>
          <w:sz w:val="24"/>
          <w:szCs w:val="24"/>
        </w:rPr>
        <w:t>. The Commission shall not, except with the approval of the Minister, enter into a contract involving the payment or receipt by the Commission of an amount exceeding $50,000 or, if a higher amount is prescribed, that higher amount.</w:t>
      </w:r>
    </w:p>
    <w:p w14:paraId="4CBC971B" w14:textId="77777777" w:rsidR="00E32617" w:rsidRPr="0019672F" w:rsidRDefault="00704BF9" w:rsidP="00A90250">
      <w:pPr>
        <w:shd w:val="clear" w:color="auto" w:fill="FFFFFF"/>
        <w:spacing w:before="120" w:after="60"/>
        <w:rPr>
          <w:b/>
          <w:szCs w:val="24"/>
        </w:rPr>
      </w:pPr>
      <w:r w:rsidRPr="0019672F">
        <w:rPr>
          <w:b/>
          <w:szCs w:val="18"/>
        </w:rPr>
        <w:t>Proper accounts to be kept</w:t>
      </w:r>
    </w:p>
    <w:p w14:paraId="79FDB854" w14:textId="5F78CCDC" w:rsidR="00E32617" w:rsidRPr="0019672F" w:rsidRDefault="008B69E5" w:rsidP="001A16DE">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g</w:t>
      </w:r>
      <w:r w:rsidR="00704BF9" w:rsidRPr="0019672F">
        <w:rPr>
          <w:sz w:val="24"/>
          <w:szCs w:val="24"/>
        </w:rPr>
        <w:t>. The Commission shall cause to be kept proper accounts and records of the transactions and affairs of the Commission and shall do all things necessary to ensure that all payments out of its moneys are correctly made and properly authorized and that adequate control is maintained over the assets of, or in the custody of, the Commission and over the incurring of liabilities by the Commission.</w:t>
      </w:r>
    </w:p>
    <w:p w14:paraId="15956056" w14:textId="42A2AC73" w:rsidR="00E32617" w:rsidRPr="0019672F" w:rsidRDefault="00704BF9" w:rsidP="007A2D3C">
      <w:pPr>
        <w:shd w:val="clear" w:color="auto" w:fill="FFFFFF"/>
        <w:spacing w:before="120" w:after="60"/>
        <w:rPr>
          <w:b/>
          <w:szCs w:val="24"/>
        </w:rPr>
      </w:pPr>
      <w:r w:rsidRPr="0019672F">
        <w:rPr>
          <w:b/>
          <w:szCs w:val="18"/>
        </w:rPr>
        <w:t>Audit</w:t>
      </w:r>
    </w:p>
    <w:p w14:paraId="1E9D736C" w14:textId="46921E1D" w:rsidR="00E32617" w:rsidRPr="0019672F" w:rsidRDefault="008B69E5" w:rsidP="007A2D3C">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18</w:t>
      </w:r>
      <w:r w:rsidR="00C81A1F">
        <w:rPr>
          <w:smallCaps/>
          <w:sz w:val="24"/>
          <w:szCs w:val="24"/>
        </w:rPr>
        <w:t>h</w:t>
      </w:r>
      <w:r w:rsidR="00704BF9" w:rsidRPr="0019672F">
        <w:rPr>
          <w:sz w:val="24"/>
          <w:szCs w:val="24"/>
        </w:rPr>
        <w:t>. (1) The Auditor-General shall inspect and audit the accounts and records of financial transactions of the Commission and records relating to assets of, or in the custody of, the Commission, and shall forthwith draw the attention of the Minister to any irregularity disclosed by the inspection and audit that is, in the opinion of the Auditor-General, of sufficient importance to justify his so doing.</w:t>
      </w:r>
    </w:p>
    <w:p w14:paraId="574A6827" w14:textId="0764BEF1"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The Auditor-General may, in his discretion, dispense with all or any part of the detailed inspection and audit of any accounts or records referred to in sub-section (1).</w:t>
      </w:r>
    </w:p>
    <w:p w14:paraId="49013EAE" w14:textId="39DF73AD"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(3) The Auditor-General shall, at least once in each year, report to the Minister the results of the inspection and audit carried out under sub</w:t>
      </w:r>
      <w:r w:rsidR="00C81A1F">
        <w:rPr>
          <w:sz w:val="24"/>
          <w:szCs w:val="24"/>
        </w:rPr>
        <w:t>-</w:t>
      </w:r>
      <w:r w:rsidR="00704BF9" w:rsidRPr="0019672F">
        <w:rPr>
          <w:sz w:val="24"/>
          <w:szCs w:val="24"/>
        </w:rPr>
        <w:t>section (1).</w:t>
      </w:r>
    </w:p>
    <w:p w14:paraId="3FB0196B" w14:textId="2A20C560"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(4) The Auditor-General or a person authorized by him is entitled at all reasonable times to full and free access to all accounts, records, documents and papers of the Commission relating directly or indirectly to the receipt or payment of moneys by the Commission or to the acquisition, receipt, custody or disposal of assets by the Commission.</w:t>
      </w:r>
    </w:p>
    <w:p w14:paraId="61CBF9E2" w14:textId="77777777" w:rsidR="00BA18F9" w:rsidRDefault="00BA18F9" w:rsidP="00BA18F9">
      <w:pPr>
        <w:shd w:val="clear" w:color="auto" w:fill="FFFFFF"/>
        <w:spacing w:after="60"/>
        <w:ind w:firstLine="432"/>
        <w:jc w:val="both"/>
        <w:rPr>
          <w:sz w:val="2"/>
          <w:szCs w:val="2"/>
        </w:rPr>
      </w:pPr>
    </w:p>
    <w:p w14:paraId="693E2F09" w14:textId="434F3AAF"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lastRenderedPageBreak/>
        <w:t>“</w:t>
      </w:r>
      <w:r w:rsidR="00704BF9" w:rsidRPr="0019672F">
        <w:rPr>
          <w:sz w:val="24"/>
          <w:szCs w:val="24"/>
        </w:rPr>
        <w:t>(5) The Auditor-General or a person authorized by him may make copies of, or take extracts from, any such accounts, records, documents or papers.</w:t>
      </w:r>
    </w:p>
    <w:p w14:paraId="2B565809" w14:textId="518B2650"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(6) The Auditor-General or a person authorized by him may require any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14:paraId="786384C8" w14:textId="6249A3A0"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(7) A person who contravenes sub-section (6) is guilty of an offence punishable, upon conviction, by a fine not exceeding $200.</w:t>
      </w:r>
    </w:p>
    <w:p w14:paraId="1CE9DD80" w14:textId="77777777" w:rsidR="00BA18F9" w:rsidRDefault="00BA18F9" w:rsidP="00BA18F9">
      <w:pPr>
        <w:shd w:val="clear" w:color="auto" w:fill="FFFFFF"/>
        <w:spacing w:after="60"/>
        <w:ind w:firstLine="432"/>
        <w:jc w:val="both"/>
        <w:rPr>
          <w:sz w:val="2"/>
          <w:szCs w:val="2"/>
        </w:rPr>
      </w:pPr>
    </w:p>
    <w:p w14:paraId="52E34041" w14:textId="0839416A" w:rsidR="00E32617" w:rsidRPr="0019672F" w:rsidRDefault="008B69E5" w:rsidP="00BA18F9">
      <w:pPr>
        <w:shd w:val="clear" w:color="auto" w:fill="FFFFFF"/>
        <w:spacing w:before="240" w:after="240"/>
        <w:jc w:val="center"/>
        <w:rPr>
          <w:rFonts w:cs="Arial"/>
          <w:sz w:val="24"/>
          <w:szCs w:val="24"/>
        </w:rPr>
      </w:pPr>
      <w:r w:rsidRPr="0019672F">
        <w:rPr>
          <w:sz w:val="24"/>
          <w:szCs w:val="24"/>
        </w:rPr>
        <w:t>“</w:t>
      </w:r>
      <w:r w:rsidR="00704BF9" w:rsidRPr="0019672F">
        <w:rPr>
          <w:sz w:val="24"/>
          <w:szCs w:val="24"/>
        </w:rPr>
        <w:t>PART VI</w:t>
      </w:r>
      <w:r w:rsidR="00704BF9" w:rsidRPr="0019672F">
        <w:rPr>
          <w:rFonts w:eastAsia="Times New Roman"/>
          <w:sz w:val="24"/>
          <w:szCs w:val="24"/>
        </w:rPr>
        <w:t>—MISCELLANEOUS</w:t>
      </w:r>
      <w:r w:rsidRPr="0019672F">
        <w:rPr>
          <w:rFonts w:eastAsia="Times New Roman"/>
          <w:sz w:val="24"/>
          <w:szCs w:val="24"/>
        </w:rPr>
        <w:t>”</w:t>
      </w:r>
      <w:r w:rsidR="00704BF9" w:rsidRPr="0019672F">
        <w:rPr>
          <w:rFonts w:eastAsia="Times New Roman"/>
          <w:sz w:val="24"/>
          <w:szCs w:val="24"/>
        </w:rPr>
        <w:t>.</w:t>
      </w:r>
    </w:p>
    <w:p w14:paraId="7324E5C3" w14:textId="50C598AA" w:rsidR="00E32617" w:rsidRPr="0019672F" w:rsidRDefault="00704BF9" w:rsidP="002C55B9">
      <w:pPr>
        <w:shd w:val="clear" w:color="auto" w:fill="FFFFFF"/>
        <w:spacing w:before="60" w:after="60"/>
        <w:ind w:firstLine="432"/>
        <w:jc w:val="both"/>
        <w:rPr>
          <w:rFonts w:cs="Arial"/>
          <w:sz w:val="24"/>
          <w:szCs w:val="24"/>
        </w:rPr>
      </w:pPr>
      <w:r w:rsidRPr="0019672F">
        <w:rPr>
          <w:b/>
          <w:bCs/>
          <w:sz w:val="24"/>
          <w:szCs w:val="24"/>
        </w:rPr>
        <w:t>10.</w:t>
      </w:r>
      <w:r w:rsidRPr="0019672F">
        <w:rPr>
          <w:sz w:val="24"/>
          <w:szCs w:val="24"/>
        </w:rPr>
        <w:t xml:space="preserve"> After section 19</w:t>
      </w:r>
      <w:r w:rsidR="00C81A1F">
        <w:rPr>
          <w:smallCaps/>
          <w:sz w:val="24"/>
          <w:szCs w:val="24"/>
        </w:rPr>
        <w:t>a</w:t>
      </w:r>
      <w:r w:rsidRPr="0019672F">
        <w:rPr>
          <w:sz w:val="24"/>
          <w:szCs w:val="24"/>
        </w:rPr>
        <w:t xml:space="preserve"> of the Principal Act the following section is inserted:</w:t>
      </w:r>
    </w:p>
    <w:p w14:paraId="698F561C" w14:textId="77777777" w:rsidR="00E32617" w:rsidRPr="0019672F" w:rsidRDefault="00704BF9" w:rsidP="00895618">
      <w:pPr>
        <w:shd w:val="clear" w:color="auto" w:fill="FFFFFF"/>
        <w:spacing w:before="120" w:after="60"/>
        <w:rPr>
          <w:b/>
          <w:szCs w:val="24"/>
        </w:rPr>
      </w:pPr>
      <w:r w:rsidRPr="0019672F">
        <w:rPr>
          <w:b/>
          <w:szCs w:val="18"/>
        </w:rPr>
        <w:t>Liability to taxation</w:t>
      </w:r>
    </w:p>
    <w:p w14:paraId="3AE75C25" w14:textId="1A78F3BE" w:rsidR="00E32617" w:rsidRPr="0019672F" w:rsidRDefault="008B69E5" w:rsidP="00047AD8">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19</w:t>
      </w:r>
      <w:r w:rsidR="00C81A1F">
        <w:rPr>
          <w:smallCaps/>
          <w:sz w:val="24"/>
          <w:szCs w:val="24"/>
        </w:rPr>
        <w:t>aa</w:t>
      </w:r>
      <w:r w:rsidR="00704BF9" w:rsidRPr="0019672F">
        <w:rPr>
          <w:sz w:val="24"/>
          <w:szCs w:val="24"/>
        </w:rPr>
        <w:t>. The Commission is not subject to taxation under any law of the Commonwealth or of a State or Territory.</w:t>
      </w:r>
      <w:r w:rsidRPr="0019672F">
        <w:rPr>
          <w:sz w:val="24"/>
          <w:szCs w:val="24"/>
        </w:rPr>
        <w:t>”</w:t>
      </w:r>
      <w:r w:rsidR="00704BF9" w:rsidRPr="0019672F">
        <w:rPr>
          <w:sz w:val="24"/>
          <w:szCs w:val="24"/>
        </w:rPr>
        <w:t>.</w:t>
      </w:r>
    </w:p>
    <w:p w14:paraId="58C6C777" w14:textId="77777777" w:rsidR="00E32617" w:rsidRPr="0019672F" w:rsidRDefault="00704BF9" w:rsidP="00891310">
      <w:pPr>
        <w:shd w:val="clear" w:color="auto" w:fill="FFFFFF"/>
        <w:spacing w:before="120" w:after="60"/>
        <w:rPr>
          <w:b/>
          <w:szCs w:val="24"/>
        </w:rPr>
      </w:pPr>
      <w:r w:rsidRPr="0019672F">
        <w:rPr>
          <w:b/>
          <w:szCs w:val="18"/>
        </w:rPr>
        <w:t>Offences</w:t>
      </w:r>
    </w:p>
    <w:p w14:paraId="5CDEF9C5" w14:textId="77777777" w:rsidR="00E32617" w:rsidRPr="0019672F" w:rsidRDefault="00704BF9" w:rsidP="00891310">
      <w:pPr>
        <w:shd w:val="clear" w:color="auto" w:fill="FFFFFF"/>
        <w:spacing w:before="60" w:after="60"/>
        <w:ind w:firstLine="432"/>
        <w:jc w:val="both"/>
        <w:rPr>
          <w:rFonts w:cs="Arial"/>
          <w:sz w:val="24"/>
          <w:szCs w:val="24"/>
        </w:rPr>
      </w:pPr>
      <w:r w:rsidRPr="0019672F">
        <w:rPr>
          <w:b/>
          <w:bCs/>
          <w:sz w:val="24"/>
          <w:szCs w:val="24"/>
        </w:rPr>
        <w:t>11.</w:t>
      </w:r>
      <w:r w:rsidRPr="0019672F">
        <w:rPr>
          <w:sz w:val="24"/>
          <w:szCs w:val="24"/>
        </w:rPr>
        <w:t xml:space="preserve"> Section </w:t>
      </w:r>
      <w:r w:rsidRPr="0019672F">
        <w:rPr>
          <w:smallCaps/>
          <w:sz w:val="24"/>
          <w:szCs w:val="24"/>
        </w:rPr>
        <w:t xml:space="preserve">19b </w:t>
      </w:r>
      <w:r w:rsidRPr="0019672F">
        <w:rPr>
          <w:sz w:val="24"/>
          <w:szCs w:val="24"/>
        </w:rPr>
        <w:t xml:space="preserve">of the Principal Act is amended by omitting </w:t>
      </w:r>
      <w:r w:rsidR="008B69E5" w:rsidRPr="0019672F">
        <w:rPr>
          <w:sz w:val="24"/>
          <w:szCs w:val="24"/>
        </w:rPr>
        <w:t>“</w:t>
      </w:r>
      <w:r w:rsidRPr="0019672F">
        <w:rPr>
          <w:sz w:val="24"/>
          <w:szCs w:val="24"/>
        </w:rPr>
        <w:t>Two hundred dollars</w:t>
      </w:r>
      <w:r w:rsidR="008B69E5" w:rsidRPr="0019672F">
        <w:rPr>
          <w:sz w:val="24"/>
          <w:szCs w:val="24"/>
        </w:rPr>
        <w:t>”</w:t>
      </w:r>
      <w:r w:rsidRPr="0019672F">
        <w:rPr>
          <w:sz w:val="24"/>
          <w:szCs w:val="24"/>
        </w:rPr>
        <w:t xml:space="preserve"> and substituting </w:t>
      </w:r>
      <w:r w:rsidR="008B69E5" w:rsidRPr="0019672F">
        <w:rPr>
          <w:sz w:val="24"/>
          <w:szCs w:val="24"/>
        </w:rPr>
        <w:t>“</w:t>
      </w:r>
      <w:r w:rsidRPr="0019672F">
        <w:rPr>
          <w:sz w:val="24"/>
          <w:szCs w:val="24"/>
        </w:rPr>
        <w:t>$2,000</w:t>
      </w:r>
      <w:r w:rsidR="008B69E5" w:rsidRPr="0019672F">
        <w:rPr>
          <w:sz w:val="24"/>
          <w:szCs w:val="24"/>
        </w:rPr>
        <w:t>”</w:t>
      </w:r>
      <w:r w:rsidRPr="0019672F">
        <w:rPr>
          <w:sz w:val="24"/>
          <w:szCs w:val="24"/>
        </w:rPr>
        <w:t>.</w:t>
      </w:r>
    </w:p>
    <w:p w14:paraId="7120D6BA" w14:textId="064FDDFF" w:rsidR="00E32617" w:rsidRPr="0019672F" w:rsidRDefault="00704BF9" w:rsidP="006A6847">
      <w:pPr>
        <w:shd w:val="clear" w:color="auto" w:fill="FFFFFF"/>
        <w:spacing w:before="60" w:after="60"/>
        <w:ind w:firstLine="432"/>
        <w:jc w:val="both"/>
        <w:rPr>
          <w:rFonts w:cs="Arial"/>
          <w:sz w:val="24"/>
          <w:szCs w:val="24"/>
        </w:rPr>
      </w:pPr>
      <w:r w:rsidRPr="0019672F">
        <w:rPr>
          <w:b/>
          <w:bCs/>
          <w:sz w:val="24"/>
          <w:szCs w:val="24"/>
        </w:rPr>
        <w:t>12.</w:t>
      </w:r>
      <w:r w:rsidRPr="0019672F">
        <w:rPr>
          <w:sz w:val="24"/>
          <w:szCs w:val="24"/>
        </w:rPr>
        <w:t xml:space="preserve"> After section </w:t>
      </w:r>
      <w:r w:rsidRPr="0019672F">
        <w:rPr>
          <w:smallCaps/>
          <w:sz w:val="24"/>
          <w:szCs w:val="24"/>
        </w:rPr>
        <w:t xml:space="preserve">19b </w:t>
      </w:r>
      <w:r w:rsidRPr="0019672F">
        <w:rPr>
          <w:sz w:val="24"/>
          <w:szCs w:val="24"/>
        </w:rPr>
        <w:t>of the Principal Act the following section is inserted:</w:t>
      </w:r>
    </w:p>
    <w:p w14:paraId="13DA8772" w14:textId="77777777" w:rsidR="00E32617" w:rsidRPr="0019672F" w:rsidRDefault="00704BF9" w:rsidP="006A6847">
      <w:pPr>
        <w:shd w:val="clear" w:color="auto" w:fill="FFFFFF"/>
        <w:spacing w:before="120" w:after="60"/>
        <w:rPr>
          <w:b/>
          <w:szCs w:val="24"/>
        </w:rPr>
      </w:pPr>
      <w:r w:rsidRPr="0019672F">
        <w:rPr>
          <w:b/>
          <w:szCs w:val="18"/>
        </w:rPr>
        <w:t>Annual report of Commission</w:t>
      </w:r>
    </w:p>
    <w:p w14:paraId="418AED37" w14:textId="395FE349" w:rsidR="00E32617" w:rsidRPr="0019672F" w:rsidRDefault="008B69E5" w:rsidP="006A6847">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19</w:t>
      </w:r>
      <w:r w:rsidR="00C81A1F">
        <w:rPr>
          <w:smallCaps/>
          <w:sz w:val="24"/>
          <w:szCs w:val="24"/>
        </w:rPr>
        <w:t>c</w:t>
      </w:r>
      <w:r w:rsidR="00704BF9" w:rsidRPr="0019672F">
        <w:rPr>
          <w:sz w:val="24"/>
          <w:szCs w:val="24"/>
        </w:rPr>
        <w:t>. (1) The Commission shall, as soon as practicable after each 30 June, prepare and furnish to the Minister, for presentation to the Parliament, a report of the operations of the Commission during the year ended on that date, together with financial statements in respect of that year in such form as the Minister for Finance approves.</w:t>
      </w:r>
    </w:p>
    <w:p w14:paraId="6E580DEE" w14:textId="3772F629"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(2) Before furnishing financial statements to the Minister, the Commission shall submit them to the Auditor-General, who shall report to the Minister</w:t>
      </w:r>
      <w:r w:rsidR="00704BF9" w:rsidRPr="0019672F">
        <w:rPr>
          <w:rFonts w:eastAsia="Times New Roman"/>
          <w:sz w:val="24"/>
          <w:szCs w:val="24"/>
        </w:rPr>
        <w:t>—</w:t>
      </w:r>
    </w:p>
    <w:p w14:paraId="431B6397" w14:textId="77777777" w:rsidR="00E32617" w:rsidRPr="0019672F" w:rsidRDefault="00704BF9" w:rsidP="008842E8">
      <w:pPr>
        <w:shd w:val="clear" w:color="auto" w:fill="FFFFFF"/>
        <w:spacing w:before="60" w:after="60"/>
        <w:ind w:left="792" w:hanging="360"/>
        <w:jc w:val="both"/>
        <w:rPr>
          <w:rFonts w:cs="Arial"/>
          <w:sz w:val="24"/>
          <w:szCs w:val="24"/>
        </w:rPr>
      </w:pPr>
      <w:r w:rsidRPr="0019672F">
        <w:rPr>
          <w:sz w:val="24"/>
          <w:szCs w:val="24"/>
        </w:rPr>
        <w:t>(a)</w:t>
      </w:r>
      <w:r w:rsidR="0063172E" w:rsidRPr="0019672F">
        <w:rPr>
          <w:sz w:val="24"/>
          <w:szCs w:val="24"/>
        </w:rPr>
        <w:t xml:space="preserve"> </w:t>
      </w:r>
      <w:r w:rsidRPr="0019672F">
        <w:rPr>
          <w:sz w:val="24"/>
          <w:szCs w:val="24"/>
        </w:rPr>
        <w:t>whether the statements are based on proper accounts and records;</w:t>
      </w:r>
    </w:p>
    <w:p w14:paraId="0CC862B6" w14:textId="77777777" w:rsidR="00E32617" w:rsidRPr="0019672F" w:rsidRDefault="00704BF9" w:rsidP="008842E8">
      <w:pPr>
        <w:shd w:val="clear" w:color="auto" w:fill="FFFFFF"/>
        <w:spacing w:before="60" w:after="60"/>
        <w:ind w:left="792" w:hanging="360"/>
        <w:jc w:val="both"/>
        <w:rPr>
          <w:rFonts w:cs="Arial"/>
          <w:sz w:val="24"/>
          <w:szCs w:val="24"/>
        </w:rPr>
      </w:pPr>
      <w:r w:rsidRPr="0019672F">
        <w:rPr>
          <w:sz w:val="24"/>
          <w:szCs w:val="24"/>
        </w:rPr>
        <w:t>(b)</w:t>
      </w:r>
      <w:r w:rsidR="0063172E" w:rsidRPr="0019672F">
        <w:rPr>
          <w:sz w:val="24"/>
          <w:szCs w:val="24"/>
        </w:rPr>
        <w:t xml:space="preserve"> </w:t>
      </w:r>
      <w:r w:rsidRPr="0019672F">
        <w:rPr>
          <w:sz w:val="24"/>
          <w:szCs w:val="24"/>
        </w:rPr>
        <w:t>whether the statements are in agreement with the accounts and records;</w:t>
      </w:r>
    </w:p>
    <w:p w14:paraId="7E7FA533" w14:textId="77777777" w:rsidR="00E32617" w:rsidRPr="0019672F" w:rsidRDefault="00704BF9" w:rsidP="008842E8">
      <w:pPr>
        <w:shd w:val="clear" w:color="auto" w:fill="FFFFFF"/>
        <w:spacing w:before="60" w:after="60"/>
        <w:ind w:left="792" w:hanging="360"/>
        <w:jc w:val="both"/>
        <w:rPr>
          <w:rFonts w:cs="Arial"/>
          <w:sz w:val="24"/>
          <w:szCs w:val="24"/>
        </w:rPr>
      </w:pPr>
      <w:r w:rsidRPr="0019672F">
        <w:rPr>
          <w:sz w:val="24"/>
          <w:szCs w:val="24"/>
        </w:rPr>
        <w:t>(c)</w:t>
      </w:r>
      <w:r w:rsidR="0063172E" w:rsidRPr="0019672F">
        <w:rPr>
          <w:sz w:val="24"/>
          <w:szCs w:val="24"/>
        </w:rPr>
        <w:t xml:space="preserve"> </w:t>
      </w:r>
      <w:r w:rsidRPr="0019672F">
        <w:rPr>
          <w:sz w:val="24"/>
          <w:szCs w:val="24"/>
        </w:rPr>
        <w:t>whether the receipt and expenditure of moneys, and the acquisition and disposal of assets, by the Commission during the year have been in accordance with this Act; and</w:t>
      </w:r>
    </w:p>
    <w:p w14:paraId="01F18181" w14:textId="77777777" w:rsidR="00E32617" w:rsidRPr="0019672F" w:rsidRDefault="00704BF9" w:rsidP="003E6F85">
      <w:pPr>
        <w:shd w:val="clear" w:color="auto" w:fill="FFFFFF"/>
        <w:spacing w:before="60" w:after="60"/>
        <w:ind w:left="792" w:hanging="360"/>
        <w:jc w:val="both"/>
        <w:rPr>
          <w:rFonts w:cs="Arial"/>
          <w:sz w:val="24"/>
          <w:szCs w:val="24"/>
        </w:rPr>
      </w:pPr>
      <w:r w:rsidRPr="0019672F">
        <w:rPr>
          <w:sz w:val="24"/>
          <w:szCs w:val="24"/>
        </w:rPr>
        <w:t>(d)</w:t>
      </w:r>
      <w:r w:rsidR="0063172E" w:rsidRPr="0019672F">
        <w:rPr>
          <w:sz w:val="24"/>
          <w:szCs w:val="24"/>
        </w:rPr>
        <w:t xml:space="preserve"> </w:t>
      </w:r>
      <w:r w:rsidRPr="0019672F">
        <w:rPr>
          <w:sz w:val="24"/>
          <w:szCs w:val="24"/>
        </w:rPr>
        <w:t>as to such other matters arising out of the statements as the Auditor-General considers should be reported to the Minister.</w:t>
      </w:r>
    </w:p>
    <w:p w14:paraId="47525D18" w14:textId="505A52EB" w:rsidR="00E32617" w:rsidRPr="0019672F" w:rsidRDefault="008B69E5" w:rsidP="00BA18F9">
      <w:pPr>
        <w:shd w:val="clear" w:color="auto" w:fill="FFFFFF"/>
        <w:spacing w:before="60" w:after="60"/>
        <w:ind w:firstLine="432"/>
        <w:jc w:val="both"/>
        <w:rPr>
          <w:rFonts w:cs="Arial"/>
          <w:sz w:val="24"/>
          <w:szCs w:val="24"/>
        </w:rPr>
      </w:pPr>
      <w:r w:rsidRPr="0019672F">
        <w:rPr>
          <w:sz w:val="24"/>
          <w:szCs w:val="24"/>
        </w:rPr>
        <w:t>“</w:t>
      </w:r>
      <w:r w:rsidR="00704BF9" w:rsidRPr="0019672F">
        <w:rPr>
          <w:sz w:val="24"/>
          <w:szCs w:val="24"/>
        </w:rPr>
        <w:t>(3) The Minister shall cause a copy of the report and financial statements of the Commission, together with a copy of the report of the Auditor-General, to be laid before each House of the Parliament within 15 sitting days of that House after their receipt by the Minister.</w:t>
      </w:r>
      <w:r w:rsidRPr="0019672F">
        <w:rPr>
          <w:sz w:val="24"/>
          <w:szCs w:val="24"/>
        </w:rPr>
        <w:t>”</w:t>
      </w:r>
      <w:r w:rsidR="00704BF9" w:rsidRPr="0019672F">
        <w:rPr>
          <w:sz w:val="24"/>
          <w:szCs w:val="24"/>
        </w:rPr>
        <w:t>.</w:t>
      </w:r>
    </w:p>
    <w:p w14:paraId="3DCA2A66" w14:textId="77777777" w:rsidR="00E32617" w:rsidRPr="0019672F" w:rsidRDefault="00704BF9" w:rsidP="009015C5">
      <w:pPr>
        <w:shd w:val="clear" w:color="auto" w:fill="FFFFFF"/>
        <w:spacing w:before="120" w:after="60"/>
        <w:rPr>
          <w:b/>
          <w:szCs w:val="24"/>
        </w:rPr>
      </w:pPr>
      <w:r w:rsidRPr="0019672F">
        <w:rPr>
          <w:b/>
          <w:szCs w:val="18"/>
        </w:rPr>
        <w:t>Formal amendments</w:t>
      </w:r>
    </w:p>
    <w:p w14:paraId="0FC96C3D" w14:textId="77777777" w:rsidR="00E32617" w:rsidRPr="0019672F" w:rsidRDefault="00704BF9" w:rsidP="009015C5">
      <w:pPr>
        <w:shd w:val="clear" w:color="auto" w:fill="FFFFFF"/>
        <w:spacing w:before="60" w:after="60"/>
        <w:ind w:firstLine="432"/>
        <w:jc w:val="both"/>
        <w:rPr>
          <w:rFonts w:cs="Arial"/>
          <w:sz w:val="24"/>
          <w:szCs w:val="24"/>
        </w:rPr>
      </w:pPr>
      <w:r w:rsidRPr="0019672F">
        <w:rPr>
          <w:b/>
          <w:bCs/>
          <w:sz w:val="24"/>
          <w:szCs w:val="24"/>
        </w:rPr>
        <w:t>13.</w:t>
      </w:r>
      <w:r w:rsidRPr="0019672F">
        <w:rPr>
          <w:sz w:val="24"/>
          <w:szCs w:val="24"/>
        </w:rPr>
        <w:t xml:space="preserve"> The Principal Act is amended as set out in the Schedule.</w:t>
      </w:r>
    </w:p>
    <w:p w14:paraId="3D4A2A31" w14:textId="77777777" w:rsidR="00E32617" w:rsidRPr="0019672F" w:rsidRDefault="00EA7E39" w:rsidP="00805633">
      <w:pPr>
        <w:shd w:val="clear" w:color="auto" w:fill="FFFFFF"/>
        <w:tabs>
          <w:tab w:val="left" w:pos="8730"/>
        </w:tabs>
        <w:spacing w:before="720" w:after="120"/>
        <w:ind w:left="4176"/>
        <w:jc w:val="both"/>
        <w:rPr>
          <w:rFonts w:cs="Arial"/>
          <w:sz w:val="24"/>
          <w:szCs w:val="24"/>
        </w:rPr>
      </w:pPr>
      <w:r w:rsidRPr="0019672F">
        <w:rPr>
          <w:noProof/>
          <w:sz w:val="28"/>
          <w:szCs w:val="18"/>
          <w:lang w:val="en-AU" w:eastAsia="en-AU"/>
        </w:rPr>
        <mc:AlternateContent>
          <mc:Choice Requires="wps">
            <w:drawing>
              <wp:anchor distT="0" distB="0" distL="114300" distR="114300" simplePos="0" relativeHeight="251660288" behindDoc="0" locked="0" layoutInCell="1" allowOverlap="1" wp14:anchorId="1DA31E5E" wp14:editId="15D0B88B">
                <wp:simplePos x="0" y="0"/>
                <wp:positionH relativeFrom="column">
                  <wp:posOffset>2785110</wp:posOffset>
                </wp:positionH>
                <wp:positionV relativeFrom="paragraph">
                  <wp:posOffset>195157</wp:posOffset>
                </wp:positionV>
                <wp:extent cx="635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635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7048D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9.3pt,15.35pt" to="269.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" strokecolor="black [3040]" strokeweight="1.5pt"/>
            </w:pict>
          </mc:Fallback>
        </mc:AlternateContent>
      </w:r>
      <w:r w:rsidR="00704BF9" w:rsidRPr="0019672F">
        <w:rPr>
          <w:sz w:val="28"/>
          <w:szCs w:val="18"/>
        </w:rPr>
        <w:t>SCHEDULE</w:t>
      </w:r>
      <w:r w:rsidR="00BF5AA3" w:rsidRPr="0019672F">
        <w:rPr>
          <w:rFonts w:cs="Arial"/>
          <w:b/>
          <w:bCs/>
          <w:sz w:val="24"/>
          <w:szCs w:val="18"/>
        </w:rPr>
        <w:tab/>
      </w:r>
      <w:r w:rsidR="00704BF9" w:rsidRPr="0019672F">
        <w:rPr>
          <w:sz w:val="24"/>
          <w:szCs w:val="18"/>
        </w:rPr>
        <w:t>Section 13</w:t>
      </w:r>
    </w:p>
    <w:p w14:paraId="61415EF5" w14:textId="77777777" w:rsidR="00E32617" w:rsidRPr="0019672F" w:rsidRDefault="00704BF9" w:rsidP="00137546">
      <w:pPr>
        <w:shd w:val="clear" w:color="auto" w:fill="FFFFFF"/>
        <w:jc w:val="center"/>
        <w:rPr>
          <w:rFonts w:cs="Arial"/>
          <w:sz w:val="24"/>
          <w:szCs w:val="24"/>
        </w:rPr>
      </w:pPr>
      <w:r w:rsidRPr="0019672F">
        <w:rPr>
          <w:sz w:val="24"/>
          <w:szCs w:val="18"/>
        </w:rPr>
        <w:t>FORMAL AMENDMENTS</w:t>
      </w:r>
    </w:p>
    <w:p w14:paraId="23E4CFF2" w14:textId="77777777" w:rsidR="00E32617" w:rsidRPr="00BA18F9" w:rsidRDefault="00704BF9" w:rsidP="00AE57D7">
      <w:pPr>
        <w:shd w:val="clear" w:color="auto" w:fill="FFFFFF"/>
        <w:spacing w:before="60" w:after="60"/>
        <w:ind w:firstLine="432"/>
        <w:jc w:val="both"/>
        <w:rPr>
          <w:rFonts w:cs="Arial"/>
          <w:sz w:val="22"/>
          <w:szCs w:val="24"/>
        </w:rPr>
      </w:pPr>
      <w:r w:rsidRPr="00BA18F9">
        <w:rPr>
          <w:sz w:val="22"/>
          <w:szCs w:val="18"/>
        </w:rPr>
        <w:t>1.</w:t>
      </w:r>
      <w:r w:rsidR="0063172E" w:rsidRPr="00BA18F9">
        <w:rPr>
          <w:sz w:val="22"/>
          <w:szCs w:val="18"/>
        </w:rPr>
        <w:t xml:space="preserve"> </w:t>
      </w:r>
      <w:r w:rsidRPr="00BA18F9">
        <w:rPr>
          <w:sz w:val="22"/>
          <w:szCs w:val="18"/>
        </w:rPr>
        <w:t xml:space="preserve">The following provisions of the Principal Act are amended by omitting any number expressed in words that is used, whether with or without the addition of a letter, to identify a section </w:t>
      </w:r>
      <w:r w:rsidRPr="00BA18F9">
        <w:rPr>
          <w:sz w:val="22"/>
          <w:szCs w:val="18"/>
          <w:lang w:val="de-DE"/>
        </w:rPr>
        <w:t xml:space="preserve">of that Act, </w:t>
      </w:r>
      <w:r w:rsidRPr="00BA18F9">
        <w:rPr>
          <w:sz w:val="22"/>
          <w:szCs w:val="18"/>
        </w:rPr>
        <w:t>and substituting that number expressed in figures:</w:t>
      </w:r>
    </w:p>
    <w:p w14:paraId="1C0A42D2" w14:textId="342BDAE9" w:rsidR="00E32617" w:rsidRPr="00BA18F9" w:rsidRDefault="00704BF9" w:rsidP="00571276">
      <w:pPr>
        <w:shd w:val="clear" w:color="auto" w:fill="FFFFFF"/>
        <w:spacing w:before="60" w:after="60"/>
        <w:ind w:firstLine="432"/>
        <w:jc w:val="both"/>
        <w:rPr>
          <w:rFonts w:cs="Arial"/>
          <w:sz w:val="22"/>
          <w:szCs w:val="24"/>
        </w:rPr>
      </w:pPr>
      <w:r w:rsidRPr="00BA18F9">
        <w:rPr>
          <w:sz w:val="22"/>
          <w:szCs w:val="18"/>
        </w:rPr>
        <w:t xml:space="preserve">Sections 3(1) (definitions of </w:t>
      </w:r>
      <w:r w:rsidR="008B69E5" w:rsidRPr="00BA18F9">
        <w:rPr>
          <w:sz w:val="22"/>
          <w:szCs w:val="18"/>
        </w:rPr>
        <w:t>“</w:t>
      </w:r>
      <w:r w:rsidRPr="00BA18F9">
        <w:rPr>
          <w:sz w:val="22"/>
          <w:szCs w:val="18"/>
        </w:rPr>
        <w:t>Commonwealth standard of measurement</w:t>
      </w:r>
      <w:r w:rsidR="008B69E5" w:rsidRPr="00BA18F9">
        <w:rPr>
          <w:sz w:val="22"/>
          <w:szCs w:val="18"/>
        </w:rPr>
        <w:t>”</w:t>
      </w:r>
      <w:r w:rsidRPr="00BA18F9">
        <w:rPr>
          <w:sz w:val="22"/>
          <w:szCs w:val="18"/>
        </w:rPr>
        <w:t xml:space="preserve">, </w:t>
      </w:r>
      <w:r w:rsidR="008B69E5" w:rsidRPr="00BA18F9">
        <w:rPr>
          <w:sz w:val="22"/>
          <w:szCs w:val="18"/>
        </w:rPr>
        <w:t>“</w:t>
      </w:r>
      <w:r w:rsidRPr="00BA18F9">
        <w:rPr>
          <w:sz w:val="22"/>
          <w:szCs w:val="18"/>
        </w:rPr>
        <w:t>subsidiary standard of measurement</w:t>
      </w:r>
      <w:r w:rsidR="008B69E5" w:rsidRPr="00BA18F9">
        <w:rPr>
          <w:sz w:val="22"/>
          <w:szCs w:val="18"/>
        </w:rPr>
        <w:t>”</w:t>
      </w:r>
      <w:r w:rsidRPr="00BA18F9">
        <w:rPr>
          <w:sz w:val="22"/>
          <w:szCs w:val="18"/>
        </w:rPr>
        <w:t xml:space="preserve"> and </w:t>
      </w:r>
      <w:r w:rsidR="008B69E5" w:rsidRPr="00BA18F9">
        <w:rPr>
          <w:sz w:val="22"/>
          <w:szCs w:val="18"/>
        </w:rPr>
        <w:t>“</w:t>
      </w:r>
      <w:r w:rsidRPr="00BA18F9">
        <w:rPr>
          <w:sz w:val="22"/>
          <w:szCs w:val="18"/>
        </w:rPr>
        <w:t>working standard of measurement</w:t>
      </w:r>
      <w:r w:rsidR="008B69E5" w:rsidRPr="00BA18F9">
        <w:rPr>
          <w:sz w:val="22"/>
          <w:szCs w:val="18"/>
        </w:rPr>
        <w:t>”</w:t>
      </w:r>
      <w:r w:rsidRPr="00BA18F9">
        <w:rPr>
          <w:sz w:val="22"/>
          <w:szCs w:val="18"/>
        </w:rPr>
        <w:t>), 13 and 19.</w:t>
      </w:r>
    </w:p>
    <w:p w14:paraId="50B225D7" w14:textId="77777777" w:rsidR="00E32617" w:rsidRPr="00BA18F9" w:rsidRDefault="00704BF9" w:rsidP="00BD661B">
      <w:pPr>
        <w:shd w:val="clear" w:color="auto" w:fill="FFFFFF"/>
        <w:spacing w:before="60" w:after="60"/>
        <w:ind w:firstLine="432"/>
        <w:jc w:val="both"/>
        <w:rPr>
          <w:rFonts w:cs="Arial"/>
          <w:sz w:val="22"/>
          <w:szCs w:val="24"/>
        </w:rPr>
      </w:pPr>
      <w:r w:rsidRPr="00BA18F9">
        <w:rPr>
          <w:sz w:val="22"/>
          <w:szCs w:val="18"/>
        </w:rPr>
        <w:t>2.</w:t>
      </w:r>
      <w:r w:rsidR="0063172E" w:rsidRPr="00BA18F9">
        <w:rPr>
          <w:sz w:val="22"/>
          <w:szCs w:val="18"/>
        </w:rPr>
        <w:t xml:space="preserve"> </w:t>
      </w:r>
      <w:r w:rsidRPr="00BA18F9">
        <w:rPr>
          <w:sz w:val="22"/>
          <w:szCs w:val="18"/>
        </w:rPr>
        <w:t xml:space="preserve">The following provisions of the Principal Act are amended by omitting </w:t>
      </w:r>
      <w:r w:rsidR="008B69E5" w:rsidRPr="00BA18F9">
        <w:rPr>
          <w:sz w:val="22"/>
          <w:szCs w:val="18"/>
        </w:rPr>
        <w:t>“</w:t>
      </w:r>
      <w:r w:rsidRPr="00BA18F9">
        <w:rPr>
          <w:sz w:val="22"/>
          <w:szCs w:val="18"/>
        </w:rPr>
        <w:t>of this Act</w:t>
      </w:r>
      <w:r w:rsidR="008B69E5" w:rsidRPr="00BA18F9">
        <w:rPr>
          <w:sz w:val="22"/>
          <w:szCs w:val="18"/>
        </w:rPr>
        <w:t>”</w:t>
      </w:r>
      <w:r w:rsidRPr="00BA18F9">
        <w:rPr>
          <w:sz w:val="22"/>
          <w:szCs w:val="18"/>
        </w:rPr>
        <w:t xml:space="preserve"> and </w:t>
      </w:r>
      <w:r w:rsidR="008B69E5" w:rsidRPr="00BA18F9">
        <w:rPr>
          <w:sz w:val="22"/>
          <w:szCs w:val="18"/>
        </w:rPr>
        <w:t>“</w:t>
      </w:r>
      <w:r w:rsidRPr="00BA18F9">
        <w:rPr>
          <w:sz w:val="22"/>
          <w:szCs w:val="18"/>
        </w:rPr>
        <w:t>of this section</w:t>
      </w:r>
      <w:r w:rsidR="008B69E5" w:rsidRPr="00BA18F9">
        <w:rPr>
          <w:sz w:val="22"/>
          <w:szCs w:val="18"/>
        </w:rPr>
        <w:t>”</w:t>
      </w:r>
      <w:r w:rsidRPr="00BA18F9">
        <w:rPr>
          <w:sz w:val="22"/>
          <w:szCs w:val="18"/>
        </w:rPr>
        <w:t xml:space="preserve"> (wherever occurring):</w:t>
      </w:r>
    </w:p>
    <w:p w14:paraId="5D6281BF" w14:textId="5491A24F" w:rsidR="00E32617" w:rsidRPr="00BA18F9" w:rsidRDefault="00C81A1F" w:rsidP="00F9779D">
      <w:pPr>
        <w:shd w:val="clear" w:color="auto" w:fill="FFFFFF"/>
        <w:spacing w:before="60" w:after="60"/>
        <w:ind w:firstLine="432"/>
        <w:jc w:val="both"/>
        <w:rPr>
          <w:rFonts w:cs="Arial"/>
          <w:sz w:val="22"/>
          <w:szCs w:val="24"/>
        </w:rPr>
      </w:pPr>
      <w:r>
        <w:rPr>
          <w:sz w:val="22"/>
          <w:szCs w:val="18"/>
        </w:rPr>
        <w:t>Sections 3</w:t>
      </w:r>
      <w:r w:rsidR="00704BF9" w:rsidRPr="00BA18F9">
        <w:rPr>
          <w:sz w:val="22"/>
          <w:szCs w:val="18"/>
        </w:rPr>
        <w:t xml:space="preserve">(1) (definitions of </w:t>
      </w:r>
      <w:r w:rsidR="008B69E5" w:rsidRPr="00BA18F9">
        <w:rPr>
          <w:sz w:val="22"/>
          <w:szCs w:val="18"/>
        </w:rPr>
        <w:t>“</w:t>
      </w:r>
      <w:r w:rsidR="00704BF9" w:rsidRPr="00BA18F9">
        <w:rPr>
          <w:sz w:val="22"/>
          <w:szCs w:val="18"/>
        </w:rPr>
        <w:t>Commonwealth standard of measurement</w:t>
      </w:r>
      <w:r w:rsidR="008B69E5" w:rsidRPr="00BA18F9">
        <w:rPr>
          <w:sz w:val="22"/>
          <w:szCs w:val="18"/>
        </w:rPr>
        <w:t>”</w:t>
      </w:r>
      <w:r w:rsidR="00704BF9" w:rsidRPr="00BA18F9">
        <w:rPr>
          <w:sz w:val="22"/>
          <w:szCs w:val="18"/>
        </w:rPr>
        <w:t xml:space="preserve">, </w:t>
      </w:r>
      <w:r w:rsidR="008B69E5" w:rsidRPr="00BA18F9">
        <w:rPr>
          <w:sz w:val="22"/>
          <w:szCs w:val="18"/>
        </w:rPr>
        <w:t>“</w:t>
      </w:r>
      <w:r w:rsidR="00704BF9" w:rsidRPr="00BA18F9">
        <w:rPr>
          <w:sz w:val="22"/>
          <w:szCs w:val="18"/>
        </w:rPr>
        <w:t>subsidiary standard of measurement</w:t>
      </w:r>
      <w:r w:rsidR="008B69E5" w:rsidRPr="00BA18F9">
        <w:rPr>
          <w:sz w:val="22"/>
          <w:szCs w:val="18"/>
        </w:rPr>
        <w:t>”</w:t>
      </w:r>
      <w:r w:rsidR="00704BF9" w:rsidRPr="00BA18F9">
        <w:rPr>
          <w:sz w:val="22"/>
          <w:szCs w:val="18"/>
        </w:rPr>
        <w:t xml:space="preserve"> and </w:t>
      </w:r>
      <w:r w:rsidR="008B69E5" w:rsidRPr="00BA18F9">
        <w:rPr>
          <w:sz w:val="22"/>
          <w:szCs w:val="18"/>
        </w:rPr>
        <w:t>“</w:t>
      </w:r>
      <w:r w:rsidR="00704BF9" w:rsidRPr="00BA18F9">
        <w:rPr>
          <w:sz w:val="22"/>
          <w:szCs w:val="18"/>
        </w:rPr>
        <w:t>working standard of measurement</w:t>
      </w:r>
      <w:r w:rsidR="008B69E5" w:rsidRPr="00BA18F9">
        <w:rPr>
          <w:sz w:val="22"/>
          <w:szCs w:val="18"/>
        </w:rPr>
        <w:t>”</w:t>
      </w:r>
      <w:r w:rsidR="00704BF9" w:rsidRPr="00BA18F9">
        <w:rPr>
          <w:sz w:val="22"/>
          <w:szCs w:val="18"/>
        </w:rPr>
        <w:t>), 8(3), 10, 13 and 19.</w:t>
      </w:r>
    </w:p>
    <w:sectPr w:rsidR="00E32617" w:rsidRPr="00BA18F9" w:rsidSect="00A46F5D">
      <w:headerReference w:type="even" r:id="rId8"/>
      <w:headerReference w:type="default" r:id="rId9"/>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21443D" w15:done="0"/>
  <w15:commentEx w15:paraId="7A439E4A" w15:done="0"/>
  <w15:commentEx w15:paraId="0F1C7DB0" w15:done="0"/>
  <w15:commentEx w15:paraId="530E85B4" w15:done="0"/>
  <w15:commentEx w15:paraId="6F2C3024" w15:done="0"/>
  <w15:commentEx w15:paraId="0D3FC88C" w15:done="0"/>
  <w15:commentEx w15:paraId="62FD52E3" w15:done="0"/>
  <w15:commentEx w15:paraId="2B61B8DD" w15:done="0"/>
  <w15:commentEx w15:paraId="5EFDCD6D" w15:done="0"/>
  <w15:commentEx w15:paraId="49BEB1F4" w15:done="0"/>
  <w15:commentEx w15:paraId="33BDB1F0" w15:done="0"/>
  <w15:commentEx w15:paraId="0F6004EE" w15:done="0"/>
  <w15:commentEx w15:paraId="71A9CF89" w15:done="0"/>
  <w15:commentEx w15:paraId="1A8BBA00" w15:done="0"/>
  <w15:commentEx w15:paraId="7D6B55F5" w15:done="0"/>
  <w15:commentEx w15:paraId="19CD8E8B" w15:done="0"/>
  <w15:commentEx w15:paraId="7DE22BC1" w15:done="0"/>
  <w15:commentEx w15:paraId="68B59355" w15:done="0"/>
  <w15:commentEx w15:paraId="18E206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21443D" w16cid:durableId="1F71BC60"/>
  <w16cid:commentId w16cid:paraId="7A439E4A" w16cid:durableId="1F71BC6E"/>
  <w16cid:commentId w16cid:paraId="0F1C7DB0" w16cid:durableId="1F71BC82"/>
  <w16cid:commentId w16cid:paraId="530E85B4" w16cid:durableId="1F71BC8D"/>
  <w16cid:commentId w16cid:paraId="6F2C3024" w16cid:durableId="1F71BC9E"/>
  <w16cid:commentId w16cid:paraId="0D3FC88C" w16cid:durableId="1F71BCAD"/>
  <w16cid:commentId w16cid:paraId="62FD52E3" w16cid:durableId="1F71BCBB"/>
  <w16cid:commentId w16cid:paraId="2B61B8DD" w16cid:durableId="1F71BCCA"/>
  <w16cid:commentId w16cid:paraId="5EFDCD6D" w16cid:durableId="1F71BCD5"/>
  <w16cid:commentId w16cid:paraId="49BEB1F4" w16cid:durableId="1F71BCE1"/>
  <w16cid:commentId w16cid:paraId="33BDB1F0" w16cid:durableId="1F71BCEA"/>
  <w16cid:commentId w16cid:paraId="0F6004EE" w16cid:durableId="1F71BCF4"/>
  <w16cid:commentId w16cid:paraId="71A9CF89" w16cid:durableId="1F71BD00"/>
  <w16cid:commentId w16cid:paraId="1A8BBA00" w16cid:durableId="1F71BD0F"/>
  <w16cid:commentId w16cid:paraId="7D6B55F5" w16cid:durableId="1F71BD1E"/>
  <w16cid:commentId w16cid:paraId="19CD8E8B" w16cid:durableId="1F71BD54"/>
  <w16cid:commentId w16cid:paraId="7DE22BC1" w16cid:durableId="1F71BD5E"/>
  <w16cid:commentId w16cid:paraId="68B59355" w16cid:durableId="1F71BD72"/>
  <w16cid:commentId w16cid:paraId="18E2066A" w16cid:durableId="1F71C3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AFDE5" w14:textId="77777777" w:rsidR="00441B29" w:rsidRDefault="00441B29" w:rsidP="00A46F5D">
      <w:r>
        <w:separator/>
      </w:r>
    </w:p>
  </w:endnote>
  <w:endnote w:type="continuationSeparator" w:id="0">
    <w:p w14:paraId="1853C3ED" w14:textId="77777777" w:rsidR="00441B29" w:rsidRDefault="00441B29" w:rsidP="00A4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C491E" w14:textId="77777777" w:rsidR="00441B29" w:rsidRDefault="00441B29" w:rsidP="00A46F5D">
      <w:r>
        <w:separator/>
      </w:r>
    </w:p>
  </w:footnote>
  <w:footnote w:type="continuationSeparator" w:id="0">
    <w:p w14:paraId="14A49295" w14:textId="77777777" w:rsidR="00441B29" w:rsidRDefault="00441B29" w:rsidP="00A46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137E4" w14:textId="77777777" w:rsidR="00A46F5D" w:rsidRDefault="00A46F5D" w:rsidP="00A46F5D">
    <w:pPr>
      <w:pStyle w:val="Header"/>
      <w:tabs>
        <w:tab w:val="clear" w:pos="4513"/>
        <w:tab w:val="clear" w:pos="9026"/>
        <w:tab w:val="center" w:pos="4860"/>
        <w:tab w:val="right" w:pos="9720"/>
      </w:tabs>
      <w:rPr>
        <w:sz w:val="22"/>
        <w:szCs w:val="22"/>
        <w:lang w:val="en-IN"/>
      </w:rPr>
    </w:pPr>
    <w:r>
      <w:rPr>
        <w:sz w:val="22"/>
        <w:szCs w:val="22"/>
        <w:lang w:val="en-IN"/>
      </w:rPr>
      <w:t>No. 158</w:t>
    </w:r>
    <w:r>
      <w:rPr>
        <w:sz w:val="22"/>
        <w:szCs w:val="22"/>
        <w:lang w:val="en-IN"/>
      </w:rPr>
      <w:tab/>
    </w:r>
    <w:r>
      <w:rPr>
        <w:i/>
        <w:iCs/>
        <w:sz w:val="22"/>
        <w:szCs w:val="22"/>
        <w:lang w:val="en-IN"/>
      </w:rPr>
      <w:t>Weights and Measures (National</w:t>
    </w:r>
    <w:r>
      <w:rPr>
        <w:i/>
        <w:iCs/>
        <w:sz w:val="22"/>
        <w:szCs w:val="22"/>
        <w:lang w:val="en-IN"/>
      </w:rPr>
      <w:tab/>
    </w:r>
    <w:r>
      <w:rPr>
        <w:sz w:val="22"/>
        <w:szCs w:val="22"/>
        <w:lang w:val="en-IN"/>
      </w:rPr>
      <w:t>1978</w:t>
    </w:r>
  </w:p>
  <w:p w14:paraId="7AB9E9C9" w14:textId="77777777" w:rsidR="00A46F5D" w:rsidRDefault="00A46F5D" w:rsidP="00A46F5D">
    <w:pPr>
      <w:pStyle w:val="Header"/>
      <w:tabs>
        <w:tab w:val="clear" w:pos="4513"/>
        <w:tab w:val="clear" w:pos="9026"/>
        <w:tab w:val="center" w:pos="4860"/>
        <w:tab w:val="right" w:pos="9720"/>
      </w:tabs>
      <w:jc w:val="center"/>
    </w:pPr>
    <w:r>
      <w:rPr>
        <w:i/>
        <w:iCs/>
        <w:sz w:val="22"/>
        <w:szCs w:val="22"/>
        <w:lang w:val="en-IN"/>
      </w:rPr>
      <w:t>Standards) Amendment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3C136" w14:textId="77777777" w:rsidR="00A46F5D" w:rsidRDefault="00A46F5D" w:rsidP="00A46F5D">
    <w:pPr>
      <w:pStyle w:val="Header"/>
      <w:tabs>
        <w:tab w:val="clear" w:pos="4513"/>
        <w:tab w:val="clear" w:pos="9026"/>
        <w:tab w:val="center" w:pos="4860"/>
        <w:tab w:val="right" w:pos="9720"/>
      </w:tabs>
      <w:rPr>
        <w:sz w:val="22"/>
        <w:szCs w:val="22"/>
        <w:lang w:val="en-IN"/>
      </w:rPr>
    </w:pPr>
    <w:r>
      <w:rPr>
        <w:sz w:val="22"/>
        <w:szCs w:val="22"/>
        <w:lang w:val="en-IN"/>
      </w:rPr>
      <w:t>1978</w:t>
    </w:r>
    <w:r>
      <w:rPr>
        <w:sz w:val="22"/>
        <w:szCs w:val="22"/>
        <w:lang w:val="en-IN"/>
      </w:rPr>
      <w:tab/>
    </w:r>
    <w:r>
      <w:rPr>
        <w:i/>
        <w:iCs/>
        <w:sz w:val="22"/>
        <w:szCs w:val="22"/>
        <w:lang w:val="en-IN"/>
      </w:rPr>
      <w:t>Weights and Measures (National</w:t>
    </w:r>
    <w:r>
      <w:rPr>
        <w:i/>
        <w:iCs/>
        <w:sz w:val="22"/>
        <w:szCs w:val="22"/>
        <w:lang w:val="en-IN"/>
      </w:rPr>
      <w:tab/>
    </w:r>
    <w:r>
      <w:rPr>
        <w:sz w:val="22"/>
        <w:szCs w:val="22"/>
        <w:lang w:val="en-IN"/>
      </w:rPr>
      <w:t>No. 158</w:t>
    </w:r>
  </w:p>
  <w:p w14:paraId="0678167A" w14:textId="77777777" w:rsidR="00A46F5D" w:rsidRDefault="00A46F5D" w:rsidP="00A46F5D">
    <w:pPr>
      <w:pStyle w:val="Header"/>
      <w:jc w:val="center"/>
    </w:pPr>
    <w:r>
      <w:rPr>
        <w:i/>
        <w:iCs/>
        <w:sz w:val="22"/>
        <w:szCs w:val="22"/>
        <w:lang w:val="en-IN"/>
      </w:rPr>
      <w:t>Standards) Amendment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2E"/>
    <w:rsid w:val="000015C1"/>
    <w:rsid w:val="00013BC2"/>
    <w:rsid w:val="00047AD8"/>
    <w:rsid w:val="000A738B"/>
    <w:rsid w:val="000C1800"/>
    <w:rsid w:val="000C72ED"/>
    <w:rsid w:val="000C75A7"/>
    <w:rsid w:val="001004D9"/>
    <w:rsid w:val="00137546"/>
    <w:rsid w:val="0019672F"/>
    <w:rsid w:val="001A16DE"/>
    <w:rsid w:val="001B79A4"/>
    <w:rsid w:val="001C176C"/>
    <w:rsid w:val="00204501"/>
    <w:rsid w:val="0027714F"/>
    <w:rsid w:val="002C55B9"/>
    <w:rsid w:val="002F75F1"/>
    <w:rsid w:val="00300EA2"/>
    <w:rsid w:val="00312E73"/>
    <w:rsid w:val="00342BED"/>
    <w:rsid w:val="00376383"/>
    <w:rsid w:val="003A6BFE"/>
    <w:rsid w:val="003C23F7"/>
    <w:rsid w:val="003D0D17"/>
    <w:rsid w:val="003E6F85"/>
    <w:rsid w:val="00406256"/>
    <w:rsid w:val="004178EC"/>
    <w:rsid w:val="004279C1"/>
    <w:rsid w:val="004343E7"/>
    <w:rsid w:val="00441B29"/>
    <w:rsid w:val="004527D8"/>
    <w:rsid w:val="004673DF"/>
    <w:rsid w:val="004A713B"/>
    <w:rsid w:val="004D49BF"/>
    <w:rsid w:val="005063E3"/>
    <w:rsid w:val="005249B5"/>
    <w:rsid w:val="00542B1A"/>
    <w:rsid w:val="00543EE2"/>
    <w:rsid w:val="0057077E"/>
    <w:rsid w:val="00571276"/>
    <w:rsid w:val="00593E5B"/>
    <w:rsid w:val="005A3BC3"/>
    <w:rsid w:val="005E491B"/>
    <w:rsid w:val="0063172E"/>
    <w:rsid w:val="00632B03"/>
    <w:rsid w:val="00643400"/>
    <w:rsid w:val="00652B56"/>
    <w:rsid w:val="00652CED"/>
    <w:rsid w:val="00665762"/>
    <w:rsid w:val="006A6847"/>
    <w:rsid w:val="006E6E99"/>
    <w:rsid w:val="006E7876"/>
    <w:rsid w:val="00704BF9"/>
    <w:rsid w:val="00705607"/>
    <w:rsid w:val="00706CD5"/>
    <w:rsid w:val="00724A0A"/>
    <w:rsid w:val="00747C1D"/>
    <w:rsid w:val="007712B3"/>
    <w:rsid w:val="007744C4"/>
    <w:rsid w:val="007A2D3C"/>
    <w:rsid w:val="007B075C"/>
    <w:rsid w:val="007B7C18"/>
    <w:rsid w:val="007E0B9F"/>
    <w:rsid w:val="008023B4"/>
    <w:rsid w:val="00805633"/>
    <w:rsid w:val="00807721"/>
    <w:rsid w:val="00816EB6"/>
    <w:rsid w:val="008261BF"/>
    <w:rsid w:val="008842E8"/>
    <w:rsid w:val="00891310"/>
    <w:rsid w:val="00895618"/>
    <w:rsid w:val="008B69E5"/>
    <w:rsid w:val="008D60E3"/>
    <w:rsid w:val="009015C5"/>
    <w:rsid w:val="00901828"/>
    <w:rsid w:val="00924BF4"/>
    <w:rsid w:val="009B6FCB"/>
    <w:rsid w:val="009C7BC5"/>
    <w:rsid w:val="009F08D9"/>
    <w:rsid w:val="009F720C"/>
    <w:rsid w:val="00A46F5D"/>
    <w:rsid w:val="00A55408"/>
    <w:rsid w:val="00A90250"/>
    <w:rsid w:val="00A94EF7"/>
    <w:rsid w:val="00AD47EF"/>
    <w:rsid w:val="00AE3509"/>
    <w:rsid w:val="00AE57D7"/>
    <w:rsid w:val="00AF66C6"/>
    <w:rsid w:val="00B04C31"/>
    <w:rsid w:val="00B63EEF"/>
    <w:rsid w:val="00B778F0"/>
    <w:rsid w:val="00BA18F9"/>
    <w:rsid w:val="00BD661B"/>
    <w:rsid w:val="00BF5AA3"/>
    <w:rsid w:val="00C37CF4"/>
    <w:rsid w:val="00C4647B"/>
    <w:rsid w:val="00C5590D"/>
    <w:rsid w:val="00C76A4C"/>
    <w:rsid w:val="00C81A1F"/>
    <w:rsid w:val="00CC7F2D"/>
    <w:rsid w:val="00CF2DAC"/>
    <w:rsid w:val="00D17D01"/>
    <w:rsid w:val="00D62E38"/>
    <w:rsid w:val="00E32617"/>
    <w:rsid w:val="00E902A0"/>
    <w:rsid w:val="00EA7E39"/>
    <w:rsid w:val="00EC0F50"/>
    <w:rsid w:val="00F56C36"/>
    <w:rsid w:val="00F9779D"/>
    <w:rsid w:val="00FA2417"/>
    <w:rsid w:val="00FC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333B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5D"/>
    <w:pPr>
      <w:tabs>
        <w:tab w:val="center" w:pos="4513"/>
        <w:tab w:val="right" w:pos="9026"/>
      </w:tabs>
    </w:pPr>
  </w:style>
  <w:style w:type="character" w:customStyle="1" w:styleId="HeaderChar">
    <w:name w:val="Header Char"/>
    <w:basedOn w:val="DefaultParagraphFont"/>
    <w:link w:val="Header"/>
    <w:uiPriority w:val="99"/>
    <w:rsid w:val="00A46F5D"/>
    <w:rPr>
      <w:rFonts w:ascii="Times New Roman" w:hAnsi="Times New Roman" w:cs="Times New Roman"/>
      <w:sz w:val="20"/>
      <w:szCs w:val="20"/>
    </w:rPr>
  </w:style>
  <w:style w:type="paragraph" w:styleId="Footer">
    <w:name w:val="footer"/>
    <w:basedOn w:val="Normal"/>
    <w:link w:val="FooterChar"/>
    <w:uiPriority w:val="99"/>
    <w:unhideWhenUsed/>
    <w:rsid w:val="00A46F5D"/>
    <w:pPr>
      <w:tabs>
        <w:tab w:val="center" w:pos="4513"/>
        <w:tab w:val="right" w:pos="9026"/>
      </w:tabs>
    </w:pPr>
  </w:style>
  <w:style w:type="character" w:customStyle="1" w:styleId="FooterChar">
    <w:name w:val="Footer Char"/>
    <w:basedOn w:val="DefaultParagraphFont"/>
    <w:link w:val="Footer"/>
    <w:uiPriority w:val="99"/>
    <w:rsid w:val="00A46F5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46F5D"/>
    <w:rPr>
      <w:rFonts w:ascii="Tahoma" w:hAnsi="Tahoma" w:cs="Tahoma"/>
      <w:sz w:val="16"/>
      <w:szCs w:val="16"/>
    </w:rPr>
  </w:style>
  <w:style w:type="character" w:customStyle="1" w:styleId="BalloonTextChar">
    <w:name w:val="Balloon Text Char"/>
    <w:basedOn w:val="DefaultParagraphFont"/>
    <w:link w:val="BalloonText"/>
    <w:uiPriority w:val="99"/>
    <w:semiHidden/>
    <w:rsid w:val="00A46F5D"/>
    <w:rPr>
      <w:rFonts w:ascii="Tahoma" w:hAnsi="Tahoma" w:cs="Tahoma"/>
      <w:sz w:val="16"/>
      <w:szCs w:val="16"/>
    </w:rPr>
  </w:style>
  <w:style w:type="character" w:styleId="CommentReference">
    <w:name w:val="annotation reference"/>
    <w:basedOn w:val="DefaultParagraphFont"/>
    <w:uiPriority w:val="99"/>
    <w:semiHidden/>
    <w:unhideWhenUsed/>
    <w:rsid w:val="00B63EEF"/>
    <w:rPr>
      <w:sz w:val="16"/>
      <w:szCs w:val="16"/>
    </w:rPr>
  </w:style>
  <w:style w:type="paragraph" w:styleId="CommentText">
    <w:name w:val="annotation text"/>
    <w:basedOn w:val="Normal"/>
    <w:link w:val="CommentTextChar"/>
    <w:uiPriority w:val="99"/>
    <w:semiHidden/>
    <w:unhideWhenUsed/>
    <w:rsid w:val="00B63EEF"/>
  </w:style>
  <w:style w:type="character" w:customStyle="1" w:styleId="CommentTextChar">
    <w:name w:val="Comment Text Char"/>
    <w:basedOn w:val="DefaultParagraphFont"/>
    <w:link w:val="CommentText"/>
    <w:uiPriority w:val="99"/>
    <w:semiHidden/>
    <w:rsid w:val="00B63EE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3EEF"/>
    <w:rPr>
      <w:b/>
      <w:bCs/>
    </w:rPr>
  </w:style>
  <w:style w:type="character" w:customStyle="1" w:styleId="CommentSubjectChar">
    <w:name w:val="Comment Subject Char"/>
    <w:basedOn w:val="CommentTextChar"/>
    <w:link w:val="CommentSubject"/>
    <w:uiPriority w:val="99"/>
    <w:semiHidden/>
    <w:rsid w:val="00B63EEF"/>
    <w:rPr>
      <w:rFonts w:ascii="Times New Roman" w:hAnsi="Times New Roman" w:cs="Times New Roman"/>
      <w:b/>
      <w:bCs/>
      <w:sz w:val="20"/>
      <w:szCs w:val="20"/>
    </w:rPr>
  </w:style>
  <w:style w:type="paragraph" w:styleId="Revision">
    <w:name w:val="Revision"/>
    <w:hidden/>
    <w:uiPriority w:val="99"/>
    <w:semiHidden/>
    <w:rsid w:val="00C81A1F"/>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5D"/>
    <w:pPr>
      <w:tabs>
        <w:tab w:val="center" w:pos="4513"/>
        <w:tab w:val="right" w:pos="9026"/>
      </w:tabs>
    </w:pPr>
  </w:style>
  <w:style w:type="character" w:customStyle="1" w:styleId="HeaderChar">
    <w:name w:val="Header Char"/>
    <w:basedOn w:val="DefaultParagraphFont"/>
    <w:link w:val="Header"/>
    <w:uiPriority w:val="99"/>
    <w:rsid w:val="00A46F5D"/>
    <w:rPr>
      <w:rFonts w:ascii="Times New Roman" w:hAnsi="Times New Roman" w:cs="Times New Roman"/>
      <w:sz w:val="20"/>
      <w:szCs w:val="20"/>
    </w:rPr>
  </w:style>
  <w:style w:type="paragraph" w:styleId="Footer">
    <w:name w:val="footer"/>
    <w:basedOn w:val="Normal"/>
    <w:link w:val="FooterChar"/>
    <w:uiPriority w:val="99"/>
    <w:unhideWhenUsed/>
    <w:rsid w:val="00A46F5D"/>
    <w:pPr>
      <w:tabs>
        <w:tab w:val="center" w:pos="4513"/>
        <w:tab w:val="right" w:pos="9026"/>
      </w:tabs>
    </w:pPr>
  </w:style>
  <w:style w:type="character" w:customStyle="1" w:styleId="FooterChar">
    <w:name w:val="Footer Char"/>
    <w:basedOn w:val="DefaultParagraphFont"/>
    <w:link w:val="Footer"/>
    <w:uiPriority w:val="99"/>
    <w:rsid w:val="00A46F5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46F5D"/>
    <w:rPr>
      <w:rFonts w:ascii="Tahoma" w:hAnsi="Tahoma" w:cs="Tahoma"/>
      <w:sz w:val="16"/>
      <w:szCs w:val="16"/>
    </w:rPr>
  </w:style>
  <w:style w:type="character" w:customStyle="1" w:styleId="BalloonTextChar">
    <w:name w:val="Balloon Text Char"/>
    <w:basedOn w:val="DefaultParagraphFont"/>
    <w:link w:val="BalloonText"/>
    <w:uiPriority w:val="99"/>
    <w:semiHidden/>
    <w:rsid w:val="00A46F5D"/>
    <w:rPr>
      <w:rFonts w:ascii="Tahoma" w:hAnsi="Tahoma" w:cs="Tahoma"/>
      <w:sz w:val="16"/>
      <w:szCs w:val="16"/>
    </w:rPr>
  </w:style>
  <w:style w:type="character" w:styleId="CommentReference">
    <w:name w:val="annotation reference"/>
    <w:basedOn w:val="DefaultParagraphFont"/>
    <w:uiPriority w:val="99"/>
    <w:semiHidden/>
    <w:unhideWhenUsed/>
    <w:rsid w:val="00B63EEF"/>
    <w:rPr>
      <w:sz w:val="16"/>
      <w:szCs w:val="16"/>
    </w:rPr>
  </w:style>
  <w:style w:type="paragraph" w:styleId="CommentText">
    <w:name w:val="annotation text"/>
    <w:basedOn w:val="Normal"/>
    <w:link w:val="CommentTextChar"/>
    <w:uiPriority w:val="99"/>
    <w:semiHidden/>
    <w:unhideWhenUsed/>
    <w:rsid w:val="00B63EEF"/>
  </w:style>
  <w:style w:type="character" w:customStyle="1" w:styleId="CommentTextChar">
    <w:name w:val="Comment Text Char"/>
    <w:basedOn w:val="DefaultParagraphFont"/>
    <w:link w:val="CommentText"/>
    <w:uiPriority w:val="99"/>
    <w:semiHidden/>
    <w:rsid w:val="00B63EE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3EEF"/>
    <w:rPr>
      <w:b/>
      <w:bCs/>
    </w:rPr>
  </w:style>
  <w:style w:type="character" w:customStyle="1" w:styleId="CommentSubjectChar">
    <w:name w:val="Comment Subject Char"/>
    <w:basedOn w:val="CommentTextChar"/>
    <w:link w:val="CommentSubject"/>
    <w:uiPriority w:val="99"/>
    <w:semiHidden/>
    <w:rsid w:val="00B63EEF"/>
    <w:rPr>
      <w:rFonts w:ascii="Times New Roman" w:hAnsi="Times New Roman" w:cs="Times New Roman"/>
      <w:b/>
      <w:bCs/>
      <w:sz w:val="20"/>
      <w:szCs w:val="20"/>
    </w:rPr>
  </w:style>
  <w:style w:type="paragraph" w:styleId="Revision">
    <w:name w:val="Revision"/>
    <w:hidden/>
    <w:uiPriority w:val="99"/>
    <w:semiHidden/>
    <w:rsid w:val="00C81A1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7893">
      <w:bodyDiv w:val="1"/>
      <w:marLeft w:val="0"/>
      <w:marRight w:val="0"/>
      <w:marTop w:val="0"/>
      <w:marBottom w:val="0"/>
      <w:divBdr>
        <w:top w:val="none" w:sz="0" w:space="0" w:color="auto"/>
        <w:left w:val="none" w:sz="0" w:space="0" w:color="auto"/>
        <w:bottom w:val="none" w:sz="0" w:space="0" w:color="auto"/>
        <w:right w:val="none" w:sz="0" w:space="0" w:color="auto"/>
      </w:divBdr>
    </w:div>
    <w:div w:id="46222585">
      <w:bodyDiv w:val="1"/>
      <w:marLeft w:val="0"/>
      <w:marRight w:val="0"/>
      <w:marTop w:val="0"/>
      <w:marBottom w:val="0"/>
      <w:divBdr>
        <w:top w:val="none" w:sz="0" w:space="0" w:color="auto"/>
        <w:left w:val="none" w:sz="0" w:space="0" w:color="auto"/>
        <w:bottom w:val="none" w:sz="0" w:space="0" w:color="auto"/>
        <w:right w:val="none" w:sz="0" w:space="0" w:color="auto"/>
      </w:divBdr>
    </w:div>
    <w:div w:id="63184375">
      <w:bodyDiv w:val="1"/>
      <w:marLeft w:val="0"/>
      <w:marRight w:val="0"/>
      <w:marTop w:val="0"/>
      <w:marBottom w:val="0"/>
      <w:divBdr>
        <w:top w:val="none" w:sz="0" w:space="0" w:color="auto"/>
        <w:left w:val="none" w:sz="0" w:space="0" w:color="auto"/>
        <w:bottom w:val="none" w:sz="0" w:space="0" w:color="auto"/>
        <w:right w:val="none" w:sz="0" w:space="0" w:color="auto"/>
      </w:divBdr>
    </w:div>
    <w:div w:id="326981379">
      <w:bodyDiv w:val="1"/>
      <w:marLeft w:val="0"/>
      <w:marRight w:val="0"/>
      <w:marTop w:val="0"/>
      <w:marBottom w:val="0"/>
      <w:divBdr>
        <w:top w:val="none" w:sz="0" w:space="0" w:color="auto"/>
        <w:left w:val="none" w:sz="0" w:space="0" w:color="auto"/>
        <w:bottom w:val="none" w:sz="0" w:space="0" w:color="auto"/>
        <w:right w:val="none" w:sz="0" w:space="0" w:color="auto"/>
      </w:divBdr>
    </w:div>
    <w:div w:id="343409114">
      <w:bodyDiv w:val="1"/>
      <w:marLeft w:val="0"/>
      <w:marRight w:val="0"/>
      <w:marTop w:val="0"/>
      <w:marBottom w:val="0"/>
      <w:divBdr>
        <w:top w:val="none" w:sz="0" w:space="0" w:color="auto"/>
        <w:left w:val="none" w:sz="0" w:space="0" w:color="auto"/>
        <w:bottom w:val="none" w:sz="0" w:space="0" w:color="auto"/>
        <w:right w:val="none" w:sz="0" w:space="0" w:color="auto"/>
      </w:divBdr>
    </w:div>
    <w:div w:id="346441990">
      <w:bodyDiv w:val="1"/>
      <w:marLeft w:val="0"/>
      <w:marRight w:val="0"/>
      <w:marTop w:val="0"/>
      <w:marBottom w:val="0"/>
      <w:divBdr>
        <w:top w:val="none" w:sz="0" w:space="0" w:color="auto"/>
        <w:left w:val="none" w:sz="0" w:space="0" w:color="auto"/>
        <w:bottom w:val="none" w:sz="0" w:space="0" w:color="auto"/>
        <w:right w:val="none" w:sz="0" w:space="0" w:color="auto"/>
      </w:divBdr>
    </w:div>
    <w:div w:id="435945559">
      <w:bodyDiv w:val="1"/>
      <w:marLeft w:val="0"/>
      <w:marRight w:val="0"/>
      <w:marTop w:val="0"/>
      <w:marBottom w:val="0"/>
      <w:divBdr>
        <w:top w:val="none" w:sz="0" w:space="0" w:color="auto"/>
        <w:left w:val="none" w:sz="0" w:space="0" w:color="auto"/>
        <w:bottom w:val="none" w:sz="0" w:space="0" w:color="auto"/>
        <w:right w:val="none" w:sz="0" w:space="0" w:color="auto"/>
      </w:divBdr>
    </w:div>
    <w:div w:id="476342705">
      <w:bodyDiv w:val="1"/>
      <w:marLeft w:val="0"/>
      <w:marRight w:val="0"/>
      <w:marTop w:val="0"/>
      <w:marBottom w:val="0"/>
      <w:divBdr>
        <w:top w:val="none" w:sz="0" w:space="0" w:color="auto"/>
        <w:left w:val="none" w:sz="0" w:space="0" w:color="auto"/>
        <w:bottom w:val="none" w:sz="0" w:space="0" w:color="auto"/>
        <w:right w:val="none" w:sz="0" w:space="0" w:color="auto"/>
      </w:divBdr>
    </w:div>
    <w:div w:id="476727422">
      <w:bodyDiv w:val="1"/>
      <w:marLeft w:val="0"/>
      <w:marRight w:val="0"/>
      <w:marTop w:val="0"/>
      <w:marBottom w:val="0"/>
      <w:divBdr>
        <w:top w:val="none" w:sz="0" w:space="0" w:color="auto"/>
        <w:left w:val="none" w:sz="0" w:space="0" w:color="auto"/>
        <w:bottom w:val="none" w:sz="0" w:space="0" w:color="auto"/>
        <w:right w:val="none" w:sz="0" w:space="0" w:color="auto"/>
      </w:divBdr>
    </w:div>
    <w:div w:id="509610757">
      <w:bodyDiv w:val="1"/>
      <w:marLeft w:val="0"/>
      <w:marRight w:val="0"/>
      <w:marTop w:val="0"/>
      <w:marBottom w:val="0"/>
      <w:divBdr>
        <w:top w:val="none" w:sz="0" w:space="0" w:color="auto"/>
        <w:left w:val="none" w:sz="0" w:space="0" w:color="auto"/>
        <w:bottom w:val="none" w:sz="0" w:space="0" w:color="auto"/>
        <w:right w:val="none" w:sz="0" w:space="0" w:color="auto"/>
      </w:divBdr>
    </w:div>
    <w:div w:id="545020392">
      <w:bodyDiv w:val="1"/>
      <w:marLeft w:val="0"/>
      <w:marRight w:val="0"/>
      <w:marTop w:val="0"/>
      <w:marBottom w:val="0"/>
      <w:divBdr>
        <w:top w:val="none" w:sz="0" w:space="0" w:color="auto"/>
        <w:left w:val="none" w:sz="0" w:space="0" w:color="auto"/>
        <w:bottom w:val="none" w:sz="0" w:space="0" w:color="auto"/>
        <w:right w:val="none" w:sz="0" w:space="0" w:color="auto"/>
      </w:divBdr>
    </w:div>
    <w:div w:id="646202234">
      <w:bodyDiv w:val="1"/>
      <w:marLeft w:val="0"/>
      <w:marRight w:val="0"/>
      <w:marTop w:val="0"/>
      <w:marBottom w:val="0"/>
      <w:divBdr>
        <w:top w:val="none" w:sz="0" w:space="0" w:color="auto"/>
        <w:left w:val="none" w:sz="0" w:space="0" w:color="auto"/>
        <w:bottom w:val="none" w:sz="0" w:space="0" w:color="auto"/>
        <w:right w:val="none" w:sz="0" w:space="0" w:color="auto"/>
      </w:divBdr>
    </w:div>
    <w:div w:id="656542120">
      <w:bodyDiv w:val="1"/>
      <w:marLeft w:val="0"/>
      <w:marRight w:val="0"/>
      <w:marTop w:val="0"/>
      <w:marBottom w:val="0"/>
      <w:divBdr>
        <w:top w:val="none" w:sz="0" w:space="0" w:color="auto"/>
        <w:left w:val="none" w:sz="0" w:space="0" w:color="auto"/>
        <w:bottom w:val="none" w:sz="0" w:space="0" w:color="auto"/>
        <w:right w:val="none" w:sz="0" w:space="0" w:color="auto"/>
      </w:divBdr>
    </w:div>
    <w:div w:id="1048262278">
      <w:bodyDiv w:val="1"/>
      <w:marLeft w:val="0"/>
      <w:marRight w:val="0"/>
      <w:marTop w:val="0"/>
      <w:marBottom w:val="0"/>
      <w:divBdr>
        <w:top w:val="none" w:sz="0" w:space="0" w:color="auto"/>
        <w:left w:val="none" w:sz="0" w:space="0" w:color="auto"/>
        <w:bottom w:val="none" w:sz="0" w:space="0" w:color="auto"/>
        <w:right w:val="none" w:sz="0" w:space="0" w:color="auto"/>
      </w:divBdr>
    </w:div>
    <w:div w:id="1059211024">
      <w:bodyDiv w:val="1"/>
      <w:marLeft w:val="0"/>
      <w:marRight w:val="0"/>
      <w:marTop w:val="0"/>
      <w:marBottom w:val="0"/>
      <w:divBdr>
        <w:top w:val="none" w:sz="0" w:space="0" w:color="auto"/>
        <w:left w:val="none" w:sz="0" w:space="0" w:color="auto"/>
        <w:bottom w:val="none" w:sz="0" w:space="0" w:color="auto"/>
        <w:right w:val="none" w:sz="0" w:space="0" w:color="auto"/>
      </w:divBdr>
    </w:div>
    <w:div w:id="1066688119">
      <w:bodyDiv w:val="1"/>
      <w:marLeft w:val="0"/>
      <w:marRight w:val="0"/>
      <w:marTop w:val="0"/>
      <w:marBottom w:val="0"/>
      <w:divBdr>
        <w:top w:val="none" w:sz="0" w:space="0" w:color="auto"/>
        <w:left w:val="none" w:sz="0" w:space="0" w:color="auto"/>
        <w:bottom w:val="none" w:sz="0" w:space="0" w:color="auto"/>
        <w:right w:val="none" w:sz="0" w:space="0" w:color="auto"/>
      </w:divBdr>
    </w:div>
    <w:div w:id="1107848089">
      <w:bodyDiv w:val="1"/>
      <w:marLeft w:val="0"/>
      <w:marRight w:val="0"/>
      <w:marTop w:val="0"/>
      <w:marBottom w:val="0"/>
      <w:divBdr>
        <w:top w:val="none" w:sz="0" w:space="0" w:color="auto"/>
        <w:left w:val="none" w:sz="0" w:space="0" w:color="auto"/>
        <w:bottom w:val="none" w:sz="0" w:space="0" w:color="auto"/>
        <w:right w:val="none" w:sz="0" w:space="0" w:color="auto"/>
      </w:divBdr>
    </w:div>
    <w:div w:id="1108890861">
      <w:bodyDiv w:val="1"/>
      <w:marLeft w:val="0"/>
      <w:marRight w:val="0"/>
      <w:marTop w:val="0"/>
      <w:marBottom w:val="0"/>
      <w:divBdr>
        <w:top w:val="none" w:sz="0" w:space="0" w:color="auto"/>
        <w:left w:val="none" w:sz="0" w:space="0" w:color="auto"/>
        <w:bottom w:val="none" w:sz="0" w:space="0" w:color="auto"/>
        <w:right w:val="none" w:sz="0" w:space="0" w:color="auto"/>
      </w:divBdr>
    </w:div>
    <w:div w:id="1149204231">
      <w:bodyDiv w:val="1"/>
      <w:marLeft w:val="0"/>
      <w:marRight w:val="0"/>
      <w:marTop w:val="0"/>
      <w:marBottom w:val="0"/>
      <w:divBdr>
        <w:top w:val="none" w:sz="0" w:space="0" w:color="auto"/>
        <w:left w:val="none" w:sz="0" w:space="0" w:color="auto"/>
        <w:bottom w:val="none" w:sz="0" w:space="0" w:color="auto"/>
        <w:right w:val="none" w:sz="0" w:space="0" w:color="auto"/>
      </w:divBdr>
    </w:div>
    <w:div w:id="1196505939">
      <w:bodyDiv w:val="1"/>
      <w:marLeft w:val="0"/>
      <w:marRight w:val="0"/>
      <w:marTop w:val="0"/>
      <w:marBottom w:val="0"/>
      <w:divBdr>
        <w:top w:val="none" w:sz="0" w:space="0" w:color="auto"/>
        <w:left w:val="none" w:sz="0" w:space="0" w:color="auto"/>
        <w:bottom w:val="none" w:sz="0" w:space="0" w:color="auto"/>
        <w:right w:val="none" w:sz="0" w:space="0" w:color="auto"/>
      </w:divBdr>
    </w:div>
    <w:div w:id="1220635265">
      <w:bodyDiv w:val="1"/>
      <w:marLeft w:val="0"/>
      <w:marRight w:val="0"/>
      <w:marTop w:val="0"/>
      <w:marBottom w:val="0"/>
      <w:divBdr>
        <w:top w:val="none" w:sz="0" w:space="0" w:color="auto"/>
        <w:left w:val="none" w:sz="0" w:space="0" w:color="auto"/>
        <w:bottom w:val="none" w:sz="0" w:space="0" w:color="auto"/>
        <w:right w:val="none" w:sz="0" w:space="0" w:color="auto"/>
      </w:divBdr>
    </w:div>
    <w:div w:id="1222718166">
      <w:bodyDiv w:val="1"/>
      <w:marLeft w:val="0"/>
      <w:marRight w:val="0"/>
      <w:marTop w:val="0"/>
      <w:marBottom w:val="0"/>
      <w:divBdr>
        <w:top w:val="none" w:sz="0" w:space="0" w:color="auto"/>
        <w:left w:val="none" w:sz="0" w:space="0" w:color="auto"/>
        <w:bottom w:val="none" w:sz="0" w:space="0" w:color="auto"/>
        <w:right w:val="none" w:sz="0" w:space="0" w:color="auto"/>
      </w:divBdr>
    </w:div>
    <w:div w:id="1380931379">
      <w:bodyDiv w:val="1"/>
      <w:marLeft w:val="0"/>
      <w:marRight w:val="0"/>
      <w:marTop w:val="0"/>
      <w:marBottom w:val="0"/>
      <w:divBdr>
        <w:top w:val="none" w:sz="0" w:space="0" w:color="auto"/>
        <w:left w:val="none" w:sz="0" w:space="0" w:color="auto"/>
        <w:bottom w:val="none" w:sz="0" w:space="0" w:color="auto"/>
        <w:right w:val="none" w:sz="0" w:space="0" w:color="auto"/>
      </w:divBdr>
    </w:div>
    <w:div w:id="1447431354">
      <w:bodyDiv w:val="1"/>
      <w:marLeft w:val="0"/>
      <w:marRight w:val="0"/>
      <w:marTop w:val="0"/>
      <w:marBottom w:val="0"/>
      <w:divBdr>
        <w:top w:val="none" w:sz="0" w:space="0" w:color="auto"/>
        <w:left w:val="none" w:sz="0" w:space="0" w:color="auto"/>
        <w:bottom w:val="none" w:sz="0" w:space="0" w:color="auto"/>
        <w:right w:val="none" w:sz="0" w:space="0" w:color="auto"/>
      </w:divBdr>
    </w:div>
    <w:div w:id="1461266729">
      <w:bodyDiv w:val="1"/>
      <w:marLeft w:val="0"/>
      <w:marRight w:val="0"/>
      <w:marTop w:val="0"/>
      <w:marBottom w:val="0"/>
      <w:divBdr>
        <w:top w:val="none" w:sz="0" w:space="0" w:color="auto"/>
        <w:left w:val="none" w:sz="0" w:space="0" w:color="auto"/>
        <w:bottom w:val="none" w:sz="0" w:space="0" w:color="auto"/>
        <w:right w:val="none" w:sz="0" w:space="0" w:color="auto"/>
      </w:divBdr>
    </w:div>
    <w:div w:id="1503542481">
      <w:bodyDiv w:val="1"/>
      <w:marLeft w:val="0"/>
      <w:marRight w:val="0"/>
      <w:marTop w:val="0"/>
      <w:marBottom w:val="0"/>
      <w:divBdr>
        <w:top w:val="none" w:sz="0" w:space="0" w:color="auto"/>
        <w:left w:val="none" w:sz="0" w:space="0" w:color="auto"/>
        <w:bottom w:val="none" w:sz="0" w:space="0" w:color="auto"/>
        <w:right w:val="none" w:sz="0" w:space="0" w:color="auto"/>
      </w:divBdr>
    </w:div>
    <w:div w:id="1622228487">
      <w:bodyDiv w:val="1"/>
      <w:marLeft w:val="0"/>
      <w:marRight w:val="0"/>
      <w:marTop w:val="0"/>
      <w:marBottom w:val="0"/>
      <w:divBdr>
        <w:top w:val="none" w:sz="0" w:space="0" w:color="auto"/>
        <w:left w:val="none" w:sz="0" w:space="0" w:color="auto"/>
        <w:bottom w:val="none" w:sz="0" w:space="0" w:color="auto"/>
        <w:right w:val="none" w:sz="0" w:space="0" w:color="auto"/>
      </w:divBdr>
    </w:div>
    <w:div w:id="1713843263">
      <w:bodyDiv w:val="1"/>
      <w:marLeft w:val="0"/>
      <w:marRight w:val="0"/>
      <w:marTop w:val="0"/>
      <w:marBottom w:val="0"/>
      <w:divBdr>
        <w:top w:val="none" w:sz="0" w:space="0" w:color="auto"/>
        <w:left w:val="none" w:sz="0" w:space="0" w:color="auto"/>
        <w:bottom w:val="none" w:sz="0" w:space="0" w:color="auto"/>
        <w:right w:val="none" w:sz="0" w:space="0" w:color="auto"/>
      </w:divBdr>
    </w:div>
    <w:div w:id="1756437786">
      <w:bodyDiv w:val="1"/>
      <w:marLeft w:val="0"/>
      <w:marRight w:val="0"/>
      <w:marTop w:val="0"/>
      <w:marBottom w:val="0"/>
      <w:divBdr>
        <w:top w:val="none" w:sz="0" w:space="0" w:color="auto"/>
        <w:left w:val="none" w:sz="0" w:space="0" w:color="auto"/>
        <w:bottom w:val="none" w:sz="0" w:space="0" w:color="auto"/>
        <w:right w:val="none" w:sz="0" w:space="0" w:color="auto"/>
      </w:divBdr>
    </w:div>
    <w:div w:id="1772430623">
      <w:bodyDiv w:val="1"/>
      <w:marLeft w:val="0"/>
      <w:marRight w:val="0"/>
      <w:marTop w:val="0"/>
      <w:marBottom w:val="0"/>
      <w:divBdr>
        <w:top w:val="none" w:sz="0" w:space="0" w:color="auto"/>
        <w:left w:val="none" w:sz="0" w:space="0" w:color="auto"/>
        <w:bottom w:val="none" w:sz="0" w:space="0" w:color="auto"/>
        <w:right w:val="none" w:sz="0" w:space="0" w:color="auto"/>
      </w:divBdr>
    </w:div>
    <w:div w:id="1799376538">
      <w:bodyDiv w:val="1"/>
      <w:marLeft w:val="0"/>
      <w:marRight w:val="0"/>
      <w:marTop w:val="0"/>
      <w:marBottom w:val="0"/>
      <w:divBdr>
        <w:top w:val="none" w:sz="0" w:space="0" w:color="auto"/>
        <w:left w:val="none" w:sz="0" w:space="0" w:color="auto"/>
        <w:bottom w:val="none" w:sz="0" w:space="0" w:color="auto"/>
        <w:right w:val="none" w:sz="0" w:space="0" w:color="auto"/>
      </w:divBdr>
    </w:div>
    <w:div w:id="1815681253">
      <w:bodyDiv w:val="1"/>
      <w:marLeft w:val="0"/>
      <w:marRight w:val="0"/>
      <w:marTop w:val="0"/>
      <w:marBottom w:val="0"/>
      <w:divBdr>
        <w:top w:val="none" w:sz="0" w:space="0" w:color="auto"/>
        <w:left w:val="none" w:sz="0" w:space="0" w:color="auto"/>
        <w:bottom w:val="none" w:sz="0" w:space="0" w:color="auto"/>
        <w:right w:val="none" w:sz="0" w:space="0" w:color="auto"/>
      </w:divBdr>
    </w:div>
    <w:div w:id="1926499673">
      <w:bodyDiv w:val="1"/>
      <w:marLeft w:val="0"/>
      <w:marRight w:val="0"/>
      <w:marTop w:val="0"/>
      <w:marBottom w:val="0"/>
      <w:divBdr>
        <w:top w:val="none" w:sz="0" w:space="0" w:color="auto"/>
        <w:left w:val="none" w:sz="0" w:space="0" w:color="auto"/>
        <w:bottom w:val="none" w:sz="0" w:space="0" w:color="auto"/>
        <w:right w:val="none" w:sz="0" w:space="0" w:color="auto"/>
      </w:divBdr>
    </w:div>
    <w:div w:id="1930120617">
      <w:bodyDiv w:val="1"/>
      <w:marLeft w:val="0"/>
      <w:marRight w:val="0"/>
      <w:marTop w:val="0"/>
      <w:marBottom w:val="0"/>
      <w:divBdr>
        <w:top w:val="none" w:sz="0" w:space="0" w:color="auto"/>
        <w:left w:val="none" w:sz="0" w:space="0" w:color="auto"/>
        <w:bottom w:val="none" w:sz="0" w:space="0" w:color="auto"/>
        <w:right w:val="none" w:sz="0" w:space="0" w:color="auto"/>
      </w:divBdr>
    </w:div>
    <w:div w:id="19854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A5854-23EA-4F9A-B404-0F67467F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2017</Words>
  <Characters>10159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2018-10-17T04:19:00Z</dcterms:created>
  <dcterms:modified xsi:type="dcterms:W3CDTF">2019-09-24T01:17:00Z</dcterms:modified>
</cp:coreProperties>
</file>