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0BD72" w14:textId="77777777" w:rsidR="00FA465F" w:rsidRPr="004107B0" w:rsidRDefault="00FC32D1" w:rsidP="004107B0">
      <w:pPr>
        <w:shd w:val="clear" w:color="auto" w:fill="FFFFFF"/>
        <w:ind w:left="576" w:right="576"/>
        <w:jc w:val="center"/>
        <w:rPr>
          <w:sz w:val="32"/>
        </w:rPr>
      </w:pPr>
      <w:r w:rsidRPr="004107B0">
        <w:rPr>
          <w:b/>
          <w:bCs/>
          <w:sz w:val="32"/>
        </w:rPr>
        <w:t>HEALTH INSURANCE LEVY ASSESSMENT AMENDMENT ACT 1978</w:t>
      </w:r>
    </w:p>
    <w:p w14:paraId="24F0AACD" w14:textId="77777777" w:rsidR="00FA465F" w:rsidRPr="001C35B2" w:rsidRDefault="00FC32D1" w:rsidP="001C35B2">
      <w:pPr>
        <w:shd w:val="clear" w:color="auto" w:fill="FFFFFF"/>
        <w:spacing w:before="360" w:after="360"/>
        <w:jc w:val="center"/>
        <w:rPr>
          <w:b/>
          <w:bCs/>
          <w:sz w:val="28"/>
        </w:rPr>
      </w:pPr>
      <w:r w:rsidRPr="001C35B2">
        <w:rPr>
          <w:b/>
          <w:bCs/>
          <w:sz w:val="28"/>
        </w:rPr>
        <w:t>No. 90 of 1978</w:t>
      </w:r>
    </w:p>
    <w:p w14:paraId="3FD53751" w14:textId="77777777" w:rsidR="00FA465F" w:rsidRPr="004107B0" w:rsidRDefault="00FC32D1" w:rsidP="00903E6F">
      <w:pPr>
        <w:shd w:val="clear" w:color="auto" w:fill="FFFFFF"/>
        <w:spacing w:after="240"/>
        <w:jc w:val="both"/>
        <w:rPr>
          <w:sz w:val="24"/>
        </w:rPr>
      </w:pPr>
      <w:r w:rsidRPr="004107B0">
        <w:rPr>
          <w:sz w:val="24"/>
        </w:rPr>
        <w:t>An Act to amend the law relating to income tax in relation to the imposition, assessment and collection of a health insurance levy.</w:t>
      </w:r>
    </w:p>
    <w:p w14:paraId="71B7E4C8" w14:textId="77777777" w:rsidR="00FA465F" w:rsidRPr="004107B0" w:rsidRDefault="00FC32D1" w:rsidP="00FD690A">
      <w:pPr>
        <w:shd w:val="clear" w:color="auto" w:fill="FFFFFF"/>
        <w:spacing w:after="60"/>
        <w:ind w:firstLine="432"/>
        <w:jc w:val="both"/>
        <w:rPr>
          <w:sz w:val="24"/>
        </w:rPr>
      </w:pPr>
      <w:r w:rsidRPr="004107B0">
        <w:rPr>
          <w:sz w:val="24"/>
        </w:rPr>
        <w:t>BE IT ENACTED by the Queen, and the Senate and House of Representatives of the Commonwealth of Australia, as follows:</w:t>
      </w:r>
    </w:p>
    <w:p w14:paraId="36D0BC00" w14:textId="77777777" w:rsidR="00FA465F" w:rsidRPr="00FD690A" w:rsidRDefault="00FC32D1" w:rsidP="00FD690A">
      <w:pPr>
        <w:shd w:val="clear" w:color="auto" w:fill="FFFFFF"/>
        <w:spacing w:before="120" w:after="60"/>
        <w:jc w:val="both"/>
        <w:rPr>
          <w:b/>
        </w:rPr>
      </w:pPr>
      <w:r w:rsidRPr="00FD690A">
        <w:rPr>
          <w:b/>
        </w:rPr>
        <w:t>Short title, &amp;c.</w:t>
      </w:r>
    </w:p>
    <w:p w14:paraId="00C922D9" w14:textId="6D7EB6A6" w:rsidR="00FA465F" w:rsidRPr="004107B0" w:rsidRDefault="00FC32D1" w:rsidP="00FD690A">
      <w:pPr>
        <w:shd w:val="clear" w:color="auto" w:fill="FFFFFF"/>
        <w:spacing w:after="60"/>
        <w:ind w:firstLine="432"/>
        <w:jc w:val="both"/>
        <w:rPr>
          <w:sz w:val="24"/>
        </w:rPr>
      </w:pPr>
      <w:r w:rsidRPr="004107B0">
        <w:rPr>
          <w:b/>
          <w:bCs/>
          <w:sz w:val="24"/>
        </w:rPr>
        <w:t>1.</w:t>
      </w:r>
      <w:r w:rsidRPr="004107B0">
        <w:rPr>
          <w:sz w:val="24"/>
        </w:rPr>
        <w:t xml:space="preserve"> (1) This Act may be cited as the </w:t>
      </w:r>
      <w:r w:rsidRPr="004107B0">
        <w:rPr>
          <w:i/>
          <w:iCs/>
          <w:sz w:val="24"/>
        </w:rPr>
        <w:t xml:space="preserve">Health Insurance Levy Assessment Amendment Act </w:t>
      </w:r>
      <w:r w:rsidRPr="004107B0">
        <w:rPr>
          <w:sz w:val="24"/>
        </w:rPr>
        <w:t>1978.</w:t>
      </w:r>
    </w:p>
    <w:p w14:paraId="3F4A7FF3" w14:textId="77777777" w:rsidR="001D746F" w:rsidRPr="001D746F" w:rsidRDefault="001D746F" w:rsidP="00FD690A">
      <w:pPr>
        <w:shd w:val="clear" w:color="auto" w:fill="FFFFFF"/>
        <w:spacing w:after="60"/>
        <w:ind w:firstLine="432"/>
        <w:jc w:val="both"/>
        <w:rPr>
          <w:sz w:val="2"/>
          <w:szCs w:val="2"/>
        </w:rPr>
      </w:pPr>
    </w:p>
    <w:p w14:paraId="281B720F" w14:textId="3E97FA84" w:rsidR="00FA465F" w:rsidRPr="004107B0" w:rsidRDefault="00FC32D1" w:rsidP="00FD690A">
      <w:pPr>
        <w:shd w:val="clear" w:color="auto" w:fill="FFFFFF"/>
        <w:spacing w:after="60"/>
        <w:ind w:firstLine="432"/>
        <w:jc w:val="both"/>
        <w:rPr>
          <w:sz w:val="24"/>
        </w:rPr>
      </w:pPr>
      <w:r w:rsidRPr="004107B0">
        <w:rPr>
          <w:sz w:val="24"/>
        </w:rPr>
        <w:t xml:space="preserve">(2) The </w:t>
      </w:r>
      <w:r w:rsidRPr="004107B0">
        <w:rPr>
          <w:i/>
          <w:iCs/>
          <w:sz w:val="24"/>
        </w:rPr>
        <w:t xml:space="preserve">Income Tax Assessment Act </w:t>
      </w:r>
      <w:r w:rsidRPr="004107B0">
        <w:rPr>
          <w:sz w:val="24"/>
        </w:rPr>
        <w:t>1936 is in this Act referred to as the Principal Act.</w:t>
      </w:r>
    </w:p>
    <w:p w14:paraId="3FF37427" w14:textId="77777777" w:rsidR="00FA465F" w:rsidRPr="00FD690A" w:rsidRDefault="00FC32D1" w:rsidP="00FD690A">
      <w:pPr>
        <w:shd w:val="clear" w:color="auto" w:fill="FFFFFF"/>
        <w:spacing w:before="120" w:after="60"/>
        <w:jc w:val="both"/>
        <w:rPr>
          <w:b/>
        </w:rPr>
      </w:pPr>
      <w:r w:rsidRPr="00FD690A">
        <w:rPr>
          <w:b/>
        </w:rPr>
        <w:t>Commencement</w:t>
      </w:r>
    </w:p>
    <w:p w14:paraId="79BBD9AD" w14:textId="61DBC290" w:rsidR="00FA465F" w:rsidRPr="004107B0" w:rsidRDefault="00FC32D1" w:rsidP="00FD690A">
      <w:pPr>
        <w:shd w:val="clear" w:color="auto" w:fill="FFFFFF"/>
        <w:spacing w:after="60"/>
        <w:ind w:firstLine="432"/>
        <w:jc w:val="both"/>
        <w:rPr>
          <w:sz w:val="24"/>
        </w:rPr>
      </w:pPr>
      <w:r w:rsidRPr="004107B0">
        <w:rPr>
          <w:b/>
          <w:bCs/>
          <w:sz w:val="24"/>
        </w:rPr>
        <w:t>2.</w:t>
      </w:r>
      <w:r w:rsidRPr="004107B0">
        <w:rPr>
          <w:sz w:val="24"/>
        </w:rPr>
        <w:t xml:space="preserve"> This Act shall come into operation on the day on which it receives the Royal Assent.</w:t>
      </w:r>
    </w:p>
    <w:p w14:paraId="369AB610" w14:textId="77777777" w:rsidR="00FA465F" w:rsidRPr="00FD690A" w:rsidRDefault="00FC32D1" w:rsidP="00FD690A">
      <w:pPr>
        <w:shd w:val="clear" w:color="auto" w:fill="FFFFFF"/>
        <w:spacing w:before="120" w:after="60"/>
        <w:jc w:val="both"/>
        <w:rPr>
          <w:b/>
        </w:rPr>
      </w:pPr>
      <w:r w:rsidRPr="00FD690A">
        <w:rPr>
          <w:b/>
        </w:rPr>
        <w:t>Interpretation</w:t>
      </w:r>
    </w:p>
    <w:p w14:paraId="68475329" w14:textId="24E21D3F" w:rsidR="00FA465F" w:rsidRPr="004107B0" w:rsidRDefault="00FC32D1" w:rsidP="00FD690A">
      <w:pPr>
        <w:shd w:val="clear" w:color="auto" w:fill="FFFFFF"/>
        <w:spacing w:after="60"/>
        <w:ind w:firstLine="432"/>
        <w:jc w:val="both"/>
        <w:rPr>
          <w:sz w:val="24"/>
        </w:rPr>
      </w:pPr>
      <w:r w:rsidRPr="004107B0">
        <w:rPr>
          <w:b/>
          <w:bCs/>
          <w:sz w:val="24"/>
        </w:rPr>
        <w:t>3.</w:t>
      </w:r>
      <w:r w:rsidRPr="004107B0">
        <w:rPr>
          <w:sz w:val="24"/>
        </w:rPr>
        <w:t xml:space="preserve"> (1) Section 251</w:t>
      </w:r>
      <w:r w:rsidR="00F7314F">
        <w:rPr>
          <w:smallCaps/>
          <w:sz w:val="24"/>
        </w:rPr>
        <w:t>r</w:t>
      </w:r>
      <w:r w:rsidRPr="004107B0">
        <w:rPr>
          <w:sz w:val="24"/>
        </w:rPr>
        <w:t xml:space="preserve"> of the Principal Act is amended</w:t>
      </w:r>
      <w:r w:rsidRPr="004107B0">
        <w:rPr>
          <w:rFonts w:eastAsia="Times New Roman"/>
          <w:sz w:val="24"/>
        </w:rPr>
        <w:t>—</w:t>
      </w:r>
    </w:p>
    <w:p w14:paraId="134E3373" w14:textId="7BF262B5" w:rsidR="00FA465F" w:rsidRPr="004107B0" w:rsidRDefault="00FC32D1" w:rsidP="00FD690A">
      <w:pPr>
        <w:shd w:val="clear" w:color="auto" w:fill="FFFFFF"/>
        <w:spacing w:after="60"/>
        <w:ind w:left="720" w:hanging="288"/>
        <w:jc w:val="both"/>
        <w:rPr>
          <w:sz w:val="24"/>
        </w:rPr>
      </w:pPr>
      <w:r w:rsidRPr="004107B0">
        <w:rPr>
          <w:sz w:val="24"/>
        </w:rPr>
        <w:t xml:space="preserve">(a) by inserting </w:t>
      </w:r>
      <w:r w:rsidR="008F2BA3" w:rsidRPr="004107B0">
        <w:rPr>
          <w:sz w:val="24"/>
        </w:rPr>
        <w:t>“</w:t>
      </w:r>
      <w:r w:rsidRPr="004107B0">
        <w:rPr>
          <w:sz w:val="24"/>
        </w:rPr>
        <w:t>,</w:t>
      </w:r>
      <w:r w:rsidR="00F7314F">
        <w:rPr>
          <w:sz w:val="24"/>
        </w:rPr>
        <w:t xml:space="preserve"> </w:t>
      </w:r>
      <w:r w:rsidRPr="004107B0">
        <w:rPr>
          <w:sz w:val="24"/>
        </w:rPr>
        <w:t>(3</w:t>
      </w:r>
      <w:r w:rsidR="00F7314F">
        <w:rPr>
          <w:smallCaps/>
          <w:sz w:val="24"/>
        </w:rPr>
        <w:t>a</w:t>
      </w:r>
      <w:r w:rsidRPr="004107B0">
        <w:rPr>
          <w:sz w:val="24"/>
        </w:rPr>
        <w:t>)</w:t>
      </w:r>
      <w:r w:rsidR="008F2BA3" w:rsidRPr="004107B0">
        <w:rPr>
          <w:sz w:val="24"/>
        </w:rPr>
        <w:t>”</w:t>
      </w:r>
      <w:r w:rsidRPr="004107B0">
        <w:rPr>
          <w:sz w:val="24"/>
        </w:rPr>
        <w:t xml:space="preserve"> after </w:t>
      </w:r>
      <w:r w:rsidR="008F2BA3" w:rsidRPr="004107B0">
        <w:rPr>
          <w:sz w:val="24"/>
        </w:rPr>
        <w:t>“</w:t>
      </w:r>
      <w:r w:rsidRPr="004107B0">
        <w:rPr>
          <w:sz w:val="24"/>
        </w:rPr>
        <w:t>(3)</w:t>
      </w:r>
      <w:r w:rsidR="008F2BA3" w:rsidRPr="004107B0">
        <w:rPr>
          <w:sz w:val="24"/>
        </w:rPr>
        <w:t>”</w:t>
      </w:r>
      <w:r w:rsidRPr="004107B0">
        <w:rPr>
          <w:sz w:val="24"/>
        </w:rPr>
        <w:t xml:space="preserve"> in sub-section</w:t>
      </w:r>
      <w:r w:rsidR="00F7314F">
        <w:rPr>
          <w:sz w:val="24"/>
        </w:rPr>
        <w:t xml:space="preserve"> </w:t>
      </w:r>
      <w:r w:rsidRPr="004107B0">
        <w:rPr>
          <w:sz w:val="24"/>
        </w:rPr>
        <w:t>(2);</w:t>
      </w:r>
    </w:p>
    <w:p w14:paraId="3A18774E" w14:textId="77777777" w:rsidR="00FA465F" w:rsidRPr="004107B0" w:rsidRDefault="00FC32D1" w:rsidP="00FD690A">
      <w:pPr>
        <w:shd w:val="clear" w:color="auto" w:fill="FFFFFF"/>
        <w:spacing w:after="60"/>
        <w:ind w:left="720" w:hanging="288"/>
        <w:jc w:val="both"/>
        <w:rPr>
          <w:sz w:val="24"/>
        </w:rPr>
      </w:pPr>
      <w:r w:rsidRPr="004107B0">
        <w:rPr>
          <w:sz w:val="24"/>
        </w:rPr>
        <w:t>(b) by inserting after sub-section (3) the following sub-section:</w:t>
      </w:r>
    </w:p>
    <w:p w14:paraId="57A5AB79" w14:textId="77777777" w:rsidR="00FA465F" w:rsidRPr="004107B0" w:rsidRDefault="008F2BA3" w:rsidP="00FD690A">
      <w:pPr>
        <w:shd w:val="clear" w:color="auto" w:fill="FFFFFF"/>
        <w:spacing w:after="60"/>
        <w:ind w:left="720" w:firstLine="432"/>
        <w:jc w:val="both"/>
        <w:rPr>
          <w:sz w:val="24"/>
        </w:rPr>
      </w:pPr>
      <w:r w:rsidRPr="004107B0">
        <w:rPr>
          <w:smallCaps/>
          <w:sz w:val="24"/>
        </w:rPr>
        <w:t>“</w:t>
      </w:r>
      <w:r w:rsidR="00FC32D1" w:rsidRPr="004107B0">
        <w:rPr>
          <w:smallCaps/>
          <w:sz w:val="24"/>
        </w:rPr>
        <w:t xml:space="preserve">(3a) </w:t>
      </w:r>
      <w:r w:rsidR="00FC32D1" w:rsidRPr="004107B0">
        <w:rPr>
          <w:sz w:val="24"/>
        </w:rPr>
        <w:t>Where in relation to a period being the whole or a part of a year of income</w:t>
      </w:r>
      <w:r w:rsidR="00FC32D1" w:rsidRPr="004107B0">
        <w:rPr>
          <w:rFonts w:eastAsia="Times New Roman"/>
          <w:sz w:val="24"/>
        </w:rPr>
        <w:t>—</w:t>
      </w:r>
    </w:p>
    <w:p w14:paraId="09B02D62" w14:textId="7B6C5B71" w:rsidR="00FA465F" w:rsidRPr="004107B0" w:rsidRDefault="00FC32D1" w:rsidP="00FD690A">
      <w:pPr>
        <w:shd w:val="clear" w:color="auto" w:fill="FFFFFF"/>
        <w:spacing w:after="60"/>
        <w:ind w:left="1152" w:hanging="288"/>
        <w:jc w:val="both"/>
        <w:rPr>
          <w:sz w:val="24"/>
        </w:rPr>
      </w:pPr>
      <w:r w:rsidRPr="004107B0">
        <w:rPr>
          <w:sz w:val="24"/>
        </w:rPr>
        <w:t>(a) the parents of a child referred to in paragraph (b) of sub</w:t>
      </w:r>
      <w:r w:rsidR="00F7314F">
        <w:rPr>
          <w:sz w:val="24"/>
        </w:rPr>
        <w:t>-</w:t>
      </w:r>
      <w:r w:rsidRPr="004107B0">
        <w:rPr>
          <w:sz w:val="24"/>
        </w:rPr>
        <w:t>section (2) lived separately and apart from each other;</w:t>
      </w:r>
      <w:r w:rsidR="00FD690A">
        <w:rPr>
          <w:sz w:val="24"/>
        </w:rPr>
        <w:t xml:space="preserve"> </w:t>
      </w:r>
      <w:r w:rsidRPr="004107B0">
        <w:rPr>
          <w:sz w:val="24"/>
        </w:rPr>
        <w:t>and</w:t>
      </w:r>
    </w:p>
    <w:p w14:paraId="46C9B5B5" w14:textId="77777777" w:rsidR="00FA465F" w:rsidRPr="004107B0" w:rsidRDefault="00FC32D1" w:rsidP="00FD690A">
      <w:pPr>
        <w:shd w:val="clear" w:color="auto" w:fill="FFFFFF"/>
        <w:spacing w:after="60"/>
        <w:ind w:left="1152" w:hanging="288"/>
        <w:jc w:val="both"/>
        <w:rPr>
          <w:sz w:val="24"/>
        </w:rPr>
      </w:pPr>
      <w:r w:rsidRPr="004107B0">
        <w:rPr>
          <w:sz w:val="24"/>
        </w:rPr>
        <w:t>(b) that child would, but for this sub-section, be taken, for the purposes of this Part and of any Act imposing levy, to be a dependant of each of his parents in respect of that period,</w:t>
      </w:r>
    </w:p>
    <w:p w14:paraId="434CC7EE" w14:textId="5633A5BE" w:rsidR="00FA465F" w:rsidRPr="004107B0" w:rsidRDefault="00FC32D1" w:rsidP="00FD690A">
      <w:pPr>
        <w:shd w:val="clear" w:color="auto" w:fill="FFFFFF"/>
        <w:spacing w:after="60"/>
        <w:ind w:left="720"/>
        <w:jc w:val="both"/>
        <w:rPr>
          <w:sz w:val="24"/>
        </w:rPr>
      </w:pPr>
      <w:r w:rsidRPr="004107B0">
        <w:rPr>
          <w:sz w:val="24"/>
        </w:rPr>
        <w:t xml:space="preserve">that child shall be taken to be a dependant only of the parent (if any) to whom child endowment under Part VI of the </w:t>
      </w:r>
      <w:r w:rsidRPr="004107B0">
        <w:rPr>
          <w:i/>
          <w:iCs/>
          <w:sz w:val="24"/>
        </w:rPr>
        <w:t xml:space="preserve">Social Services Act </w:t>
      </w:r>
      <w:r w:rsidRPr="004107B0">
        <w:rPr>
          <w:sz w:val="24"/>
        </w:rPr>
        <w:t>1947 was paid or is payable in respect of that child in respect of that period.</w:t>
      </w:r>
      <w:r w:rsidR="00F7314F">
        <w:rPr>
          <w:sz w:val="24"/>
        </w:rPr>
        <w:t>”</w:t>
      </w:r>
      <w:r w:rsidRPr="004107B0">
        <w:rPr>
          <w:sz w:val="24"/>
        </w:rPr>
        <w:t>; and</w:t>
      </w:r>
    </w:p>
    <w:p w14:paraId="739ED3DE" w14:textId="77777777" w:rsidR="00FA465F" w:rsidRPr="004107B0" w:rsidRDefault="00FC32D1" w:rsidP="00FD690A">
      <w:pPr>
        <w:shd w:val="clear" w:color="auto" w:fill="FFFFFF"/>
        <w:spacing w:after="60"/>
        <w:ind w:left="720" w:hanging="288"/>
        <w:jc w:val="both"/>
        <w:rPr>
          <w:sz w:val="24"/>
        </w:rPr>
      </w:pPr>
      <w:r w:rsidRPr="004107B0">
        <w:rPr>
          <w:sz w:val="24"/>
        </w:rPr>
        <w:t xml:space="preserve">(c) by adding at the end of sub-section (6) </w:t>
      </w:r>
      <w:r w:rsidR="008F2BA3" w:rsidRPr="004107B0">
        <w:rPr>
          <w:sz w:val="24"/>
        </w:rPr>
        <w:t>“</w:t>
      </w:r>
      <w:r w:rsidRPr="004107B0">
        <w:rPr>
          <w:sz w:val="24"/>
        </w:rPr>
        <w:t xml:space="preserve">or under an Act imposing levy for a year of income </w:t>
      </w:r>
      <w:r w:rsidR="008F2BA3" w:rsidRPr="004107B0">
        <w:rPr>
          <w:sz w:val="24"/>
        </w:rPr>
        <w:t>“</w:t>
      </w:r>
      <w:r w:rsidRPr="004107B0">
        <w:rPr>
          <w:sz w:val="24"/>
        </w:rPr>
        <w:t>.</w:t>
      </w:r>
    </w:p>
    <w:p w14:paraId="2F32E6C2" w14:textId="77777777" w:rsidR="001D746F" w:rsidRPr="001D746F" w:rsidRDefault="001D746F" w:rsidP="001D746F">
      <w:pPr>
        <w:shd w:val="clear" w:color="auto" w:fill="FFFFFF"/>
        <w:spacing w:after="60"/>
        <w:ind w:firstLine="432"/>
        <w:jc w:val="both"/>
        <w:rPr>
          <w:sz w:val="2"/>
          <w:szCs w:val="2"/>
        </w:rPr>
      </w:pPr>
    </w:p>
    <w:p w14:paraId="4ECB64BC" w14:textId="77777777" w:rsidR="001D746F" w:rsidRPr="001D746F" w:rsidRDefault="001D746F" w:rsidP="001D746F">
      <w:pPr>
        <w:shd w:val="clear" w:color="auto" w:fill="FFFFFF"/>
        <w:spacing w:after="60"/>
        <w:ind w:firstLine="432"/>
        <w:jc w:val="both"/>
        <w:rPr>
          <w:sz w:val="2"/>
          <w:szCs w:val="2"/>
        </w:rPr>
      </w:pPr>
      <w:r w:rsidRPr="004107B0">
        <w:rPr>
          <w:sz w:val="24"/>
        </w:rPr>
        <w:t xml:space="preserve"> </w:t>
      </w:r>
    </w:p>
    <w:p w14:paraId="6BE46C57" w14:textId="166A4DFB" w:rsidR="00FA465F" w:rsidRPr="004107B0" w:rsidRDefault="00FC32D1" w:rsidP="001D746F">
      <w:pPr>
        <w:shd w:val="clear" w:color="auto" w:fill="FFFFFF"/>
        <w:spacing w:after="60"/>
        <w:ind w:firstLine="432"/>
        <w:jc w:val="both"/>
        <w:rPr>
          <w:sz w:val="24"/>
        </w:rPr>
      </w:pPr>
      <w:r w:rsidRPr="004107B0">
        <w:rPr>
          <w:sz w:val="24"/>
        </w:rPr>
        <w:t>(2) The amendments made by sub-section (1) apply to assessments in respect of income of the year of income commencing on 1 July 1978 and to assessments in respect of income of all subsequent years of income.</w:t>
      </w:r>
    </w:p>
    <w:p w14:paraId="351D42F6" w14:textId="073E5580" w:rsidR="00FA465F" w:rsidRPr="00A31DA7" w:rsidRDefault="00FC32D1" w:rsidP="00A31DA7">
      <w:pPr>
        <w:shd w:val="clear" w:color="auto" w:fill="FFFFFF"/>
        <w:spacing w:before="120" w:after="60"/>
        <w:jc w:val="both"/>
        <w:rPr>
          <w:b/>
        </w:rPr>
      </w:pPr>
      <w:r w:rsidRPr="00A31DA7">
        <w:rPr>
          <w:b/>
        </w:rPr>
        <w:t>Excess tax rebates to be allowed against levy</w:t>
      </w:r>
    </w:p>
    <w:p w14:paraId="3E9EACDC" w14:textId="4F553403" w:rsidR="00FA465F" w:rsidRPr="004107B0" w:rsidRDefault="00FC32D1" w:rsidP="00A31DA7">
      <w:pPr>
        <w:shd w:val="clear" w:color="auto" w:fill="FFFFFF"/>
        <w:spacing w:after="60"/>
        <w:ind w:firstLine="432"/>
        <w:jc w:val="both"/>
        <w:rPr>
          <w:sz w:val="24"/>
        </w:rPr>
      </w:pPr>
      <w:r w:rsidRPr="004107B0">
        <w:rPr>
          <w:b/>
          <w:bCs/>
          <w:sz w:val="24"/>
        </w:rPr>
        <w:t>4.</w:t>
      </w:r>
      <w:r w:rsidRPr="004107B0">
        <w:rPr>
          <w:sz w:val="24"/>
        </w:rPr>
        <w:t xml:space="preserve"> (1) Section 251</w:t>
      </w:r>
      <w:r w:rsidR="00F7314F">
        <w:rPr>
          <w:smallCaps/>
          <w:sz w:val="24"/>
        </w:rPr>
        <w:t>u</w:t>
      </w:r>
      <w:r w:rsidRPr="004107B0">
        <w:rPr>
          <w:sz w:val="24"/>
        </w:rPr>
        <w:t xml:space="preserve"> of the Principal Act is amended</w:t>
      </w:r>
      <w:r w:rsidRPr="004107B0">
        <w:rPr>
          <w:rFonts w:eastAsia="Times New Roman"/>
          <w:sz w:val="24"/>
        </w:rPr>
        <w:t>—</w:t>
      </w:r>
    </w:p>
    <w:p w14:paraId="685A576D" w14:textId="77777777" w:rsidR="00FA465F" w:rsidRPr="004107B0" w:rsidRDefault="00FC32D1" w:rsidP="00A31DA7">
      <w:pPr>
        <w:shd w:val="clear" w:color="auto" w:fill="FFFFFF"/>
        <w:spacing w:after="60"/>
        <w:ind w:left="720" w:hanging="288"/>
        <w:jc w:val="both"/>
        <w:rPr>
          <w:sz w:val="24"/>
        </w:rPr>
      </w:pPr>
      <w:r w:rsidRPr="004107B0">
        <w:rPr>
          <w:sz w:val="24"/>
        </w:rPr>
        <w:t xml:space="preserve">(a) by omitting from sub-section (1) </w:t>
      </w:r>
      <w:r w:rsidR="008F2BA3" w:rsidRPr="004107B0">
        <w:rPr>
          <w:sz w:val="24"/>
        </w:rPr>
        <w:t>“</w:t>
      </w:r>
      <w:r w:rsidRPr="004107B0">
        <w:rPr>
          <w:sz w:val="24"/>
        </w:rPr>
        <w:t>other</w:t>
      </w:r>
      <w:r w:rsidR="008F2BA3" w:rsidRPr="004107B0">
        <w:rPr>
          <w:sz w:val="24"/>
        </w:rPr>
        <w:t>”</w:t>
      </w:r>
      <w:r w:rsidRPr="004107B0">
        <w:rPr>
          <w:sz w:val="24"/>
        </w:rPr>
        <w:t>; and</w:t>
      </w:r>
    </w:p>
    <w:p w14:paraId="6CD8D2D4" w14:textId="77777777" w:rsidR="00FA465F" w:rsidRPr="004107B0" w:rsidRDefault="00FC32D1" w:rsidP="00A31DA7">
      <w:pPr>
        <w:shd w:val="clear" w:color="auto" w:fill="FFFFFF"/>
        <w:spacing w:after="60"/>
        <w:ind w:left="720" w:hanging="288"/>
        <w:jc w:val="both"/>
        <w:rPr>
          <w:sz w:val="24"/>
        </w:rPr>
      </w:pPr>
      <w:r w:rsidRPr="004107B0">
        <w:rPr>
          <w:sz w:val="24"/>
        </w:rPr>
        <w:t>(b) by omitting sub-sections (2) and (3) and substituting the following sub-section:</w:t>
      </w:r>
    </w:p>
    <w:p w14:paraId="551CEDE0" w14:textId="77777777" w:rsidR="001D746F" w:rsidRPr="001D746F" w:rsidRDefault="001D746F" w:rsidP="001D746F">
      <w:pPr>
        <w:shd w:val="clear" w:color="auto" w:fill="FFFFFF"/>
        <w:spacing w:after="60"/>
        <w:ind w:firstLine="432"/>
        <w:jc w:val="both"/>
        <w:rPr>
          <w:sz w:val="2"/>
          <w:szCs w:val="2"/>
        </w:rPr>
      </w:pPr>
    </w:p>
    <w:p w14:paraId="51DE82B7" w14:textId="62DF65CC" w:rsidR="00FA465F" w:rsidRPr="004107B0" w:rsidRDefault="008F2BA3" w:rsidP="001D746F">
      <w:pPr>
        <w:shd w:val="clear" w:color="auto" w:fill="FFFFFF"/>
        <w:spacing w:after="60"/>
        <w:ind w:left="720" w:firstLine="432"/>
        <w:jc w:val="both"/>
        <w:rPr>
          <w:sz w:val="24"/>
        </w:rPr>
      </w:pPr>
      <w:r w:rsidRPr="004107B0">
        <w:rPr>
          <w:sz w:val="24"/>
        </w:rPr>
        <w:t>“</w:t>
      </w:r>
      <w:r w:rsidR="00FC32D1" w:rsidRPr="004107B0">
        <w:rPr>
          <w:sz w:val="24"/>
        </w:rPr>
        <w:t>(2) If, in the assessment of a taxpayer in respect of income of a year of income, a rebate is, or rebates are, allowable to the taxpayer under this section or under an Act imposing levy for that year of income, that rebate, or the sum of those rebates, as the case may be, shall not exceed the amount of levy that, but for that rebate or those rebates, would be payable by the taxpayer in respect of income of that year of income.</w:t>
      </w:r>
      <w:r w:rsidRPr="004107B0">
        <w:rPr>
          <w:sz w:val="24"/>
        </w:rPr>
        <w:t>”</w:t>
      </w:r>
      <w:r w:rsidR="00FC32D1" w:rsidRPr="004107B0">
        <w:rPr>
          <w:sz w:val="24"/>
        </w:rPr>
        <w:t>.</w:t>
      </w:r>
    </w:p>
    <w:p w14:paraId="6049863D" w14:textId="77777777" w:rsidR="001D746F" w:rsidRPr="001D746F" w:rsidRDefault="001D746F" w:rsidP="001D746F">
      <w:pPr>
        <w:shd w:val="clear" w:color="auto" w:fill="FFFFFF"/>
        <w:spacing w:after="60"/>
        <w:ind w:firstLine="432"/>
        <w:jc w:val="both"/>
        <w:rPr>
          <w:sz w:val="2"/>
          <w:szCs w:val="2"/>
        </w:rPr>
      </w:pPr>
    </w:p>
    <w:p w14:paraId="7FAFB13E" w14:textId="2F51341A" w:rsidR="00FA465F" w:rsidRPr="004107B0" w:rsidRDefault="00FC32D1" w:rsidP="001D746F">
      <w:pPr>
        <w:shd w:val="clear" w:color="auto" w:fill="FFFFFF"/>
        <w:spacing w:after="60"/>
        <w:ind w:firstLine="432"/>
        <w:jc w:val="both"/>
        <w:rPr>
          <w:sz w:val="24"/>
        </w:rPr>
      </w:pPr>
      <w:r w:rsidRPr="004107B0">
        <w:rPr>
          <w:sz w:val="24"/>
        </w:rPr>
        <w:t>(2) The amendments made by sub-section (1) apply to assessments in respect of income of the year of income commencing on 1 July 1978 and to assessments in respect of income of all subsequent years of income.</w:t>
      </w:r>
    </w:p>
    <w:p w14:paraId="402E4385" w14:textId="77777777" w:rsidR="00F7314F" w:rsidRDefault="00F7314F">
      <w:pPr>
        <w:widowControl/>
        <w:autoSpaceDE/>
        <w:autoSpaceDN/>
        <w:adjustRightInd/>
        <w:spacing w:after="200" w:line="276" w:lineRule="auto"/>
        <w:rPr>
          <w:b/>
        </w:rPr>
      </w:pPr>
      <w:r>
        <w:rPr>
          <w:b/>
        </w:rPr>
        <w:br w:type="page"/>
      </w:r>
    </w:p>
    <w:p w14:paraId="122F849F" w14:textId="4C0D9587" w:rsidR="00FA465F" w:rsidRPr="00A31DA7" w:rsidRDefault="00FC32D1" w:rsidP="00A31DA7">
      <w:pPr>
        <w:shd w:val="clear" w:color="auto" w:fill="FFFFFF"/>
        <w:spacing w:before="120" w:after="60"/>
        <w:jc w:val="both"/>
        <w:rPr>
          <w:b/>
        </w:rPr>
      </w:pPr>
      <w:r w:rsidRPr="00A31DA7">
        <w:rPr>
          <w:b/>
        </w:rPr>
        <w:lastRenderedPageBreak/>
        <w:t>Prescribed persons</w:t>
      </w:r>
    </w:p>
    <w:p w14:paraId="43FF8D38" w14:textId="5CC67300" w:rsidR="00FA465F" w:rsidRPr="004107B0" w:rsidRDefault="00FC32D1" w:rsidP="00A31DA7">
      <w:pPr>
        <w:shd w:val="clear" w:color="auto" w:fill="FFFFFF"/>
        <w:spacing w:after="60"/>
        <w:ind w:firstLine="432"/>
        <w:jc w:val="both"/>
        <w:rPr>
          <w:sz w:val="24"/>
        </w:rPr>
      </w:pPr>
      <w:r w:rsidRPr="004107B0">
        <w:rPr>
          <w:b/>
          <w:bCs/>
          <w:sz w:val="24"/>
        </w:rPr>
        <w:t>5.</w:t>
      </w:r>
      <w:r w:rsidRPr="004107B0">
        <w:rPr>
          <w:sz w:val="24"/>
        </w:rPr>
        <w:t xml:space="preserve"> (1) Section 251</w:t>
      </w:r>
      <w:r w:rsidR="00F7314F">
        <w:rPr>
          <w:smallCaps/>
          <w:sz w:val="24"/>
        </w:rPr>
        <w:t>v</w:t>
      </w:r>
      <w:r w:rsidRPr="004107B0">
        <w:rPr>
          <w:sz w:val="24"/>
        </w:rPr>
        <w:t xml:space="preserve"> of the Principal Act is amended</w:t>
      </w:r>
      <w:r w:rsidRPr="004107B0">
        <w:rPr>
          <w:rFonts w:eastAsia="Times New Roman"/>
          <w:sz w:val="24"/>
        </w:rPr>
        <w:t>—</w:t>
      </w:r>
    </w:p>
    <w:p w14:paraId="3DD985CB" w14:textId="77777777" w:rsidR="00FA465F" w:rsidRPr="004107B0" w:rsidRDefault="00FC32D1" w:rsidP="00A31DA7">
      <w:pPr>
        <w:shd w:val="clear" w:color="auto" w:fill="FFFFFF"/>
        <w:spacing w:after="60"/>
        <w:ind w:left="720" w:hanging="288"/>
        <w:jc w:val="both"/>
        <w:rPr>
          <w:sz w:val="24"/>
        </w:rPr>
      </w:pPr>
      <w:r w:rsidRPr="004107B0">
        <w:rPr>
          <w:sz w:val="24"/>
        </w:rPr>
        <w:t xml:space="preserve">(a) by omitting </w:t>
      </w:r>
      <w:r w:rsidR="008F2BA3" w:rsidRPr="004107B0">
        <w:rPr>
          <w:sz w:val="24"/>
        </w:rPr>
        <w:t>“</w:t>
      </w:r>
      <w:r w:rsidRPr="004107B0">
        <w:rPr>
          <w:sz w:val="24"/>
        </w:rPr>
        <w:t>or</w:t>
      </w:r>
      <w:r w:rsidR="008F2BA3" w:rsidRPr="004107B0">
        <w:rPr>
          <w:sz w:val="24"/>
        </w:rPr>
        <w:t>”</w:t>
      </w:r>
      <w:r w:rsidRPr="004107B0">
        <w:rPr>
          <w:sz w:val="24"/>
        </w:rPr>
        <w:t xml:space="preserve"> at the end of paragraph (c) of sub-section (1);</w:t>
      </w:r>
    </w:p>
    <w:p w14:paraId="5CEE9E87" w14:textId="77777777" w:rsidR="00FA465F" w:rsidRPr="004107B0" w:rsidRDefault="00FC32D1" w:rsidP="00A31DA7">
      <w:pPr>
        <w:shd w:val="clear" w:color="auto" w:fill="FFFFFF"/>
        <w:spacing w:after="60"/>
        <w:ind w:left="720" w:hanging="288"/>
        <w:jc w:val="both"/>
        <w:rPr>
          <w:sz w:val="24"/>
        </w:rPr>
      </w:pPr>
      <w:r w:rsidRPr="004107B0">
        <w:rPr>
          <w:sz w:val="24"/>
        </w:rPr>
        <w:t>(b) by adding at the end of sub-section (1) the following word and paragraph:</w:t>
      </w:r>
    </w:p>
    <w:p w14:paraId="49447C75" w14:textId="77777777" w:rsidR="00FA465F" w:rsidRPr="004107B0" w:rsidRDefault="008F2BA3" w:rsidP="00A31DA7">
      <w:pPr>
        <w:shd w:val="clear" w:color="auto" w:fill="FFFFFF"/>
        <w:spacing w:after="60"/>
        <w:ind w:left="1152" w:hanging="288"/>
        <w:jc w:val="both"/>
        <w:rPr>
          <w:sz w:val="24"/>
        </w:rPr>
      </w:pPr>
      <w:r w:rsidRPr="004107B0">
        <w:rPr>
          <w:sz w:val="24"/>
        </w:rPr>
        <w:t>“</w:t>
      </w:r>
      <w:r w:rsidR="00FC32D1" w:rsidRPr="004107B0">
        <w:rPr>
          <w:sz w:val="24"/>
        </w:rPr>
        <w:t>; or (e) during the whole of that period the person was</w:t>
      </w:r>
      <w:r w:rsidR="00FC32D1" w:rsidRPr="004107B0">
        <w:rPr>
          <w:rFonts w:eastAsia="Times New Roman"/>
          <w:sz w:val="24"/>
        </w:rPr>
        <w:t>—</w:t>
      </w:r>
    </w:p>
    <w:p w14:paraId="63675F0E" w14:textId="77777777" w:rsidR="00FA465F" w:rsidRPr="004107B0" w:rsidRDefault="00FC32D1" w:rsidP="00A31DA7">
      <w:pPr>
        <w:shd w:val="clear" w:color="auto" w:fill="FFFFFF"/>
        <w:ind w:left="2016" w:hanging="288"/>
        <w:jc w:val="both"/>
        <w:rPr>
          <w:sz w:val="24"/>
        </w:rPr>
      </w:pPr>
      <w:r w:rsidRPr="004107B0">
        <w:rPr>
          <w:sz w:val="24"/>
        </w:rPr>
        <w:t>(i) the head of a diplomatic mission, or the head of a consular post, established in Australia;</w:t>
      </w:r>
    </w:p>
    <w:p w14:paraId="0FB69207" w14:textId="77777777" w:rsidR="00FA465F" w:rsidRPr="004107B0" w:rsidRDefault="00FC32D1" w:rsidP="00A31DA7">
      <w:pPr>
        <w:shd w:val="clear" w:color="auto" w:fill="FFFFFF"/>
        <w:ind w:left="2016" w:hanging="288"/>
        <w:jc w:val="both"/>
        <w:rPr>
          <w:sz w:val="24"/>
        </w:rPr>
      </w:pPr>
      <w:r w:rsidRPr="004107B0">
        <w:rPr>
          <w:sz w:val="24"/>
        </w:rPr>
        <w:t>(ii) a member of the staff of a diplomatic mission, or a member of the consular staff of a consular post, established in Australia; or</w:t>
      </w:r>
    </w:p>
    <w:p w14:paraId="6A0CC645" w14:textId="77777777" w:rsidR="00FA465F" w:rsidRPr="004107B0" w:rsidRDefault="00FC32D1" w:rsidP="00A31DA7">
      <w:pPr>
        <w:shd w:val="clear" w:color="auto" w:fill="FFFFFF"/>
        <w:ind w:left="2016" w:hanging="288"/>
        <w:jc w:val="both"/>
        <w:rPr>
          <w:sz w:val="24"/>
        </w:rPr>
      </w:pPr>
      <w:r w:rsidRPr="004107B0">
        <w:rPr>
          <w:sz w:val="24"/>
        </w:rPr>
        <w:t>(iii) a member of the family of a person referred to in sub-paragraph (i) or (ii), being a member who forms part of the household of that person,</w:t>
      </w:r>
    </w:p>
    <w:p w14:paraId="071F39F5" w14:textId="77777777" w:rsidR="00FA465F" w:rsidRPr="004107B0" w:rsidRDefault="00FC32D1" w:rsidP="00A31DA7">
      <w:pPr>
        <w:shd w:val="clear" w:color="auto" w:fill="FFFFFF"/>
        <w:spacing w:after="60"/>
        <w:ind w:left="1296"/>
        <w:jc w:val="both"/>
        <w:rPr>
          <w:sz w:val="24"/>
        </w:rPr>
      </w:pPr>
      <w:r w:rsidRPr="004107B0">
        <w:rPr>
          <w:sz w:val="24"/>
        </w:rPr>
        <w:t>and was not an Australian citizen and was not ordinarily resident in Australia.</w:t>
      </w:r>
      <w:r w:rsidR="008F2BA3" w:rsidRPr="004107B0">
        <w:rPr>
          <w:sz w:val="24"/>
        </w:rPr>
        <w:t>”</w:t>
      </w:r>
      <w:r w:rsidRPr="004107B0">
        <w:rPr>
          <w:sz w:val="24"/>
        </w:rPr>
        <w:t>; and</w:t>
      </w:r>
    </w:p>
    <w:p w14:paraId="53FF2D44" w14:textId="77777777" w:rsidR="00FA465F" w:rsidRPr="004107B0" w:rsidRDefault="00FC32D1" w:rsidP="00A31DA7">
      <w:pPr>
        <w:shd w:val="clear" w:color="auto" w:fill="FFFFFF"/>
        <w:spacing w:after="60"/>
        <w:ind w:left="720" w:hanging="288"/>
        <w:jc w:val="both"/>
        <w:rPr>
          <w:sz w:val="24"/>
        </w:rPr>
      </w:pPr>
      <w:r w:rsidRPr="004107B0">
        <w:rPr>
          <w:sz w:val="24"/>
        </w:rPr>
        <w:t>(c) by inserting after sub-section (1) the following sub-section:</w:t>
      </w:r>
    </w:p>
    <w:p w14:paraId="7F786B8E" w14:textId="0AB3DDEC" w:rsidR="00FA465F" w:rsidRPr="004107B0" w:rsidRDefault="008F2BA3" w:rsidP="00A31DA7">
      <w:pPr>
        <w:shd w:val="clear" w:color="auto" w:fill="FFFFFF"/>
        <w:spacing w:after="60"/>
        <w:ind w:left="720" w:firstLine="432"/>
        <w:jc w:val="both"/>
        <w:rPr>
          <w:sz w:val="24"/>
        </w:rPr>
      </w:pPr>
      <w:r w:rsidRPr="004107B0">
        <w:rPr>
          <w:sz w:val="24"/>
        </w:rPr>
        <w:t>“</w:t>
      </w:r>
      <w:r w:rsidR="00FC32D1" w:rsidRPr="004107B0">
        <w:rPr>
          <w:sz w:val="24"/>
        </w:rPr>
        <w:t>(1</w:t>
      </w:r>
      <w:r w:rsidR="00F7314F">
        <w:rPr>
          <w:smallCaps/>
          <w:sz w:val="24"/>
        </w:rPr>
        <w:t>a</w:t>
      </w:r>
      <w:r w:rsidR="00FC32D1" w:rsidRPr="004107B0">
        <w:rPr>
          <w:sz w:val="24"/>
        </w:rPr>
        <w:t>) In this section</w:t>
      </w:r>
      <w:r w:rsidR="00FC32D1" w:rsidRPr="004107B0">
        <w:rPr>
          <w:rFonts w:eastAsia="Times New Roman"/>
          <w:sz w:val="24"/>
        </w:rPr>
        <w:t>—</w:t>
      </w:r>
    </w:p>
    <w:p w14:paraId="49C32F54" w14:textId="77777777" w:rsidR="00FA465F" w:rsidRPr="004107B0" w:rsidRDefault="00FC32D1" w:rsidP="001D746F">
      <w:pPr>
        <w:shd w:val="clear" w:color="auto" w:fill="FFFFFF"/>
        <w:spacing w:after="60"/>
        <w:ind w:left="1134" w:firstLine="142"/>
        <w:jc w:val="both"/>
        <w:rPr>
          <w:sz w:val="24"/>
        </w:rPr>
      </w:pPr>
      <w:r w:rsidRPr="004107B0">
        <w:rPr>
          <w:sz w:val="24"/>
        </w:rPr>
        <w:t xml:space="preserve">(a) expressions that are defined by the Vienna Convention on Diplomatic Relations referred to in the </w:t>
      </w:r>
      <w:r w:rsidRPr="004107B0">
        <w:rPr>
          <w:i/>
          <w:iCs/>
          <w:sz w:val="24"/>
        </w:rPr>
        <w:t xml:space="preserve">Diplomatic Privileges and Immunities Act </w:t>
      </w:r>
      <w:r w:rsidRPr="004107B0">
        <w:rPr>
          <w:sz w:val="24"/>
        </w:rPr>
        <w:t>1967 have the same respective meanings as in that Convention; and</w:t>
      </w:r>
    </w:p>
    <w:p w14:paraId="5FFB9663" w14:textId="77777777" w:rsidR="00FA465F" w:rsidRPr="004107B0" w:rsidRDefault="00FC32D1" w:rsidP="001D746F">
      <w:pPr>
        <w:shd w:val="clear" w:color="auto" w:fill="FFFFFF"/>
        <w:spacing w:after="60"/>
        <w:ind w:left="1134" w:firstLine="142"/>
        <w:jc w:val="both"/>
        <w:rPr>
          <w:sz w:val="24"/>
        </w:rPr>
      </w:pPr>
      <w:r w:rsidRPr="004107B0">
        <w:rPr>
          <w:sz w:val="24"/>
        </w:rPr>
        <w:t xml:space="preserve">(b) expressions that are defined by the Vienna Convention on Consular Relations referred to in the </w:t>
      </w:r>
      <w:r w:rsidRPr="004107B0">
        <w:rPr>
          <w:i/>
          <w:iCs/>
          <w:sz w:val="24"/>
        </w:rPr>
        <w:t xml:space="preserve">Consular Privileges and Immunities Act </w:t>
      </w:r>
      <w:r w:rsidRPr="004107B0">
        <w:rPr>
          <w:sz w:val="24"/>
        </w:rPr>
        <w:t>1972 have the same respective meanings as in that Convention.</w:t>
      </w:r>
      <w:r w:rsidR="008F2BA3" w:rsidRPr="004107B0">
        <w:rPr>
          <w:sz w:val="24"/>
        </w:rPr>
        <w:t>”</w:t>
      </w:r>
      <w:r w:rsidRPr="004107B0">
        <w:rPr>
          <w:sz w:val="24"/>
        </w:rPr>
        <w:t>.</w:t>
      </w:r>
    </w:p>
    <w:p w14:paraId="51C52AE2" w14:textId="32056034" w:rsidR="00FA465F" w:rsidRPr="004107B0" w:rsidRDefault="00FC32D1" w:rsidP="00F85FDE">
      <w:pPr>
        <w:shd w:val="clear" w:color="auto" w:fill="FFFFFF"/>
        <w:spacing w:after="60"/>
        <w:ind w:firstLine="432"/>
        <w:jc w:val="both"/>
        <w:rPr>
          <w:sz w:val="24"/>
        </w:rPr>
      </w:pPr>
      <w:r w:rsidRPr="004107B0">
        <w:rPr>
          <w:sz w:val="24"/>
        </w:rPr>
        <w:t>(2) The amendments made by sub-section (1) apply to assessments in respect of income of the year of income commencing on 1 July 1978 and to assessments in respect of income of all subsequent years of income.</w:t>
      </w:r>
    </w:p>
    <w:p w14:paraId="62F9D8B7" w14:textId="69A6DB08" w:rsidR="00FC32D1" w:rsidRPr="00F7314F" w:rsidRDefault="00EA18DD" w:rsidP="00F7314F">
      <w:pPr>
        <w:shd w:val="clear" w:color="auto" w:fill="FFFFFF"/>
        <w:spacing w:before="600" w:after="120"/>
        <w:jc w:val="center"/>
        <w:rPr>
          <w:sz w:val="24"/>
        </w:rPr>
      </w:pPr>
      <w:r>
        <w:rPr>
          <w:b/>
          <w:bCs/>
          <w:noProof/>
          <w:sz w:val="24"/>
          <w:lang w:val="en-AU" w:eastAsia="en-AU"/>
        </w:rPr>
        <mc:AlternateContent>
          <mc:Choice Requires="wps">
            <w:drawing>
              <wp:anchor distT="0" distB="0" distL="114300" distR="114300" simplePos="0" relativeHeight="251659264" behindDoc="0" locked="0" layoutInCell="1" allowOverlap="1" wp14:anchorId="25FBC67E" wp14:editId="46FA8A5E">
                <wp:simplePos x="0" y="0"/>
                <wp:positionH relativeFrom="column">
                  <wp:posOffset>-31750</wp:posOffset>
                </wp:positionH>
                <wp:positionV relativeFrom="paragraph">
                  <wp:posOffset>179070</wp:posOffset>
                </wp:positionV>
                <wp:extent cx="62547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625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EFCEA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4.1pt" to="490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" strokecolor="black [3040]"/>
            </w:pict>
          </mc:Fallback>
        </mc:AlternateContent>
      </w:r>
      <w:bookmarkStart w:id="0" w:name="_GoBack"/>
      <w:bookmarkEnd w:id="0"/>
    </w:p>
    <w:sectPr w:rsidR="00FC32D1" w:rsidRPr="00F7314F" w:rsidSect="00F45125">
      <w:headerReference w:type="even" r:id="rId7"/>
      <w:headerReference w:type="default" r:id="rId8"/>
      <w:type w:val="continuous"/>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D9EDC8" w15:done="0"/>
  <w15:commentEx w15:paraId="70C35C91" w15:done="0"/>
  <w15:commentEx w15:paraId="270A8E66" w15:done="0"/>
  <w15:commentEx w15:paraId="074F6B0B" w15:done="0"/>
  <w15:commentEx w15:paraId="4D98D87C" w15:done="0"/>
  <w15:commentEx w15:paraId="0D909BEF" w15:done="0"/>
  <w15:commentEx w15:paraId="6D18CD9A" w15:done="0"/>
  <w15:commentEx w15:paraId="135672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D9EDC8" w16cid:durableId="1F7051EC"/>
  <w16cid:commentId w16cid:paraId="70C35C91" w16cid:durableId="1F7051FB"/>
  <w16cid:commentId w16cid:paraId="270A8E66" w16cid:durableId="1F7051F3"/>
  <w16cid:commentId w16cid:paraId="074F6B0B" w16cid:durableId="1F705204"/>
  <w16cid:commentId w16cid:paraId="4D98D87C" w16cid:durableId="1F70520C"/>
  <w16cid:commentId w16cid:paraId="0D909BEF" w16cid:durableId="1F70521F"/>
  <w16cid:commentId w16cid:paraId="6D18CD9A" w16cid:durableId="1F70522C"/>
  <w16cid:commentId w16cid:paraId="135672C8" w16cid:durableId="1F7052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93ABB" w14:textId="77777777" w:rsidR="00F571D8" w:rsidRDefault="00F571D8" w:rsidP="00F45125">
      <w:r>
        <w:separator/>
      </w:r>
    </w:p>
  </w:endnote>
  <w:endnote w:type="continuationSeparator" w:id="0">
    <w:p w14:paraId="6A9C29A3" w14:textId="77777777" w:rsidR="00F571D8" w:rsidRDefault="00F571D8" w:rsidP="00F4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3BC11" w14:textId="77777777" w:rsidR="00F571D8" w:rsidRDefault="00F571D8" w:rsidP="00F45125">
      <w:r>
        <w:separator/>
      </w:r>
    </w:p>
  </w:footnote>
  <w:footnote w:type="continuationSeparator" w:id="0">
    <w:p w14:paraId="2AB4FD55" w14:textId="77777777" w:rsidR="00F571D8" w:rsidRDefault="00F571D8" w:rsidP="00F45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F6318" w14:textId="77777777" w:rsidR="00F45125" w:rsidRPr="00F45125" w:rsidRDefault="00F45125" w:rsidP="00F45125">
    <w:pPr>
      <w:pStyle w:val="Header"/>
      <w:tabs>
        <w:tab w:val="clear" w:pos="4680"/>
        <w:tab w:val="clear" w:pos="9360"/>
        <w:tab w:val="center" w:pos="4860"/>
        <w:tab w:val="right" w:pos="9630"/>
      </w:tabs>
      <w:rPr>
        <w:sz w:val="22"/>
      </w:rPr>
    </w:pPr>
    <w:r w:rsidRPr="00F45125">
      <w:rPr>
        <w:iCs/>
        <w:sz w:val="22"/>
      </w:rPr>
      <w:t>1978</w:t>
    </w:r>
    <w:r w:rsidRPr="00F45125">
      <w:rPr>
        <w:iCs/>
        <w:sz w:val="22"/>
      </w:rPr>
      <w:tab/>
    </w:r>
    <w:r w:rsidRPr="00F45125">
      <w:rPr>
        <w:i/>
        <w:iCs/>
        <w:sz w:val="22"/>
      </w:rPr>
      <w:t>Health Insurance Levy Assessment Amendment</w:t>
    </w:r>
    <w:r w:rsidRPr="00F45125">
      <w:rPr>
        <w:iCs/>
        <w:sz w:val="22"/>
      </w:rPr>
      <w:tab/>
      <w:t>No. 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3752D" w14:textId="77777777" w:rsidR="00F45125" w:rsidRDefault="00F45125" w:rsidP="00F45125">
    <w:pPr>
      <w:pStyle w:val="Header"/>
      <w:tabs>
        <w:tab w:val="clear" w:pos="4680"/>
        <w:tab w:val="clear" w:pos="9360"/>
        <w:tab w:val="center" w:pos="4860"/>
        <w:tab w:val="right" w:pos="9630"/>
      </w:tabs>
    </w:pPr>
    <w:r w:rsidRPr="00F45125">
      <w:rPr>
        <w:iCs/>
        <w:sz w:val="22"/>
      </w:rPr>
      <w:t>No. 90</w:t>
    </w:r>
    <w:r w:rsidRPr="00F45125">
      <w:rPr>
        <w:iCs/>
        <w:sz w:val="22"/>
      </w:rPr>
      <w:tab/>
    </w:r>
    <w:r w:rsidRPr="00F45125">
      <w:rPr>
        <w:i/>
        <w:iCs/>
        <w:sz w:val="22"/>
      </w:rPr>
      <w:t>Health Insurance Levy Assessment Amendment</w:t>
    </w:r>
    <w:r w:rsidRPr="00F45125">
      <w:rPr>
        <w:iCs/>
        <w:sz w:val="22"/>
      </w:rPr>
      <w:tab/>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BA3"/>
    <w:rsid w:val="000B4C3A"/>
    <w:rsid w:val="001B6328"/>
    <w:rsid w:val="001C35B2"/>
    <w:rsid w:val="001D746F"/>
    <w:rsid w:val="0020701C"/>
    <w:rsid w:val="00311F4F"/>
    <w:rsid w:val="00390EDC"/>
    <w:rsid w:val="004107B0"/>
    <w:rsid w:val="005A2E64"/>
    <w:rsid w:val="008F2BA3"/>
    <w:rsid w:val="00903E6F"/>
    <w:rsid w:val="00A31DA7"/>
    <w:rsid w:val="00B30372"/>
    <w:rsid w:val="00CF514C"/>
    <w:rsid w:val="00D218E2"/>
    <w:rsid w:val="00EA18DD"/>
    <w:rsid w:val="00F45125"/>
    <w:rsid w:val="00F571D8"/>
    <w:rsid w:val="00F7314F"/>
    <w:rsid w:val="00F85FDE"/>
    <w:rsid w:val="00FA465F"/>
    <w:rsid w:val="00FC32D1"/>
    <w:rsid w:val="00FD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90BC9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125"/>
    <w:pPr>
      <w:tabs>
        <w:tab w:val="center" w:pos="4680"/>
        <w:tab w:val="right" w:pos="9360"/>
      </w:tabs>
    </w:pPr>
  </w:style>
  <w:style w:type="character" w:customStyle="1" w:styleId="HeaderChar">
    <w:name w:val="Header Char"/>
    <w:basedOn w:val="DefaultParagraphFont"/>
    <w:link w:val="Header"/>
    <w:uiPriority w:val="99"/>
    <w:rsid w:val="00F45125"/>
    <w:rPr>
      <w:rFonts w:ascii="Times New Roman" w:hAnsi="Times New Roman" w:cs="Times New Roman"/>
      <w:sz w:val="20"/>
      <w:szCs w:val="20"/>
    </w:rPr>
  </w:style>
  <w:style w:type="paragraph" w:styleId="Footer">
    <w:name w:val="footer"/>
    <w:basedOn w:val="Normal"/>
    <w:link w:val="FooterChar"/>
    <w:uiPriority w:val="99"/>
    <w:unhideWhenUsed/>
    <w:rsid w:val="00F45125"/>
    <w:pPr>
      <w:tabs>
        <w:tab w:val="center" w:pos="4680"/>
        <w:tab w:val="right" w:pos="9360"/>
      </w:tabs>
    </w:pPr>
  </w:style>
  <w:style w:type="character" w:customStyle="1" w:styleId="FooterChar">
    <w:name w:val="Footer Char"/>
    <w:basedOn w:val="DefaultParagraphFont"/>
    <w:link w:val="Footer"/>
    <w:uiPriority w:val="99"/>
    <w:rsid w:val="00F4512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45125"/>
    <w:rPr>
      <w:rFonts w:ascii="Tahoma" w:hAnsi="Tahoma" w:cs="Tahoma"/>
      <w:sz w:val="16"/>
      <w:szCs w:val="16"/>
    </w:rPr>
  </w:style>
  <w:style w:type="character" w:customStyle="1" w:styleId="BalloonTextChar">
    <w:name w:val="Balloon Text Char"/>
    <w:basedOn w:val="DefaultParagraphFont"/>
    <w:link w:val="BalloonText"/>
    <w:uiPriority w:val="99"/>
    <w:semiHidden/>
    <w:rsid w:val="00F45125"/>
    <w:rPr>
      <w:rFonts w:ascii="Tahoma" w:hAnsi="Tahoma" w:cs="Tahoma"/>
      <w:sz w:val="16"/>
      <w:szCs w:val="16"/>
    </w:rPr>
  </w:style>
  <w:style w:type="character" w:styleId="CommentReference">
    <w:name w:val="annotation reference"/>
    <w:basedOn w:val="DefaultParagraphFont"/>
    <w:uiPriority w:val="99"/>
    <w:semiHidden/>
    <w:unhideWhenUsed/>
    <w:rsid w:val="00D218E2"/>
    <w:rPr>
      <w:sz w:val="16"/>
      <w:szCs w:val="16"/>
    </w:rPr>
  </w:style>
  <w:style w:type="paragraph" w:styleId="CommentText">
    <w:name w:val="annotation text"/>
    <w:basedOn w:val="Normal"/>
    <w:link w:val="CommentTextChar"/>
    <w:uiPriority w:val="99"/>
    <w:semiHidden/>
    <w:unhideWhenUsed/>
    <w:rsid w:val="00D218E2"/>
  </w:style>
  <w:style w:type="character" w:customStyle="1" w:styleId="CommentTextChar">
    <w:name w:val="Comment Text Char"/>
    <w:basedOn w:val="DefaultParagraphFont"/>
    <w:link w:val="CommentText"/>
    <w:uiPriority w:val="99"/>
    <w:semiHidden/>
    <w:rsid w:val="00D218E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18E2"/>
    <w:rPr>
      <w:b/>
      <w:bCs/>
    </w:rPr>
  </w:style>
  <w:style w:type="character" w:customStyle="1" w:styleId="CommentSubjectChar">
    <w:name w:val="Comment Subject Char"/>
    <w:basedOn w:val="CommentTextChar"/>
    <w:link w:val="CommentSubject"/>
    <w:uiPriority w:val="99"/>
    <w:semiHidden/>
    <w:rsid w:val="00D218E2"/>
    <w:rPr>
      <w:rFonts w:ascii="Times New Roman" w:hAnsi="Times New Roman" w:cs="Times New Roman"/>
      <w:b/>
      <w:bCs/>
      <w:sz w:val="20"/>
      <w:szCs w:val="20"/>
    </w:rPr>
  </w:style>
  <w:style w:type="paragraph" w:styleId="Revision">
    <w:name w:val="Revision"/>
    <w:hidden/>
    <w:uiPriority w:val="99"/>
    <w:semiHidden/>
    <w:rsid w:val="00F7314F"/>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125"/>
    <w:pPr>
      <w:tabs>
        <w:tab w:val="center" w:pos="4680"/>
        <w:tab w:val="right" w:pos="9360"/>
      </w:tabs>
    </w:pPr>
  </w:style>
  <w:style w:type="character" w:customStyle="1" w:styleId="HeaderChar">
    <w:name w:val="Header Char"/>
    <w:basedOn w:val="DefaultParagraphFont"/>
    <w:link w:val="Header"/>
    <w:uiPriority w:val="99"/>
    <w:rsid w:val="00F45125"/>
    <w:rPr>
      <w:rFonts w:ascii="Times New Roman" w:hAnsi="Times New Roman" w:cs="Times New Roman"/>
      <w:sz w:val="20"/>
      <w:szCs w:val="20"/>
    </w:rPr>
  </w:style>
  <w:style w:type="paragraph" w:styleId="Footer">
    <w:name w:val="footer"/>
    <w:basedOn w:val="Normal"/>
    <w:link w:val="FooterChar"/>
    <w:uiPriority w:val="99"/>
    <w:unhideWhenUsed/>
    <w:rsid w:val="00F45125"/>
    <w:pPr>
      <w:tabs>
        <w:tab w:val="center" w:pos="4680"/>
        <w:tab w:val="right" w:pos="9360"/>
      </w:tabs>
    </w:pPr>
  </w:style>
  <w:style w:type="character" w:customStyle="1" w:styleId="FooterChar">
    <w:name w:val="Footer Char"/>
    <w:basedOn w:val="DefaultParagraphFont"/>
    <w:link w:val="Footer"/>
    <w:uiPriority w:val="99"/>
    <w:rsid w:val="00F4512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45125"/>
    <w:rPr>
      <w:rFonts w:ascii="Tahoma" w:hAnsi="Tahoma" w:cs="Tahoma"/>
      <w:sz w:val="16"/>
      <w:szCs w:val="16"/>
    </w:rPr>
  </w:style>
  <w:style w:type="character" w:customStyle="1" w:styleId="BalloonTextChar">
    <w:name w:val="Balloon Text Char"/>
    <w:basedOn w:val="DefaultParagraphFont"/>
    <w:link w:val="BalloonText"/>
    <w:uiPriority w:val="99"/>
    <w:semiHidden/>
    <w:rsid w:val="00F45125"/>
    <w:rPr>
      <w:rFonts w:ascii="Tahoma" w:hAnsi="Tahoma" w:cs="Tahoma"/>
      <w:sz w:val="16"/>
      <w:szCs w:val="16"/>
    </w:rPr>
  </w:style>
  <w:style w:type="character" w:styleId="CommentReference">
    <w:name w:val="annotation reference"/>
    <w:basedOn w:val="DefaultParagraphFont"/>
    <w:uiPriority w:val="99"/>
    <w:semiHidden/>
    <w:unhideWhenUsed/>
    <w:rsid w:val="00D218E2"/>
    <w:rPr>
      <w:sz w:val="16"/>
      <w:szCs w:val="16"/>
    </w:rPr>
  </w:style>
  <w:style w:type="paragraph" w:styleId="CommentText">
    <w:name w:val="annotation text"/>
    <w:basedOn w:val="Normal"/>
    <w:link w:val="CommentTextChar"/>
    <w:uiPriority w:val="99"/>
    <w:semiHidden/>
    <w:unhideWhenUsed/>
    <w:rsid w:val="00D218E2"/>
  </w:style>
  <w:style w:type="character" w:customStyle="1" w:styleId="CommentTextChar">
    <w:name w:val="Comment Text Char"/>
    <w:basedOn w:val="DefaultParagraphFont"/>
    <w:link w:val="CommentText"/>
    <w:uiPriority w:val="99"/>
    <w:semiHidden/>
    <w:rsid w:val="00D218E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18E2"/>
    <w:rPr>
      <w:b/>
      <w:bCs/>
    </w:rPr>
  </w:style>
  <w:style w:type="character" w:customStyle="1" w:styleId="CommentSubjectChar">
    <w:name w:val="Comment Subject Char"/>
    <w:basedOn w:val="CommentTextChar"/>
    <w:link w:val="CommentSubject"/>
    <w:uiPriority w:val="99"/>
    <w:semiHidden/>
    <w:rsid w:val="00D218E2"/>
    <w:rPr>
      <w:rFonts w:ascii="Times New Roman" w:hAnsi="Times New Roman" w:cs="Times New Roman"/>
      <w:b/>
      <w:bCs/>
      <w:sz w:val="20"/>
      <w:szCs w:val="20"/>
    </w:rPr>
  </w:style>
  <w:style w:type="paragraph" w:styleId="Revision">
    <w:name w:val="Revision"/>
    <w:hidden/>
    <w:uiPriority w:val="99"/>
    <w:semiHidden/>
    <w:rsid w:val="00F7314F"/>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723</Words>
  <Characters>3336</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2018-10-16T02:05:00Z</dcterms:created>
  <dcterms:modified xsi:type="dcterms:W3CDTF">2019-09-18T04:43:00Z</dcterms:modified>
</cp:coreProperties>
</file>