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294C" w14:textId="77777777" w:rsidR="00B22101" w:rsidRPr="006807D5" w:rsidRDefault="00F575EF" w:rsidP="00E83BDD">
      <w:pPr>
        <w:autoSpaceDE/>
        <w:autoSpaceDN/>
        <w:adjustRightInd/>
        <w:ind w:left="1296" w:right="1296"/>
        <w:jc w:val="center"/>
        <w:rPr>
          <w:sz w:val="32"/>
        </w:rPr>
      </w:pPr>
      <w:r w:rsidRPr="006807D5">
        <w:rPr>
          <w:b/>
          <w:bCs/>
          <w:sz w:val="32"/>
        </w:rPr>
        <w:t>SEAT OF GOVERNMENT (ADMINISTRATION)</w:t>
      </w:r>
      <w:r w:rsidR="00E83BDD">
        <w:rPr>
          <w:b/>
          <w:bCs/>
          <w:sz w:val="32"/>
        </w:rPr>
        <w:t xml:space="preserve"> </w:t>
      </w:r>
      <w:r w:rsidRPr="006807D5">
        <w:rPr>
          <w:b/>
          <w:bCs/>
          <w:sz w:val="32"/>
        </w:rPr>
        <w:t>AMENDMENT ACT 1978</w:t>
      </w:r>
    </w:p>
    <w:p w14:paraId="7AD2279D" w14:textId="77777777" w:rsidR="00B22101" w:rsidRPr="006807D5" w:rsidRDefault="00F575EF" w:rsidP="006807D5">
      <w:pPr>
        <w:shd w:val="clear" w:color="auto" w:fill="FFFFFF"/>
        <w:spacing w:before="240" w:after="360"/>
        <w:jc w:val="center"/>
        <w:rPr>
          <w:sz w:val="28"/>
        </w:rPr>
      </w:pPr>
      <w:r w:rsidRPr="006807D5">
        <w:rPr>
          <w:b/>
          <w:bCs/>
          <w:sz w:val="28"/>
        </w:rPr>
        <w:t>No. 40 of 1978</w:t>
      </w:r>
    </w:p>
    <w:p w14:paraId="6B46BE86" w14:textId="77777777" w:rsidR="00B22101" w:rsidRPr="0037201C" w:rsidRDefault="00F575EF" w:rsidP="0037201C">
      <w:pPr>
        <w:shd w:val="clear" w:color="auto" w:fill="FFFFFF"/>
        <w:jc w:val="both"/>
        <w:rPr>
          <w:sz w:val="24"/>
        </w:rPr>
      </w:pPr>
      <w:r w:rsidRPr="0037201C">
        <w:rPr>
          <w:sz w:val="24"/>
        </w:rPr>
        <w:t xml:space="preserve">An Act to amend section 12 of the </w:t>
      </w:r>
      <w:r w:rsidRPr="0037201C">
        <w:rPr>
          <w:i/>
          <w:iCs/>
          <w:sz w:val="24"/>
        </w:rPr>
        <w:t xml:space="preserve">Seat of Government </w:t>
      </w:r>
      <w:r w:rsidR="00547705" w:rsidRPr="0037201C">
        <w:rPr>
          <w:iCs/>
          <w:sz w:val="24"/>
        </w:rPr>
        <w:t>(</w:t>
      </w:r>
      <w:r w:rsidRPr="0037201C">
        <w:rPr>
          <w:i/>
          <w:iCs/>
          <w:sz w:val="24"/>
        </w:rPr>
        <w:t>Administration</w:t>
      </w:r>
      <w:r w:rsidR="00547705" w:rsidRPr="0037201C">
        <w:rPr>
          <w:iCs/>
          <w:sz w:val="24"/>
        </w:rPr>
        <w:t>)</w:t>
      </w:r>
      <w:r w:rsidRPr="0037201C">
        <w:rPr>
          <w:i/>
          <w:iCs/>
          <w:sz w:val="24"/>
        </w:rPr>
        <w:t xml:space="preserve"> Act </w:t>
      </w:r>
      <w:r w:rsidRPr="0037201C">
        <w:rPr>
          <w:sz w:val="24"/>
        </w:rPr>
        <w:t>1910.</w:t>
      </w:r>
    </w:p>
    <w:p w14:paraId="14080AB3" w14:textId="77777777" w:rsidR="00B22101" w:rsidRPr="0037201C" w:rsidRDefault="00F575EF" w:rsidP="006037A7">
      <w:pPr>
        <w:shd w:val="clear" w:color="auto" w:fill="FFFFFF"/>
        <w:spacing w:before="360" w:after="240"/>
        <w:ind w:firstLine="432"/>
        <w:jc w:val="both"/>
        <w:rPr>
          <w:sz w:val="24"/>
        </w:rPr>
      </w:pPr>
      <w:r w:rsidRPr="0037201C">
        <w:rPr>
          <w:sz w:val="24"/>
        </w:rPr>
        <w:t>BE IT ENACTED by the Queen, and the Senate and House of Representatives of the Commonwealth of Australia, as follows:</w:t>
      </w:r>
    </w:p>
    <w:p w14:paraId="138F3DC9" w14:textId="77777777" w:rsidR="00B22101" w:rsidRPr="00EA4316" w:rsidRDefault="00F575EF" w:rsidP="00EA4316">
      <w:pPr>
        <w:shd w:val="clear" w:color="auto" w:fill="FFFFFF"/>
        <w:spacing w:before="120" w:after="60"/>
        <w:rPr>
          <w:b/>
        </w:rPr>
      </w:pPr>
      <w:r w:rsidRPr="00EA4316">
        <w:rPr>
          <w:b/>
        </w:rPr>
        <w:t>Short title</w:t>
      </w:r>
    </w:p>
    <w:p w14:paraId="794209CE" w14:textId="1401C4BB" w:rsidR="00B22101" w:rsidRPr="0037201C" w:rsidRDefault="00F575EF" w:rsidP="00EA4316">
      <w:pPr>
        <w:shd w:val="clear" w:color="auto" w:fill="FFFFFF"/>
        <w:spacing w:before="60" w:after="60"/>
        <w:ind w:firstLine="432"/>
        <w:jc w:val="both"/>
        <w:rPr>
          <w:sz w:val="24"/>
        </w:rPr>
      </w:pPr>
      <w:r w:rsidRPr="0037201C">
        <w:rPr>
          <w:b/>
          <w:bCs/>
          <w:sz w:val="24"/>
        </w:rPr>
        <w:t>1.</w:t>
      </w:r>
      <w:r w:rsidRPr="0037201C">
        <w:rPr>
          <w:sz w:val="24"/>
        </w:rPr>
        <w:t xml:space="preserve"> This Act may be cited as the </w:t>
      </w:r>
      <w:r w:rsidRPr="0037201C">
        <w:rPr>
          <w:i/>
          <w:iCs/>
          <w:sz w:val="24"/>
        </w:rPr>
        <w:t xml:space="preserve">Seat of Government </w:t>
      </w:r>
      <w:r w:rsidR="00547705" w:rsidRPr="0037201C">
        <w:rPr>
          <w:iCs/>
          <w:sz w:val="24"/>
        </w:rPr>
        <w:t>(</w:t>
      </w:r>
      <w:r w:rsidRPr="0037201C">
        <w:rPr>
          <w:i/>
          <w:iCs/>
          <w:sz w:val="24"/>
        </w:rPr>
        <w:t>Administration</w:t>
      </w:r>
      <w:r w:rsidR="00547705" w:rsidRPr="0037201C">
        <w:rPr>
          <w:iCs/>
          <w:sz w:val="24"/>
        </w:rPr>
        <w:t>)</w:t>
      </w:r>
      <w:r w:rsidRPr="0037201C">
        <w:rPr>
          <w:i/>
          <w:iCs/>
          <w:sz w:val="24"/>
        </w:rPr>
        <w:t xml:space="preserve"> Amendment Act </w:t>
      </w:r>
      <w:r w:rsidRPr="0037201C">
        <w:rPr>
          <w:sz w:val="24"/>
        </w:rPr>
        <w:t>1978.</w:t>
      </w:r>
    </w:p>
    <w:p w14:paraId="757F101B" w14:textId="77777777" w:rsidR="00B22101" w:rsidRPr="00EA4316" w:rsidRDefault="00F575EF" w:rsidP="00EA4316">
      <w:pPr>
        <w:shd w:val="clear" w:color="auto" w:fill="FFFFFF"/>
        <w:spacing w:before="120" w:after="60"/>
        <w:rPr>
          <w:b/>
        </w:rPr>
      </w:pPr>
      <w:r w:rsidRPr="00EA4316">
        <w:rPr>
          <w:b/>
        </w:rPr>
        <w:t>Commencement</w:t>
      </w:r>
    </w:p>
    <w:p w14:paraId="2699C7C8" w14:textId="22E4F97A" w:rsidR="00B22101" w:rsidRPr="0037201C" w:rsidRDefault="00F575EF" w:rsidP="00EA4316">
      <w:pPr>
        <w:shd w:val="clear" w:color="auto" w:fill="FFFFFF"/>
        <w:spacing w:before="60" w:after="60"/>
        <w:ind w:firstLine="432"/>
        <w:jc w:val="both"/>
        <w:rPr>
          <w:sz w:val="24"/>
        </w:rPr>
      </w:pPr>
      <w:r w:rsidRPr="0037201C">
        <w:rPr>
          <w:b/>
          <w:bCs/>
          <w:sz w:val="24"/>
        </w:rPr>
        <w:t>2.</w:t>
      </w:r>
      <w:r w:rsidRPr="0037201C">
        <w:rPr>
          <w:sz w:val="24"/>
        </w:rPr>
        <w:t xml:space="preserve"> This Act shall come into operation on the day on which it receives the Royal Assent.</w:t>
      </w:r>
    </w:p>
    <w:p w14:paraId="749213C0" w14:textId="77777777" w:rsidR="00B22101" w:rsidRPr="00EA4316" w:rsidRDefault="00F575EF" w:rsidP="00EA4316">
      <w:pPr>
        <w:shd w:val="clear" w:color="auto" w:fill="FFFFFF"/>
        <w:spacing w:before="120" w:after="60"/>
        <w:rPr>
          <w:b/>
        </w:rPr>
      </w:pPr>
      <w:r w:rsidRPr="00EA4316">
        <w:rPr>
          <w:b/>
        </w:rPr>
        <w:t>Ordinances</w:t>
      </w:r>
    </w:p>
    <w:p w14:paraId="230CB39F" w14:textId="454371FF" w:rsidR="00B22101" w:rsidRPr="0037201C" w:rsidRDefault="00F575EF" w:rsidP="00EA4316">
      <w:pPr>
        <w:shd w:val="clear" w:color="auto" w:fill="FFFFFF"/>
        <w:spacing w:before="60" w:after="60"/>
        <w:ind w:firstLine="432"/>
        <w:jc w:val="both"/>
        <w:rPr>
          <w:sz w:val="24"/>
        </w:rPr>
      </w:pPr>
      <w:r w:rsidRPr="0037201C">
        <w:rPr>
          <w:b/>
          <w:bCs/>
          <w:sz w:val="24"/>
        </w:rPr>
        <w:t>3.</w:t>
      </w:r>
      <w:r w:rsidRPr="0037201C">
        <w:rPr>
          <w:sz w:val="24"/>
        </w:rPr>
        <w:t xml:space="preserve"> Section 12 of the </w:t>
      </w:r>
      <w:r w:rsidRPr="0037201C">
        <w:rPr>
          <w:i/>
          <w:iCs/>
          <w:sz w:val="24"/>
        </w:rPr>
        <w:t xml:space="preserve">Seat of Government </w:t>
      </w:r>
      <w:r w:rsidR="00547705" w:rsidRPr="0037201C">
        <w:rPr>
          <w:iCs/>
          <w:sz w:val="24"/>
        </w:rPr>
        <w:t>(</w:t>
      </w:r>
      <w:r w:rsidRPr="0037201C">
        <w:rPr>
          <w:i/>
          <w:iCs/>
          <w:sz w:val="24"/>
        </w:rPr>
        <w:t>Administration</w:t>
      </w:r>
      <w:r w:rsidR="00547705" w:rsidRPr="0037201C">
        <w:rPr>
          <w:iCs/>
          <w:sz w:val="24"/>
        </w:rPr>
        <w:t>)</w:t>
      </w:r>
      <w:r w:rsidRPr="0037201C">
        <w:rPr>
          <w:i/>
          <w:iCs/>
          <w:sz w:val="24"/>
        </w:rPr>
        <w:t xml:space="preserve"> Act </w:t>
      </w:r>
      <w:r w:rsidRPr="0037201C">
        <w:rPr>
          <w:sz w:val="24"/>
        </w:rPr>
        <w:t>1910</w:t>
      </w:r>
      <w:r w:rsidRPr="0037201C">
        <w:rPr>
          <w:sz w:val="24"/>
          <w:vertAlign w:val="superscript"/>
        </w:rPr>
        <w:t xml:space="preserve"> </w:t>
      </w:r>
      <w:r w:rsidRPr="0037201C">
        <w:rPr>
          <w:sz w:val="24"/>
        </w:rPr>
        <w:t>is amended</w:t>
      </w:r>
      <w:r w:rsidRPr="0037201C">
        <w:rPr>
          <w:rFonts w:eastAsia="Times New Roman"/>
          <w:sz w:val="24"/>
        </w:rPr>
        <w:t>—</w:t>
      </w:r>
    </w:p>
    <w:p w14:paraId="00AD605F" w14:textId="77777777" w:rsidR="00253AF0" w:rsidRDefault="00F575EF" w:rsidP="00EA4316">
      <w:pPr>
        <w:shd w:val="clear" w:color="auto" w:fill="FFFFFF"/>
        <w:spacing w:before="60" w:after="60"/>
        <w:ind w:left="792" w:hanging="360"/>
        <w:jc w:val="both"/>
        <w:rPr>
          <w:sz w:val="24"/>
        </w:rPr>
      </w:pPr>
      <w:r w:rsidRPr="0037201C">
        <w:rPr>
          <w:sz w:val="24"/>
        </w:rPr>
        <w:t>(a) by</w:t>
      </w:r>
      <w:r w:rsidR="00832524" w:rsidRPr="0037201C">
        <w:rPr>
          <w:sz w:val="24"/>
        </w:rPr>
        <w:t xml:space="preserve"> </w:t>
      </w:r>
      <w:r w:rsidRPr="0037201C">
        <w:rPr>
          <w:sz w:val="24"/>
        </w:rPr>
        <w:t>inserting</w:t>
      </w:r>
      <w:r w:rsidR="00832524" w:rsidRPr="0037201C">
        <w:rPr>
          <w:sz w:val="24"/>
        </w:rPr>
        <w:t xml:space="preserve"> </w:t>
      </w:r>
      <w:r w:rsidRPr="0037201C">
        <w:rPr>
          <w:sz w:val="24"/>
        </w:rPr>
        <w:t>in</w:t>
      </w:r>
      <w:r w:rsidR="00832524" w:rsidRPr="0037201C">
        <w:rPr>
          <w:sz w:val="24"/>
        </w:rPr>
        <w:t xml:space="preserve"> </w:t>
      </w:r>
      <w:r w:rsidRPr="0037201C">
        <w:rPr>
          <w:sz w:val="24"/>
        </w:rPr>
        <w:t>sub-section</w:t>
      </w:r>
      <w:r w:rsidR="00832524" w:rsidRPr="0037201C">
        <w:rPr>
          <w:sz w:val="24"/>
        </w:rPr>
        <w:t xml:space="preserve"> </w:t>
      </w:r>
      <w:r w:rsidRPr="0037201C">
        <w:rPr>
          <w:sz w:val="24"/>
        </w:rPr>
        <w:t>(2</w:t>
      </w:r>
      <w:r w:rsidR="00253AF0">
        <w:rPr>
          <w:smallCaps/>
          <w:sz w:val="24"/>
        </w:rPr>
        <w:t>a</w:t>
      </w:r>
      <w:r w:rsidRPr="0037201C">
        <w:rPr>
          <w:sz w:val="24"/>
        </w:rPr>
        <w:t>)</w:t>
      </w:r>
      <w:r w:rsidR="00832524" w:rsidRPr="0037201C">
        <w:rPr>
          <w:sz w:val="24"/>
        </w:rPr>
        <w:t xml:space="preserve"> </w:t>
      </w:r>
      <w:r w:rsidR="0037201C">
        <w:rPr>
          <w:sz w:val="24"/>
        </w:rPr>
        <w:t>“</w:t>
      </w:r>
      <w:r w:rsidRPr="0037201C">
        <w:rPr>
          <w:sz w:val="24"/>
        </w:rPr>
        <w:t>or</w:t>
      </w:r>
      <w:r w:rsidR="00832524" w:rsidRPr="0037201C">
        <w:rPr>
          <w:sz w:val="24"/>
        </w:rPr>
        <w:t xml:space="preserve"> </w:t>
      </w:r>
      <w:r w:rsidRPr="0037201C">
        <w:rPr>
          <w:sz w:val="24"/>
        </w:rPr>
        <w:t>places</w:t>
      </w:r>
      <w:r w:rsidR="0037201C">
        <w:rPr>
          <w:sz w:val="24"/>
        </w:rPr>
        <w:t>”</w:t>
      </w:r>
      <w:r w:rsidR="00832524" w:rsidRPr="0037201C">
        <w:rPr>
          <w:sz w:val="24"/>
        </w:rPr>
        <w:t xml:space="preserve"> </w:t>
      </w:r>
      <w:r w:rsidRPr="0037201C">
        <w:rPr>
          <w:sz w:val="24"/>
        </w:rPr>
        <w:t>after</w:t>
      </w:r>
      <w:r w:rsidR="00832524" w:rsidRPr="0037201C">
        <w:rPr>
          <w:sz w:val="24"/>
        </w:rPr>
        <w:t xml:space="preserve"> </w:t>
      </w:r>
      <w:r w:rsidR="0037201C">
        <w:rPr>
          <w:sz w:val="24"/>
        </w:rPr>
        <w:t>“</w:t>
      </w:r>
      <w:r w:rsidRPr="0037201C">
        <w:rPr>
          <w:sz w:val="24"/>
        </w:rPr>
        <w:t>place</w:t>
      </w:r>
      <w:r w:rsidR="0037201C">
        <w:rPr>
          <w:sz w:val="24"/>
        </w:rPr>
        <w:t>”</w:t>
      </w:r>
      <w:r w:rsidRPr="0037201C">
        <w:rPr>
          <w:sz w:val="24"/>
        </w:rPr>
        <w:t xml:space="preserve">; and </w:t>
      </w:r>
    </w:p>
    <w:p w14:paraId="3953B2CE" w14:textId="28EC40DD" w:rsidR="00B22101" w:rsidRPr="0037201C" w:rsidRDefault="00F575EF" w:rsidP="00EA4316">
      <w:pPr>
        <w:shd w:val="clear" w:color="auto" w:fill="FFFFFF"/>
        <w:spacing w:before="60" w:after="60"/>
        <w:ind w:left="792" w:hanging="360"/>
        <w:jc w:val="both"/>
        <w:rPr>
          <w:sz w:val="24"/>
        </w:rPr>
      </w:pPr>
      <w:r w:rsidRPr="0037201C">
        <w:rPr>
          <w:sz w:val="24"/>
        </w:rPr>
        <w:t>(b) by inserting after sub-section (2</w:t>
      </w:r>
      <w:r w:rsidR="00253AF0">
        <w:rPr>
          <w:smallCaps/>
          <w:sz w:val="24"/>
        </w:rPr>
        <w:t>a</w:t>
      </w:r>
      <w:r w:rsidRPr="0037201C">
        <w:rPr>
          <w:sz w:val="24"/>
        </w:rPr>
        <w:t>) the following sub-sections:</w:t>
      </w:r>
    </w:p>
    <w:p w14:paraId="5AFF4CB8" w14:textId="76D2294C" w:rsidR="00B22101" w:rsidRPr="0037201C" w:rsidRDefault="0037201C" w:rsidP="002931B4">
      <w:pPr>
        <w:shd w:val="clear" w:color="auto" w:fill="FFFFFF"/>
        <w:spacing w:before="60" w:after="60"/>
        <w:ind w:left="792" w:firstLine="288"/>
        <w:jc w:val="both"/>
        <w:rPr>
          <w:sz w:val="24"/>
        </w:rPr>
      </w:pPr>
      <w:r>
        <w:rPr>
          <w:sz w:val="24"/>
        </w:rPr>
        <w:t>“</w:t>
      </w:r>
      <w:r w:rsidR="00F575EF" w:rsidRPr="0037201C">
        <w:rPr>
          <w:sz w:val="24"/>
        </w:rPr>
        <w:t>(2</w:t>
      </w:r>
      <w:r w:rsidR="00253AF0">
        <w:rPr>
          <w:smallCaps/>
          <w:sz w:val="24"/>
        </w:rPr>
        <w:t>b</w:t>
      </w:r>
      <w:r w:rsidR="00F575EF" w:rsidRPr="0037201C">
        <w:rPr>
          <w:sz w:val="24"/>
        </w:rPr>
        <w:t xml:space="preserve">) Where a notice of an Ordinance having been made is published in accordance with sub-section </w:t>
      </w:r>
      <w:r w:rsidR="00F575EF" w:rsidRPr="0037201C">
        <w:rPr>
          <w:smallCaps/>
          <w:sz w:val="24"/>
        </w:rPr>
        <w:t>(2</w:t>
      </w:r>
      <w:r w:rsidR="00253AF0">
        <w:rPr>
          <w:smallCaps/>
          <w:sz w:val="24"/>
        </w:rPr>
        <w:t>a</w:t>
      </w:r>
      <w:r w:rsidR="00F575EF" w:rsidRPr="0037201C">
        <w:rPr>
          <w:smallCaps/>
          <w:sz w:val="24"/>
        </w:rPr>
        <w:t xml:space="preserve">), </w:t>
      </w:r>
      <w:r w:rsidR="00F575EF" w:rsidRPr="0037201C">
        <w:rPr>
          <w:sz w:val="24"/>
        </w:rPr>
        <w:t>copies of the Ordinance shall, at the time of publication of the notice or as soon as practicable thereafter, be made available for purchase at the place, or at each of the places, specified in the notice.</w:t>
      </w:r>
    </w:p>
    <w:p w14:paraId="0F2F1E6A" w14:textId="18346B56" w:rsidR="00B22101" w:rsidRPr="0037201C" w:rsidRDefault="0037201C" w:rsidP="002931B4">
      <w:pPr>
        <w:shd w:val="clear" w:color="auto" w:fill="FFFFFF"/>
        <w:spacing w:before="60" w:after="60"/>
        <w:ind w:left="792" w:firstLine="288"/>
        <w:jc w:val="both"/>
        <w:rPr>
          <w:sz w:val="24"/>
        </w:rPr>
      </w:pPr>
      <w:r>
        <w:rPr>
          <w:sz w:val="24"/>
        </w:rPr>
        <w:t>“</w:t>
      </w:r>
      <w:r w:rsidR="00F575EF" w:rsidRPr="0037201C">
        <w:rPr>
          <w:sz w:val="24"/>
        </w:rPr>
        <w:t>(2</w:t>
      </w:r>
      <w:r w:rsidR="00253AF0">
        <w:rPr>
          <w:smallCaps/>
          <w:sz w:val="24"/>
        </w:rPr>
        <w:t>c</w:t>
      </w:r>
      <w:r w:rsidR="00F575EF" w:rsidRPr="0037201C">
        <w:rPr>
          <w:sz w:val="24"/>
        </w:rPr>
        <w:t>) Where, on the date of publication of a notice referred to in sub-section (2</w:t>
      </w:r>
      <w:r w:rsidR="00253AF0">
        <w:rPr>
          <w:smallCaps/>
          <w:sz w:val="24"/>
        </w:rPr>
        <w:t>b</w:t>
      </w:r>
      <w:r w:rsidR="00F575EF" w:rsidRPr="0037201C">
        <w:rPr>
          <w:sz w:val="24"/>
        </w:rPr>
        <w:t>), there are no copies of the Ordinance to which the notice relates available for purchase at the place, or at one or more of the places, specified in the notice, the Minister of State for Administrative Services shall cause to be laid before each House of the Parliament, within 15 sitting days of that House after that date, a statement that copies of the Ordinance were not so available and the reason why they were not so available.</w:t>
      </w:r>
    </w:p>
    <w:p w14:paraId="1DAE8DBE" w14:textId="49A44D9A" w:rsidR="00B22101" w:rsidRPr="0037201C" w:rsidRDefault="0037201C" w:rsidP="002931B4">
      <w:pPr>
        <w:shd w:val="clear" w:color="auto" w:fill="FFFFFF"/>
        <w:spacing w:before="60" w:after="60"/>
        <w:ind w:left="792" w:firstLine="288"/>
        <w:jc w:val="both"/>
        <w:rPr>
          <w:sz w:val="24"/>
        </w:rPr>
      </w:pPr>
      <w:r>
        <w:rPr>
          <w:smallCaps/>
          <w:sz w:val="24"/>
        </w:rPr>
        <w:t>“</w:t>
      </w:r>
      <w:r w:rsidR="00F575EF" w:rsidRPr="0037201C">
        <w:rPr>
          <w:smallCaps/>
          <w:sz w:val="24"/>
        </w:rPr>
        <w:t xml:space="preserve">(2d) </w:t>
      </w:r>
      <w:r w:rsidR="00F575EF" w:rsidRPr="0037201C">
        <w:rPr>
          <w:sz w:val="24"/>
        </w:rPr>
        <w:t>Failure to comply with a requirement of sub-section (2</w:t>
      </w:r>
      <w:r w:rsidR="00253AF0">
        <w:rPr>
          <w:smallCaps/>
          <w:sz w:val="24"/>
        </w:rPr>
        <w:t>b</w:t>
      </w:r>
      <w:r w:rsidR="00F575EF" w:rsidRPr="0037201C">
        <w:rPr>
          <w:sz w:val="24"/>
        </w:rPr>
        <w:t>) or (2</w:t>
      </w:r>
      <w:r w:rsidR="00253AF0">
        <w:rPr>
          <w:smallCaps/>
          <w:sz w:val="24"/>
        </w:rPr>
        <w:t>c</w:t>
      </w:r>
      <w:r w:rsidR="00F575EF" w:rsidRPr="0037201C">
        <w:rPr>
          <w:sz w:val="24"/>
        </w:rPr>
        <w:t xml:space="preserve">) shall not be taken to constitute a failure to comply with paragraph (2)(a) or sub-section </w:t>
      </w:r>
      <w:r w:rsidR="00F575EF" w:rsidRPr="0037201C">
        <w:rPr>
          <w:smallCaps/>
          <w:sz w:val="24"/>
        </w:rPr>
        <w:t>(2a</w:t>
      </w:r>
      <w:bookmarkStart w:id="0" w:name="_GoBack"/>
      <w:bookmarkEnd w:id="0"/>
      <w:r w:rsidR="00F575EF" w:rsidRPr="0037201C">
        <w:rPr>
          <w:smallCaps/>
          <w:sz w:val="24"/>
        </w:rPr>
        <w:t>).</w:t>
      </w:r>
      <w:r>
        <w:rPr>
          <w:smallCaps/>
          <w:sz w:val="24"/>
        </w:rPr>
        <w:t>”</w:t>
      </w:r>
      <w:r w:rsidR="00F575EF" w:rsidRPr="0037201C">
        <w:rPr>
          <w:smallCaps/>
          <w:sz w:val="24"/>
        </w:rPr>
        <w:t>.</w:t>
      </w:r>
    </w:p>
    <w:p w14:paraId="49CCC794" w14:textId="733D17FF" w:rsidR="00F575EF" w:rsidRPr="0037201C" w:rsidRDefault="0088208C" w:rsidP="00253AF0">
      <w:pPr>
        <w:shd w:val="clear" w:color="auto" w:fill="FFFFFF"/>
        <w:spacing w:before="72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50114DF5" wp14:editId="42E89E00">
                <wp:simplePos x="0" y="0"/>
                <wp:positionH relativeFrom="column">
                  <wp:posOffset>8467</wp:posOffset>
                </wp:positionH>
                <wp:positionV relativeFrom="paragraph">
                  <wp:posOffset>201930</wp:posOffset>
                </wp:positionV>
                <wp:extent cx="62399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2399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218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5.9pt" to="49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" strokecolor="black [3040]" strokeweight="1.5pt"/>
            </w:pict>
          </mc:Fallback>
        </mc:AlternateContent>
      </w:r>
    </w:p>
    <w:sectPr w:rsidR="00F575EF" w:rsidRPr="0037201C" w:rsidSect="0037201C">
      <w:type w:val="continuous"/>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6CF230" w15:done="0"/>
  <w15:commentEx w15:paraId="4DA8A35C" w15:done="0"/>
  <w15:commentEx w15:paraId="45BD4A8E" w15:done="0"/>
  <w15:commentEx w15:paraId="6627CBFF" w15:done="0"/>
  <w15:commentEx w15:paraId="652799C2" w15:done="0"/>
  <w15:commentEx w15:paraId="79C50431" w15:done="0"/>
  <w15:commentEx w15:paraId="31F7971F" w15:done="0"/>
  <w15:commentEx w15:paraId="1328868D" w15:done="0"/>
  <w15:commentEx w15:paraId="38842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CF230" w16cid:durableId="1F6ACD87"/>
  <w16cid:commentId w16cid:paraId="4DA8A35C" w16cid:durableId="1F6ACD9A"/>
  <w16cid:commentId w16cid:paraId="45BD4A8E" w16cid:durableId="1F6ACD91"/>
  <w16cid:commentId w16cid:paraId="6627CBFF" w16cid:durableId="1F6ACD9F"/>
  <w16cid:commentId w16cid:paraId="652799C2" w16cid:durableId="1F6ACDA8"/>
  <w16cid:commentId w16cid:paraId="79C50431" w16cid:durableId="1F6ACDB0"/>
  <w16cid:commentId w16cid:paraId="31F7971F" w16cid:durableId="1F6ACDB7"/>
  <w16cid:commentId w16cid:paraId="1328868D" w16cid:durableId="1F6ACDC1"/>
  <w16cid:commentId w16cid:paraId="38842C42" w16cid:durableId="1F6ACD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4E"/>
    <w:rsid w:val="00096840"/>
    <w:rsid w:val="00253AF0"/>
    <w:rsid w:val="0027078F"/>
    <w:rsid w:val="002931B4"/>
    <w:rsid w:val="003513DE"/>
    <w:rsid w:val="0037201C"/>
    <w:rsid w:val="004130E1"/>
    <w:rsid w:val="00433700"/>
    <w:rsid w:val="004E2CF7"/>
    <w:rsid w:val="00547705"/>
    <w:rsid w:val="006037A7"/>
    <w:rsid w:val="006807D5"/>
    <w:rsid w:val="007745CB"/>
    <w:rsid w:val="00832524"/>
    <w:rsid w:val="0088208C"/>
    <w:rsid w:val="00A5111E"/>
    <w:rsid w:val="00B22101"/>
    <w:rsid w:val="00B30C1F"/>
    <w:rsid w:val="00D0224B"/>
    <w:rsid w:val="00D76435"/>
    <w:rsid w:val="00E83BDD"/>
    <w:rsid w:val="00EA4316"/>
    <w:rsid w:val="00EB5323"/>
    <w:rsid w:val="00F2144E"/>
    <w:rsid w:val="00F244E3"/>
    <w:rsid w:val="00F5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284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13DE"/>
    <w:rPr>
      <w:sz w:val="16"/>
      <w:szCs w:val="16"/>
    </w:rPr>
  </w:style>
  <w:style w:type="paragraph" w:styleId="CommentText">
    <w:name w:val="annotation text"/>
    <w:basedOn w:val="Normal"/>
    <w:link w:val="CommentTextChar"/>
    <w:uiPriority w:val="99"/>
    <w:semiHidden/>
    <w:unhideWhenUsed/>
    <w:rsid w:val="003513DE"/>
  </w:style>
  <w:style w:type="character" w:customStyle="1" w:styleId="CommentTextChar">
    <w:name w:val="Comment Text Char"/>
    <w:basedOn w:val="DefaultParagraphFont"/>
    <w:link w:val="CommentText"/>
    <w:uiPriority w:val="99"/>
    <w:semiHidden/>
    <w:rsid w:val="003513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3DE"/>
    <w:rPr>
      <w:b/>
      <w:bCs/>
    </w:rPr>
  </w:style>
  <w:style w:type="character" w:customStyle="1" w:styleId="CommentSubjectChar">
    <w:name w:val="Comment Subject Char"/>
    <w:basedOn w:val="CommentTextChar"/>
    <w:link w:val="CommentSubject"/>
    <w:uiPriority w:val="99"/>
    <w:semiHidden/>
    <w:rsid w:val="003513D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51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3DE"/>
    <w:rPr>
      <w:rFonts w:ascii="Segoe UI" w:hAnsi="Segoe UI" w:cs="Segoe UI"/>
      <w:sz w:val="18"/>
      <w:szCs w:val="18"/>
    </w:rPr>
  </w:style>
  <w:style w:type="paragraph" w:styleId="Revision">
    <w:name w:val="Revision"/>
    <w:hidden/>
    <w:uiPriority w:val="99"/>
    <w:semiHidden/>
    <w:rsid w:val="00253AF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13DE"/>
    <w:rPr>
      <w:sz w:val="16"/>
      <w:szCs w:val="16"/>
    </w:rPr>
  </w:style>
  <w:style w:type="paragraph" w:styleId="CommentText">
    <w:name w:val="annotation text"/>
    <w:basedOn w:val="Normal"/>
    <w:link w:val="CommentTextChar"/>
    <w:uiPriority w:val="99"/>
    <w:semiHidden/>
    <w:unhideWhenUsed/>
    <w:rsid w:val="003513DE"/>
  </w:style>
  <w:style w:type="character" w:customStyle="1" w:styleId="CommentTextChar">
    <w:name w:val="Comment Text Char"/>
    <w:basedOn w:val="DefaultParagraphFont"/>
    <w:link w:val="CommentText"/>
    <w:uiPriority w:val="99"/>
    <w:semiHidden/>
    <w:rsid w:val="003513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3DE"/>
    <w:rPr>
      <w:b/>
      <w:bCs/>
    </w:rPr>
  </w:style>
  <w:style w:type="character" w:customStyle="1" w:styleId="CommentSubjectChar">
    <w:name w:val="Comment Subject Char"/>
    <w:basedOn w:val="CommentTextChar"/>
    <w:link w:val="CommentSubject"/>
    <w:uiPriority w:val="99"/>
    <w:semiHidden/>
    <w:rsid w:val="003513D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51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3DE"/>
    <w:rPr>
      <w:rFonts w:ascii="Segoe UI" w:hAnsi="Segoe UI" w:cs="Segoe UI"/>
      <w:sz w:val="18"/>
      <w:szCs w:val="18"/>
    </w:rPr>
  </w:style>
  <w:style w:type="paragraph" w:styleId="Revision">
    <w:name w:val="Revision"/>
    <w:hidden/>
    <w:uiPriority w:val="99"/>
    <w:semiHidden/>
    <w:rsid w:val="00253AF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2018-10-11T21:38:00Z</dcterms:created>
  <dcterms:modified xsi:type="dcterms:W3CDTF">2019-09-12T05:04:00Z</dcterms:modified>
</cp:coreProperties>
</file>