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D6488" w14:textId="77777777" w:rsidR="008E1C56" w:rsidRPr="00BF782F" w:rsidRDefault="008E1C56" w:rsidP="00BF782F">
      <w:pPr>
        <w:shd w:val="clear" w:color="auto" w:fill="FFFFFF"/>
        <w:jc w:val="center"/>
        <w:rPr>
          <w:sz w:val="32"/>
          <w:szCs w:val="24"/>
        </w:rPr>
      </w:pPr>
      <w:r w:rsidRPr="00BF782F">
        <w:rPr>
          <w:b/>
          <w:bCs/>
          <w:sz w:val="32"/>
          <w:szCs w:val="30"/>
          <w:lang w:val="en-US"/>
        </w:rPr>
        <w:t xml:space="preserve">ACTS INTERPRETATION AMENDMENT ACT </w:t>
      </w:r>
      <w:r w:rsidRPr="00BF782F">
        <w:rPr>
          <w:b/>
          <w:bCs/>
          <w:sz w:val="32"/>
          <w:szCs w:val="32"/>
          <w:lang w:val="en-US"/>
        </w:rPr>
        <w:t>1978</w:t>
      </w:r>
    </w:p>
    <w:p w14:paraId="59F66A14" w14:textId="77777777" w:rsidR="008E1C56" w:rsidRPr="00BF782F" w:rsidRDefault="008E1C56" w:rsidP="00BF782F">
      <w:pPr>
        <w:shd w:val="clear" w:color="auto" w:fill="FFFFFF"/>
        <w:spacing w:before="240" w:after="360"/>
        <w:jc w:val="center"/>
        <w:rPr>
          <w:sz w:val="28"/>
          <w:szCs w:val="24"/>
        </w:rPr>
      </w:pPr>
      <w:r w:rsidRPr="00BF782F">
        <w:rPr>
          <w:b/>
          <w:bCs/>
          <w:sz w:val="28"/>
          <w:szCs w:val="30"/>
          <w:lang w:val="en-US"/>
        </w:rPr>
        <w:t>No. 35 of 1978</w:t>
      </w:r>
    </w:p>
    <w:p w14:paraId="5D5075B4" w14:textId="77777777" w:rsidR="008E1C56" w:rsidRPr="000C7F4E" w:rsidRDefault="008E1C56" w:rsidP="00B44ACA">
      <w:pPr>
        <w:shd w:val="clear" w:color="auto" w:fill="FFFFFF"/>
        <w:jc w:val="center"/>
        <w:rPr>
          <w:sz w:val="24"/>
          <w:szCs w:val="24"/>
        </w:rPr>
      </w:pPr>
      <w:r w:rsidRPr="000C7F4E">
        <w:rPr>
          <w:sz w:val="24"/>
          <w:szCs w:val="24"/>
          <w:lang w:val="en-US"/>
        </w:rPr>
        <w:t xml:space="preserve">An Act to amend the </w:t>
      </w:r>
      <w:r w:rsidRPr="000C7F4E">
        <w:rPr>
          <w:i/>
          <w:iCs/>
          <w:sz w:val="24"/>
          <w:szCs w:val="24"/>
          <w:lang w:val="en-US"/>
        </w:rPr>
        <w:t xml:space="preserve">Acts Interpretation Act </w:t>
      </w:r>
      <w:r w:rsidRPr="000C7F4E">
        <w:rPr>
          <w:sz w:val="24"/>
          <w:szCs w:val="24"/>
          <w:lang w:val="en-US"/>
        </w:rPr>
        <w:t>1901.</w:t>
      </w:r>
    </w:p>
    <w:p w14:paraId="72C05E91" w14:textId="77777777" w:rsidR="008E1C56" w:rsidRPr="000C7F4E" w:rsidRDefault="008E1C56" w:rsidP="004F7685">
      <w:pPr>
        <w:shd w:val="clear" w:color="auto" w:fill="FFFFFF"/>
        <w:spacing w:before="360" w:after="240"/>
        <w:ind w:firstLine="432"/>
        <w:jc w:val="both"/>
        <w:rPr>
          <w:sz w:val="24"/>
          <w:szCs w:val="24"/>
        </w:rPr>
      </w:pPr>
      <w:r w:rsidRPr="000C7F4E">
        <w:rPr>
          <w:sz w:val="24"/>
          <w:szCs w:val="24"/>
          <w:lang w:val="en-US"/>
        </w:rPr>
        <w:t>BE IT ENACTED by the Queen, and the Senate and the House of Representatives of the Commonwealth of Australia, as follows:</w:t>
      </w:r>
    </w:p>
    <w:p w14:paraId="58F8DB42" w14:textId="77777777" w:rsidR="008E1C56" w:rsidRPr="008C6D5E" w:rsidRDefault="008E1C56" w:rsidP="008C6D5E">
      <w:pPr>
        <w:shd w:val="clear" w:color="auto" w:fill="FFFFFF"/>
        <w:spacing w:before="120" w:after="60"/>
        <w:rPr>
          <w:b/>
          <w:szCs w:val="24"/>
        </w:rPr>
      </w:pPr>
      <w:r w:rsidRPr="008C6D5E">
        <w:rPr>
          <w:b/>
          <w:szCs w:val="18"/>
          <w:lang w:val="en-US"/>
        </w:rPr>
        <w:t>Short title</w:t>
      </w:r>
    </w:p>
    <w:p w14:paraId="5E00531C" w14:textId="30032494" w:rsidR="008E1C56" w:rsidRPr="000C7F4E" w:rsidRDefault="008E1C56" w:rsidP="008C6D5E">
      <w:pPr>
        <w:shd w:val="clear" w:color="auto" w:fill="FFFFFF"/>
        <w:spacing w:before="60" w:after="60"/>
        <w:ind w:firstLine="432"/>
        <w:jc w:val="both"/>
        <w:rPr>
          <w:sz w:val="24"/>
          <w:szCs w:val="24"/>
        </w:rPr>
      </w:pPr>
      <w:r w:rsidRPr="000C7F4E">
        <w:rPr>
          <w:b/>
          <w:bCs/>
          <w:sz w:val="24"/>
          <w:szCs w:val="24"/>
          <w:lang w:val="en-US"/>
        </w:rPr>
        <w:t>1.</w:t>
      </w:r>
      <w:r w:rsidRPr="000C7F4E">
        <w:rPr>
          <w:sz w:val="24"/>
          <w:szCs w:val="24"/>
          <w:lang w:val="en-US"/>
        </w:rPr>
        <w:t xml:space="preserve"> (1) This Act may be cited as the </w:t>
      </w:r>
      <w:r w:rsidRPr="000C7F4E">
        <w:rPr>
          <w:i/>
          <w:iCs/>
          <w:sz w:val="24"/>
          <w:szCs w:val="24"/>
          <w:lang w:val="en-US"/>
        </w:rPr>
        <w:t xml:space="preserve">Acts Interpretation Amendment </w:t>
      </w:r>
      <w:r w:rsidRPr="000C7F4E">
        <w:rPr>
          <w:i/>
          <w:iCs/>
          <w:sz w:val="24"/>
          <w:szCs w:val="28"/>
          <w:lang w:val="en-US"/>
        </w:rPr>
        <w:t xml:space="preserve">Act </w:t>
      </w:r>
      <w:r w:rsidRPr="000C7F4E">
        <w:rPr>
          <w:sz w:val="24"/>
          <w:szCs w:val="28"/>
          <w:lang w:val="en-US"/>
        </w:rPr>
        <w:t>1978.</w:t>
      </w:r>
    </w:p>
    <w:p w14:paraId="4D8134BC" w14:textId="039EFEFC" w:rsidR="008E1C56" w:rsidRPr="000C7F4E" w:rsidRDefault="008E1C56" w:rsidP="00E65F92">
      <w:pPr>
        <w:shd w:val="clear" w:color="auto" w:fill="FFFFFF"/>
        <w:spacing w:before="60" w:after="60"/>
        <w:ind w:firstLine="432"/>
        <w:jc w:val="both"/>
        <w:rPr>
          <w:sz w:val="24"/>
          <w:szCs w:val="24"/>
        </w:rPr>
      </w:pPr>
      <w:r w:rsidRPr="000C7F4E">
        <w:rPr>
          <w:sz w:val="24"/>
          <w:szCs w:val="24"/>
          <w:lang w:val="en-US"/>
        </w:rPr>
        <w:t xml:space="preserve">(2) The </w:t>
      </w:r>
      <w:r w:rsidRPr="000C7F4E">
        <w:rPr>
          <w:i/>
          <w:iCs/>
          <w:sz w:val="24"/>
          <w:szCs w:val="24"/>
          <w:lang w:val="en-US"/>
        </w:rPr>
        <w:t xml:space="preserve">Acts Interpretation Act </w:t>
      </w:r>
      <w:r w:rsidRPr="000C7F4E">
        <w:rPr>
          <w:sz w:val="24"/>
          <w:szCs w:val="24"/>
          <w:lang w:val="en-US"/>
        </w:rPr>
        <w:t>1901 is in this Act referred to as the Principal Act.</w:t>
      </w:r>
    </w:p>
    <w:p w14:paraId="70D0E8C9" w14:textId="77777777" w:rsidR="008E1C56" w:rsidRPr="00E65F92" w:rsidRDefault="008E1C56" w:rsidP="00E65F92">
      <w:pPr>
        <w:shd w:val="clear" w:color="auto" w:fill="FFFFFF"/>
        <w:spacing w:before="120" w:after="60"/>
        <w:rPr>
          <w:b/>
          <w:szCs w:val="24"/>
        </w:rPr>
      </w:pPr>
      <w:r w:rsidRPr="00E65F92">
        <w:rPr>
          <w:b/>
          <w:szCs w:val="18"/>
          <w:lang w:val="en-US"/>
        </w:rPr>
        <w:t>Commencement</w:t>
      </w:r>
    </w:p>
    <w:p w14:paraId="197F54B8" w14:textId="259DC108" w:rsidR="008E1C56" w:rsidRPr="000C7F4E" w:rsidRDefault="008E1C56" w:rsidP="00E65F92">
      <w:pPr>
        <w:shd w:val="clear" w:color="auto" w:fill="FFFFFF"/>
        <w:spacing w:before="60" w:after="60"/>
        <w:ind w:firstLine="432"/>
        <w:jc w:val="both"/>
        <w:rPr>
          <w:sz w:val="24"/>
          <w:szCs w:val="24"/>
        </w:rPr>
      </w:pPr>
      <w:r w:rsidRPr="000C7F4E">
        <w:rPr>
          <w:b/>
          <w:bCs/>
          <w:sz w:val="24"/>
          <w:szCs w:val="24"/>
          <w:lang w:val="en-US"/>
        </w:rPr>
        <w:t>2.</w:t>
      </w:r>
      <w:r w:rsidRPr="000C7F4E">
        <w:rPr>
          <w:sz w:val="24"/>
          <w:szCs w:val="24"/>
          <w:lang w:val="en-US"/>
        </w:rPr>
        <w:t xml:space="preserve"> This Act shall come into operation on the day on which it receives the Royal Assent.</w:t>
      </w:r>
    </w:p>
    <w:p w14:paraId="44E1C753" w14:textId="77777777" w:rsidR="008E1C56" w:rsidRPr="00F17A77" w:rsidRDefault="008E1C56" w:rsidP="00F17A77">
      <w:pPr>
        <w:shd w:val="clear" w:color="auto" w:fill="FFFFFF"/>
        <w:spacing w:before="120" w:after="60"/>
        <w:rPr>
          <w:b/>
          <w:szCs w:val="24"/>
        </w:rPr>
      </w:pPr>
      <w:r w:rsidRPr="00F17A77">
        <w:rPr>
          <w:b/>
          <w:szCs w:val="18"/>
          <w:lang w:val="en-US"/>
        </w:rPr>
        <w:t>Reference to Minister, Department, &amp;c., that is not consistent with</w:t>
      </w:r>
      <w:r w:rsidR="00F17A77" w:rsidRPr="00F17A77">
        <w:rPr>
          <w:b/>
          <w:szCs w:val="18"/>
          <w:lang w:val="en-US"/>
        </w:rPr>
        <w:t xml:space="preserve"> </w:t>
      </w:r>
      <w:r w:rsidRPr="00F17A77">
        <w:rPr>
          <w:b/>
          <w:szCs w:val="18"/>
          <w:lang w:val="en-US"/>
        </w:rPr>
        <w:t>changed administrative arrangements</w:t>
      </w:r>
    </w:p>
    <w:p w14:paraId="24A882A3" w14:textId="02CD3AFB" w:rsidR="008E1C56" w:rsidRPr="000C7F4E" w:rsidRDefault="008E1C56" w:rsidP="00E17102">
      <w:pPr>
        <w:shd w:val="clear" w:color="auto" w:fill="FFFFFF"/>
        <w:spacing w:before="60" w:after="60"/>
        <w:ind w:firstLine="432"/>
        <w:jc w:val="both"/>
        <w:rPr>
          <w:sz w:val="24"/>
          <w:szCs w:val="24"/>
        </w:rPr>
      </w:pPr>
      <w:r w:rsidRPr="000C7F4E">
        <w:rPr>
          <w:b/>
          <w:bCs/>
          <w:sz w:val="24"/>
          <w:szCs w:val="24"/>
          <w:lang w:val="en-US"/>
        </w:rPr>
        <w:t>3.</w:t>
      </w:r>
      <w:r w:rsidRPr="000C7F4E">
        <w:rPr>
          <w:sz w:val="24"/>
          <w:szCs w:val="24"/>
          <w:lang w:val="en-US"/>
        </w:rPr>
        <w:t xml:space="preserve"> Section 19</w:t>
      </w:r>
      <w:r w:rsidR="0020439D">
        <w:rPr>
          <w:smallCaps/>
          <w:sz w:val="24"/>
          <w:szCs w:val="24"/>
          <w:lang w:val="en-US"/>
        </w:rPr>
        <w:t>ba</w:t>
      </w:r>
      <w:r w:rsidRPr="000C7F4E">
        <w:rPr>
          <w:sz w:val="24"/>
          <w:szCs w:val="24"/>
          <w:lang w:val="en-US"/>
        </w:rPr>
        <w:t xml:space="preserve"> of the Principal Act is amended by inserting in paragraph (b) of sub-section (1) </w:t>
      </w:r>
      <w:r w:rsidR="0020439D">
        <w:rPr>
          <w:sz w:val="24"/>
          <w:szCs w:val="24"/>
          <w:lang w:val="en-US"/>
        </w:rPr>
        <w:t>“</w:t>
      </w:r>
      <w:r w:rsidRPr="000C7F4E">
        <w:rPr>
          <w:sz w:val="24"/>
          <w:szCs w:val="24"/>
          <w:lang w:val="en-US"/>
        </w:rPr>
        <w:t>or the reference to that Minister is no longer appropriate</w:t>
      </w:r>
      <w:r w:rsidR="000C7F4E">
        <w:rPr>
          <w:sz w:val="24"/>
          <w:szCs w:val="24"/>
          <w:lang w:val="en-US"/>
        </w:rPr>
        <w:t>”</w:t>
      </w:r>
      <w:r w:rsidRPr="000C7F4E">
        <w:rPr>
          <w:sz w:val="24"/>
          <w:szCs w:val="24"/>
          <w:lang w:val="en-US"/>
        </w:rPr>
        <w:t xml:space="preserve"> after </w:t>
      </w:r>
      <w:r w:rsidR="000C7F4E">
        <w:rPr>
          <w:sz w:val="24"/>
          <w:szCs w:val="24"/>
          <w:lang w:val="en-US"/>
        </w:rPr>
        <w:t>“</w:t>
      </w:r>
      <w:r w:rsidRPr="000C7F4E">
        <w:rPr>
          <w:sz w:val="24"/>
          <w:szCs w:val="24"/>
          <w:lang w:val="en-US"/>
        </w:rPr>
        <w:t>provision</w:t>
      </w:r>
      <w:r w:rsidR="000C7F4E">
        <w:rPr>
          <w:sz w:val="24"/>
          <w:szCs w:val="24"/>
          <w:lang w:val="en-US"/>
        </w:rPr>
        <w:t>”</w:t>
      </w:r>
      <w:r w:rsidRPr="000C7F4E">
        <w:rPr>
          <w:sz w:val="24"/>
          <w:szCs w:val="24"/>
          <w:lang w:val="en-US"/>
        </w:rPr>
        <w:t xml:space="preserve"> (last occurring).</w:t>
      </w:r>
    </w:p>
    <w:p w14:paraId="6FA865A1" w14:textId="74827D6F" w:rsidR="008E1C56" w:rsidRPr="002E17C9" w:rsidRDefault="008E1C56" w:rsidP="00042381">
      <w:pPr>
        <w:shd w:val="clear" w:color="auto" w:fill="FFFFFF"/>
        <w:spacing w:before="120" w:after="60"/>
        <w:rPr>
          <w:b/>
          <w:szCs w:val="24"/>
        </w:rPr>
      </w:pPr>
      <w:r w:rsidRPr="002E17C9">
        <w:rPr>
          <w:b/>
          <w:szCs w:val="18"/>
          <w:lang w:val="en-US"/>
        </w:rPr>
        <w:t xml:space="preserve">Orders under sections </w:t>
      </w:r>
      <w:r w:rsidRPr="002E17C9">
        <w:rPr>
          <w:b/>
          <w:smallCaps/>
          <w:szCs w:val="18"/>
          <w:lang w:val="en-US"/>
        </w:rPr>
        <w:t xml:space="preserve">19b, </w:t>
      </w:r>
      <w:r w:rsidRPr="002E17C9">
        <w:rPr>
          <w:b/>
          <w:szCs w:val="18"/>
          <w:lang w:val="en-US"/>
        </w:rPr>
        <w:t>19</w:t>
      </w:r>
      <w:r w:rsidRPr="002E17C9">
        <w:rPr>
          <w:b/>
          <w:smallCaps/>
          <w:szCs w:val="18"/>
          <w:lang w:val="en-US"/>
        </w:rPr>
        <w:t>ba</w:t>
      </w:r>
      <w:r w:rsidRPr="002E17C9">
        <w:rPr>
          <w:b/>
          <w:szCs w:val="18"/>
          <w:lang w:val="en-US"/>
        </w:rPr>
        <w:t xml:space="preserve"> and 19</w:t>
      </w:r>
      <w:r w:rsidR="0020439D">
        <w:rPr>
          <w:b/>
          <w:smallCaps/>
          <w:szCs w:val="18"/>
          <w:lang w:val="en-US"/>
        </w:rPr>
        <w:t>bb</w:t>
      </w:r>
      <w:r w:rsidRPr="002E17C9">
        <w:rPr>
          <w:b/>
          <w:szCs w:val="18"/>
          <w:lang w:val="en-US"/>
        </w:rPr>
        <w:t xml:space="preserve"> to be published in </w:t>
      </w:r>
      <w:r w:rsidRPr="002E17C9">
        <w:rPr>
          <w:b/>
          <w:i/>
          <w:iCs/>
          <w:szCs w:val="18"/>
          <w:lang w:val="en-US"/>
        </w:rPr>
        <w:t>Gazette</w:t>
      </w:r>
    </w:p>
    <w:p w14:paraId="2A4FB718" w14:textId="47B00CA0" w:rsidR="008E1C56" w:rsidRPr="000C7F4E" w:rsidRDefault="008E1C56" w:rsidP="00042381">
      <w:pPr>
        <w:shd w:val="clear" w:color="auto" w:fill="FFFFFF"/>
        <w:spacing w:before="60" w:after="60"/>
        <w:ind w:firstLine="432"/>
        <w:jc w:val="both"/>
        <w:rPr>
          <w:sz w:val="24"/>
          <w:szCs w:val="24"/>
        </w:rPr>
      </w:pPr>
      <w:r w:rsidRPr="000C7F4E">
        <w:rPr>
          <w:b/>
          <w:bCs/>
          <w:sz w:val="24"/>
          <w:szCs w:val="24"/>
          <w:lang w:val="en-US"/>
        </w:rPr>
        <w:t>4.</w:t>
      </w:r>
      <w:r w:rsidRPr="000C7F4E">
        <w:rPr>
          <w:i/>
          <w:iCs/>
          <w:sz w:val="24"/>
          <w:szCs w:val="24"/>
          <w:lang w:val="en-US"/>
        </w:rPr>
        <w:t xml:space="preserve"> </w:t>
      </w:r>
      <w:r w:rsidRPr="000C7F4E">
        <w:rPr>
          <w:sz w:val="24"/>
          <w:szCs w:val="24"/>
          <w:lang w:val="en-US"/>
        </w:rPr>
        <w:t>Section 19</w:t>
      </w:r>
      <w:r w:rsidR="0020439D">
        <w:rPr>
          <w:smallCaps/>
          <w:sz w:val="24"/>
          <w:szCs w:val="24"/>
          <w:lang w:val="en-US"/>
        </w:rPr>
        <w:t>bc</w:t>
      </w:r>
      <w:r w:rsidRPr="000C7F4E">
        <w:rPr>
          <w:sz w:val="24"/>
          <w:szCs w:val="24"/>
          <w:lang w:val="en-US"/>
        </w:rPr>
        <w:t xml:space="preserve"> of the Principal Act is amended by inserting </w:t>
      </w:r>
      <w:r w:rsidR="000C7F4E">
        <w:rPr>
          <w:sz w:val="24"/>
          <w:szCs w:val="24"/>
          <w:lang w:val="en-US"/>
        </w:rPr>
        <w:t>“</w:t>
      </w:r>
      <w:r w:rsidRPr="000C7F4E">
        <w:rPr>
          <w:sz w:val="24"/>
          <w:szCs w:val="24"/>
          <w:lang w:val="en-US"/>
        </w:rPr>
        <w:t>to</w:t>
      </w:r>
      <w:r w:rsidR="000C7F4E">
        <w:rPr>
          <w:sz w:val="24"/>
          <w:szCs w:val="24"/>
          <w:lang w:val="en-US"/>
        </w:rPr>
        <w:t>”</w:t>
      </w:r>
      <w:r w:rsidRPr="000C7F4E">
        <w:rPr>
          <w:sz w:val="24"/>
          <w:szCs w:val="24"/>
          <w:lang w:val="en-US"/>
        </w:rPr>
        <w:t xml:space="preserve"> before </w:t>
      </w:r>
      <w:r w:rsidR="000C7F4E">
        <w:rPr>
          <w:sz w:val="24"/>
          <w:szCs w:val="24"/>
          <w:lang w:val="en-US"/>
        </w:rPr>
        <w:t>“</w:t>
      </w:r>
      <w:r w:rsidRPr="000C7F4E">
        <w:rPr>
          <w:sz w:val="24"/>
          <w:szCs w:val="24"/>
          <w:lang w:val="en-US"/>
        </w:rPr>
        <w:t>be</w:t>
      </w:r>
      <w:r w:rsidR="000C7F4E">
        <w:rPr>
          <w:sz w:val="24"/>
          <w:szCs w:val="24"/>
          <w:lang w:val="en-US"/>
        </w:rPr>
        <w:t>”</w:t>
      </w:r>
      <w:r w:rsidRPr="000C7F4E">
        <w:rPr>
          <w:sz w:val="24"/>
          <w:szCs w:val="24"/>
          <w:lang w:val="en-US"/>
        </w:rPr>
        <w:t>.</w:t>
      </w:r>
    </w:p>
    <w:p w14:paraId="139E6414" w14:textId="43F3CA8E" w:rsidR="008E1C56" w:rsidRPr="000C7F4E" w:rsidRDefault="00CB1D54" w:rsidP="0020439D">
      <w:pPr>
        <w:shd w:val="clear" w:color="auto" w:fill="FFFFFF"/>
        <w:spacing w:before="720" w:after="120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20F49" wp14:editId="38C129F4">
                <wp:simplePos x="0" y="0"/>
                <wp:positionH relativeFrom="column">
                  <wp:posOffset>212</wp:posOffset>
                </wp:positionH>
                <wp:positionV relativeFrom="paragraph">
                  <wp:posOffset>199390</wp:posOffset>
                </wp:positionV>
                <wp:extent cx="62230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6AA72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7pt" to="490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" strokecolor="black [3040]" strokeweight="1.5pt"/>
            </w:pict>
          </mc:Fallback>
        </mc:AlternateContent>
      </w:r>
      <w:bookmarkStart w:id="0" w:name="_GoBack"/>
      <w:bookmarkEnd w:id="0"/>
    </w:p>
    <w:sectPr w:rsidR="008E1C56" w:rsidRPr="000C7F4E" w:rsidSect="000C7F4E">
      <w:type w:val="continuous"/>
      <w:pgSz w:w="11909" w:h="18000"/>
      <w:pgMar w:top="1080" w:right="1080" w:bottom="1080" w:left="1080" w:header="720" w:footer="720" w:gutter="0"/>
      <w:cols w:space="720"/>
      <w:noEndnote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35A5E4C" w15:done="0"/>
  <w15:commentEx w15:paraId="7838C9B6" w15:done="0"/>
  <w15:commentEx w15:paraId="5FAD8CC0" w15:done="0"/>
  <w15:commentEx w15:paraId="7B914D7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5A5E4C" w16cid:durableId="1F69FB58"/>
  <w16cid:commentId w16cid:paraId="7838C9B6" w16cid:durableId="1F69FB69"/>
  <w16cid:commentId w16cid:paraId="5FAD8CC0" w16cid:durableId="1F69FB91"/>
  <w16cid:commentId w16cid:paraId="7B914D70" w16cid:durableId="1F69FB9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revisionView w:markup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86"/>
    <w:rsid w:val="00024D86"/>
    <w:rsid w:val="00042381"/>
    <w:rsid w:val="000C7F4E"/>
    <w:rsid w:val="0020439D"/>
    <w:rsid w:val="002D7574"/>
    <w:rsid w:val="002E17C9"/>
    <w:rsid w:val="004F7685"/>
    <w:rsid w:val="0055721E"/>
    <w:rsid w:val="008A2012"/>
    <w:rsid w:val="008C6D5E"/>
    <w:rsid w:val="008E1C56"/>
    <w:rsid w:val="00986673"/>
    <w:rsid w:val="00AC5589"/>
    <w:rsid w:val="00B15547"/>
    <w:rsid w:val="00B44ACA"/>
    <w:rsid w:val="00BF782F"/>
    <w:rsid w:val="00C02589"/>
    <w:rsid w:val="00CB1D54"/>
    <w:rsid w:val="00E17102"/>
    <w:rsid w:val="00E65F92"/>
    <w:rsid w:val="00F1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41846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02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5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589"/>
    <w:rPr>
      <w:rFonts w:ascii="Times New Roman" w:hAnsi="Times New Roman"/>
      <w:sz w:val="20"/>
      <w:szCs w:val="20"/>
      <w:lang w:val="en-IN" w:eastAsia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589"/>
    <w:rPr>
      <w:rFonts w:ascii="Times New Roman" w:hAnsi="Times New Roman"/>
      <w:b/>
      <w:bCs/>
      <w:sz w:val="20"/>
      <w:szCs w:val="20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5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589"/>
    <w:rPr>
      <w:rFonts w:ascii="Segoe UI" w:hAnsi="Segoe UI" w:cs="Segoe UI"/>
      <w:sz w:val="18"/>
      <w:szCs w:val="18"/>
      <w:lang w:val="en-IN" w:eastAsia="en-IN"/>
    </w:rPr>
  </w:style>
  <w:style w:type="paragraph" w:styleId="Revision">
    <w:name w:val="Revision"/>
    <w:hidden/>
    <w:uiPriority w:val="99"/>
    <w:semiHidden/>
    <w:rsid w:val="0020439D"/>
    <w:pPr>
      <w:spacing w:after="0" w:line="240" w:lineRule="auto"/>
    </w:pPr>
    <w:rPr>
      <w:rFonts w:ascii="Times New Roman" w:hAnsi="Times New Roman"/>
      <w:sz w:val="20"/>
      <w:szCs w:val="20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02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5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589"/>
    <w:rPr>
      <w:rFonts w:ascii="Times New Roman" w:hAnsi="Times New Roman"/>
      <w:sz w:val="20"/>
      <w:szCs w:val="20"/>
      <w:lang w:val="en-IN" w:eastAsia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589"/>
    <w:rPr>
      <w:rFonts w:ascii="Times New Roman" w:hAnsi="Times New Roman"/>
      <w:b/>
      <w:bCs/>
      <w:sz w:val="20"/>
      <w:szCs w:val="20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5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589"/>
    <w:rPr>
      <w:rFonts w:ascii="Segoe UI" w:hAnsi="Segoe UI" w:cs="Segoe UI"/>
      <w:sz w:val="18"/>
      <w:szCs w:val="18"/>
      <w:lang w:val="en-IN" w:eastAsia="en-IN"/>
    </w:rPr>
  </w:style>
  <w:style w:type="paragraph" w:styleId="Revision">
    <w:name w:val="Revision"/>
    <w:hidden/>
    <w:uiPriority w:val="99"/>
    <w:semiHidden/>
    <w:rsid w:val="0020439D"/>
    <w:pPr>
      <w:spacing w:after="0" w:line="240" w:lineRule="auto"/>
    </w:pPr>
    <w:rPr>
      <w:rFonts w:ascii="Times New Roman" w:hAnsi="Times New Roman"/>
      <w:sz w:val="20"/>
      <w:szCs w:val="20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Harper, Michael</cp:lastModifiedBy>
  <cp:revision>3</cp:revision>
  <dcterms:created xsi:type="dcterms:W3CDTF">2018-10-11T06:41:00Z</dcterms:created>
  <dcterms:modified xsi:type="dcterms:W3CDTF">2019-09-11T22:16:00Z</dcterms:modified>
</cp:coreProperties>
</file>