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22D00" w14:textId="77777777" w:rsidR="00181475" w:rsidRPr="00CF3D62" w:rsidRDefault="00667978" w:rsidP="00A11B73">
      <w:pPr>
        <w:autoSpaceDE/>
        <w:autoSpaceDN/>
        <w:adjustRightInd/>
        <w:ind w:left="1440" w:right="1440"/>
        <w:jc w:val="center"/>
        <w:rPr>
          <w:sz w:val="32"/>
          <w:szCs w:val="22"/>
        </w:rPr>
      </w:pPr>
      <w:r w:rsidRPr="00CF3D62">
        <w:rPr>
          <w:b/>
          <w:bCs/>
          <w:sz w:val="32"/>
          <w:szCs w:val="22"/>
          <w:lang w:val="it-IT"/>
        </w:rPr>
        <w:t xml:space="preserve">ESTATE </w:t>
      </w:r>
      <w:r w:rsidRPr="00CF3D62">
        <w:rPr>
          <w:b/>
          <w:bCs/>
          <w:sz w:val="32"/>
          <w:szCs w:val="22"/>
          <w:lang w:val="en-US"/>
        </w:rPr>
        <w:t>DUTY ASSESSMENT AMENDMENT</w:t>
      </w:r>
      <w:r w:rsidR="00A11B73" w:rsidRPr="00CF3D62">
        <w:rPr>
          <w:b/>
          <w:bCs/>
          <w:sz w:val="32"/>
          <w:szCs w:val="22"/>
          <w:lang w:val="en-US"/>
        </w:rPr>
        <w:t xml:space="preserve"> </w:t>
      </w:r>
      <w:r w:rsidRPr="00CF3D62">
        <w:rPr>
          <w:b/>
          <w:bCs/>
          <w:sz w:val="32"/>
          <w:szCs w:val="22"/>
          <w:lang w:val="en-US"/>
        </w:rPr>
        <w:t>ACT 1978</w:t>
      </w:r>
    </w:p>
    <w:p w14:paraId="67A50924" w14:textId="77777777" w:rsidR="00181475" w:rsidRPr="00CF3D62" w:rsidRDefault="00667978" w:rsidP="00C35244">
      <w:pPr>
        <w:shd w:val="clear" w:color="auto" w:fill="FFFFFF"/>
        <w:spacing w:before="240" w:after="360"/>
        <w:jc w:val="center"/>
        <w:rPr>
          <w:sz w:val="28"/>
          <w:szCs w:val="22"/>
        </w:rPr>
      </w:pPr>
      <w:r w:rsidRPr="00CF3D62">
        <w:rPr>
          <w:b/>
          <w:bCs/>
          <w:sz w:val="28"/>
          <w:szCs w:val="22"/>
          <w:lang w:val="en-US"/>
        </w:rPr>
        <w:t>No. 22 of 1978</w:t>
      </w:r>
    </w:p>
    <w:p w14:paraId="415C8BBF" w14:textId="77777777" w:rsidR="00181475" w:rsidRPr="00CF3D62" w:rsidRDefault="00667978" w:rsidP="00461E9E">
      <w:pPr>
        <w:shd w:val="clear" w:color="auto" w:fill="FFFFFF"/>
        <w:jc w:val="center"/>
        <w:rPr>
          <w:sz w:val="24"/>
          <w:szCs w:val="22"/>
        </w:rPr>
      </w:pPr>
      <w:r w:rsidRPr="00CF3D62">
        <w:rPr>
          <w:sz w:val="24"/>
          <w:szCs w:val="22"/>
          <w:lang w:val="en-US"/>
        </w:rPr>
        <w:t xml:space="preserve">An Act to amend the </w:t>
      </w:r>
      <w:r w:rsidRPr="00CF3D62">
        <w:rPr>
          <w:i/>
          <w:iCs/>
          <w:sz w:val="24"/>
          <w:szCs w:val="22"/>
          <w:lang w:val="en-US"/>
        </w:rPr>
        <w:t xml:space="preserve">Estate Duty Assessment Act </w:t>
      </w:r>
      <w:r w:rsidRPr="00CF3D62">
        <w:rPr>
          <w:sz w:val="24"/>
          <w:szCs w:val="22"/>
          <w:lang w:val="en-US"/>
        </w:rPr>
        <w:t>1914.</w:t>
      </w:r>
    </w:p>
    <w:p w14:paraId="166A027E" w14:textId="77777777" w:rsidR="00181475" w:rsidRPr="00CF3D62" w:rsidRDefault="00667978" w:rsidP="006B287E">
      <w:pPr>
        <w:shd w:val="clear" w:color="auto" w:fill="FFFFFF"/>
        <w:spacing w:before="360" w:after="240"/>
        <w:ind w:firstLine="432"/>
        <w:jc w:val="both"/>
        <w:rPr>
          <w:sz w:val="24"/>
          <w:szCs w:val="22"/>
        </w:rPr>
      </w:pPr>
      <w:r w:rsidRPr="00CF3D62">
        <w:rPr>
          <w:sz w:val="24"/>
          <w:szCs w:val="22"/>
          <w:lang w:val="en-US"/>
        </w:rPr>
        <w:t>BE IT ENACTED by the Queen, and the Senate and House of Representatives of the Commonwealth of Australia, as follows:</w:t>
      </w:r>
    </w:p>
    <w:p w14:paraId="7BEE6905" w14:textId="77777777" w:rsidR="00181475" w:rsidRPr="00CF3D62" w:rsidRDefault="00667978" w:rsidP="009940D7">
      <w:pPr>
        <w:shd w:val="clear" w:color="auto" w:fill="FFFFFF"/>
        <w:spacing w:before="120" w:after="60"/>
        <w:rPr>
          <w:b/>
          <w:szCs w:val="22"/>
        </w:rPr>
      </w:pPr>
      <w:r w:rsidRPr="00CF3D62">
        <w:rPr>
          <w:b/>
          <w:szCs w:val="22"/>
          <w:lang w:val="en-US"/>
        </w:rPr>
        <w:t>Short title, &amp;c.</w:t>
      </w:r>
    </w:p>
    <w:p w14:paraId="043FEF70" w14:textId="3397194C" w:rsidR="00181475" w:rsidRPr="00CF3D62" w:rsidRDefault="00667978" w:rsidP="009940D7">
      <w:pPr>
        <w:shd w:val="clear" w:color="auto" w:fill="FFFFFF"/>
        <w:spacing w:before="60" w:after="60"/>
        <w:ind w:firstLine="432"/>
        <w:jc w:val="both"/>
        <w:rPr>
          <w:sz w:val="24"/>
          <w:szCs w:val="22"/>
        </w:rPr>
      </w:pPr>
      <w:r w:rsidRPr="00CF3D62">
        <w:rPr>
          <w:b/>
          <w:sz w:val="24"/>
          <w:szCs w:val="22"/>
          <w:lang w:val="en-US"/>
        </w:rPr>
        <w:t>1.</w:t>
      </w:r>
      <w:r w:rsidRPr="00CF3D62">
        <w:rPr>
          <w:sz w:val="24"/>
          <w:szCs w:val="22"/>
          <w:lang w:val="en-US"/>
        </w:rPr>
        <w:t xml:space="preserve"> (1) This Act may be cited as the </w:t>
      </w:r>
      <w:r w:rsidRPr="00CF3D62">
        <w:rPr>
          <w:i/>
          <w:iCs/>
          <w:sz w:val="24"/>
          <w:szCs w:val="22"/>
          <w:lang w:val="en-US"/>
        </w:rPr>
        <w:t xml:space="preserve">Estate Duty Assessment Amendment Act </w:t>
      </w:r>
      <w:r w:rsidRPr="00CF3D62">
        <w:rPr>
          <w:sz w:val="24"/>
          <w:szCs w:val="22"/>
          <w:lang w:val="en-US"/>
        </w:rPr>
        <w:t>1978.</w:t>
      </w:r>
    </w:p>
    <w:p w14:paraId="23D150AA" w14:textId="46B23D18" w:rsidR="00181475" w:rsidRPr="00CF3D62" w:rsidRDefault="00667978" w:rsidP="0085407B">
      <w:pPr>
        <w:shd w:val="clear" w:color="auto" w:fill="FFFFFF"/>
        <w:spacing w:before="60" w:after="60"/>
        <w:ind w:firstLine="432"/>
        <w:jc w:val="both"/>
        <w:rPr>
          <w:sz w:val="24"/>
          <w:szCs w:val="22"/>
        </w:rPr>
      </w:pPr>
      <w:r w:rsidRPr="00CF3D62">
        <w:rPr>
          <w:sz w:val="24"/>
          <w:szCs w:val="22"/>
          <w:lang w:val="en-US"/>
        </w:rPr>
        <w:t xml:space="preserve">(2) The </w:t>
      </w:r>
      <w:r w:rsidRPr="00CF3D62">
        <w:rPr>
          <w:i/>
          <w:iCs/>
          <w:sz w:val="24"/>
          <w:szCs w:val="22"/>
          <w:lang w:val="en-US"/>
        </w:rPr>
        <w:t>Estate</w:t>
      </w:r>
      <w:r w:rsidRPr="00CF3D62">
        <w:rPr>
          <w:sz w:val="24"/>
          <w:szCs w:val="22"/>
          <w:lang w:val="en-US"/>
        </w:rPr>
        <w:t xml:space="preserve"> </w:t>
      </w:r>
      <w:r w:rsidRPr="00CF3D62">
        <w:rPr>
          <w:i/>
          <w:iCs/>
          <w:sz w:val="24"/>
          <w:szCs w:val="22"/>
          <w:lang w:val="en-US"/>
        </w:rPr>
        <w:t>Duty</w:t>
      </w:r>
      <w:r w:rsidRPr="00CF3D62">
        <w:rPr>
          <w:sz w:val="24"/>
          <w:szCs w:val="22"/>
          <w:lang w:val="en-US"/>
        </w:rPr>
        <w:t xml:space="preserve"> </w:t>
      </w:r>
      <w:r w:rsidRPr="007A6679">
        <w:rPr>
          <w:i/>
          <w:sz w:val="24"/>
          <w:szCs w:val="22"/>
          <w:lang w:val="en-US"/>
        </w:rPr>
        <w:t>Assessment</w:t>
      </w:r>
      <w:r w:rsidRPr="00CF3D62">
        <w:rPr>
          <w:sz w:val="24"/>
          <w:szCs w:val="22"/>
          <w:lang w:val="en-US"/>
        </w:rPr>
        <w:t xml:space="preserve"> </w:t>
      </w:r>
      <w:r w:rsidRPr="007A6679">
        <w:rPr>
          <w:i/>
          <w:sz w:val="24"/>
          <w:szCs w:val="22"/>
          <w:lang w:val="en-US"/>
        </w:rPr>
        <w:t>Act</w:t>
      </w:r>
      <w:r w:rsidRPr="00CF3D62">
        <w:rPr>
          <w:sz w:val="24"/>
          <w:szCs w:val="22"/>
          <w:lang w:val="en-US"/>
        </w:rPr>
        <w:t xml:space="preserve"> 1914 is in this Act referred to as the Principal Act.</w:t>
      </w:r>
    </w:p>
    <w:p w14:paraId="30104D58" w14:textId="77777777" w:rsidR="00181475" w:rsidRPr="00CF3D62" w:rsidRDefault="00667978" w:rsidP="0085407B">
      <w:pPr>
        <w:shd w:val="clear" w:color="auto" w:fill="FFFFFF"/>
        <w:spacing w:before="120" w:after="60"/>
        <w:rPr>
          <w:b/>
          <w:szCs w:val="22"/>
        </w:rPr>
      </w:pPr>
      <w:r w:rsidRPr="00CF3D62">
        <w:rPr>
          <w:b/>
          <w:szCs w:val="22"/>
          <w:lang w:val="en-US"/>
        </w:rPr>
        <w:t>Commencement</w:t>
      </w:r>
    </w:p>
    <w:p w14:paraId="7C73FCA9" w14:textId="3EDE9C4F" w:rsidR="00181475" w:rsidRPr="00CF3D62" w:rsidRDefault="00667978" w:rsidP="0085407B">
      <w:pPr>
        <w:shd w:val="clear" w:color="auto" w:fill="FFFFFF"/>
        <w:spacing w:before="60" w:after="60"/>
        <w:ind w:firstLine="432"/>
        <w:jc w:val="both"/>
        <w:rPr>
          <w:sz w:val="24"/>
          <w:szCs w:val="22"/>
        </w:rPr>
      </w:pPr>
      <w:r w:rsidRPr="00CF3D62">
        <w:rPr>
          <w:b/>
          <w:sz w:val="24"/>
          <w:szCs w:val="22"/>
          <w:lang w:val="en-US"/>
        </w:rPr>
        <w:t>2.</w:t>
      </w:r>
      <w:r w:rsidRPr="00CF3D62">
        <w:rPr>
          <w:sz w:val="24"/>
          <w:szCs w:val="22"/>
          <w:lang w:val="en-US"/>
        </w:rPr>
        <w:t xml:space="preserve"> This Act shall come into operation on the day on which it receives the Royal Assent.</w:t>
      </w:r>
    </w:p>
    <w:p w14:paraId="08B0DB7B" w14:textId="77777777" w:rsidR="00181475" w:rsidRPr="00CF3D62" w:rsidRDefault="00667978" w:rsidP="006C428D">
      <w:pPr>
        <w:shd w:val="clear" w:color="auto" w:fill="FFFFFF"/>
        <w:spacing w:before="120" w:after="60"/>
        <w:rPr>
          <w:b/>
          <w:szCs w:val="22"/>
        </w:rPr>
      </w:pPr>
      <w:r w:rsidRPr="00CF3D62">
        <w:rPr>
          <w:b/>
          <w:szCs w:val="22"/>
          <w:lang w:val="en-US"/>
        </w:rPr>
        <w:t>Interpretation</w:t>
      </w:r>
    </w:p>
    <w:p w14:paraId="03E0A95F" w14:textId="77777777" w:rsidR="00181475" w:rsidRPr="00CF3D62" w:rsidRDefault="00667978" w:rsidP="006C428D">
      <w:pPr>
        <w:shd w:val="clear" w:color="auto" w:fill="FFFFFF"/>
        <w:spacing w:before="60" w:after="60"/>
        <w:ind w:firstLine="432"/>
        <w:jc w:val="both"/>
        <w:rPr>
          <w:sz w:val="24"/>
          <w:szCs w:val="22"/>
        </w:rPr>
      </w:pPr>
      <w:r w:rsidRPr="00CF3D62">
        <w:rPr>
          <w:b/>
          <w:sz w:val="24"/>
          <w:szCs w:val="22"/>
          <w:lang w:val="en-US"/>
        </w:rPr>
        <w:t>3.</w:t>
      </w:r>
      <w:r w:rsidRPr="00CF3D62">
        <w:rPr>
          <w:sz w:val="24"/>
          <w:szCs w:val="22"/>
          <w:lang w:val="en-US"/>
        </w:rPr>
        <w:t xml:space="preserve"> Section 3 of the Principal Act is amended</w:t>
      </w:r>
      <w:r w:rsidRPr="00CF3D62">
        <w:rPr>
          <w:rFonts w:eastAsia="Times New Roman"/>
          <w:sz w:val="24"/>
          <w:szCs w:val="22"/>
          <w:lang w:val="en-US"/>
        </w:rPr>
        <w:t>—</w:t>
      </w:r>
    </w:p>
    <w:p w14:paraId="5CCE5104" w14:textId="77777777" w:rsidR="00181475" w:rsidRPr="00CF3D62" w:rsidRDefault="00667978" w:rsidP="00C4290D">
      <w:pPr>
        <w:shd w:val="clear" w:color="auto" w:fill="FFFFFF"/>
        <w:spacing w:before="60" w:after="60"/>
        <w:ind w:left="792" w:hanging="360"/>
        <w:jc w:val="both"/>
        <w:rPr>
          <w:sz w:val="24"/>
          <w:szCs w:val="22"/>
        </w:rPr>
      </w:pPr>
      <w:r w:rsidRPr="00CF3D62">
        <w:rPr>
          <w:sz w:val="24"/>
          <w:szCs w:val="22"/>
          <w:lang w:val="en-US"/>
        </w:rPr>
        <w:t>(a)</w:t>
      </w:r>
      <w:r w:rsidR="00880F78" w:rsidRPr="00CF3D62">
        <w:rPr>
          <w:sz w:val="24"/>
          <w:szCs w:val="22"/>
          <w:lang w:val="en-US"/>
        </w:rPr>
        <w:t xml:space="preserve"> </w:t>
      </w:r>
      <w:r w:rsidRPr="00CF3D62">
        <w:rPr>
          <w:sz w:val="24"/>
          <w:szCs w:val="22"/>
          <w:lang w:val="en-US"/>
        </w:rPr>
        <w:t xml:space="preserve">by omitting the definition of </w:t>
      </w:r>
      <w:r w:rsidR="0094642E" w:rsidRPr="00CF3D62">
        <w:rPr>
          <w:sz w:val="24"/>
          <w:szCs w:val="22"/>
          <w:lang w:val="en-US"/>
        </w:rPr>
        <w:t>“</w:t>
      </w:r>
      <w:r w:rsidRPr="00CF3D62">
        <w:rPr>
          <w:sz w:val="24"/>
          <w:szCs w:val="22"/>
          <w:lang w:val="en-US"/>
        </w:rPr>
        <w:t>Children</w:t>
      </w:r>
      <w:r w:rsidR="0094642E" w:rsidRPr="00CF3D62">
        <w:rPr>
          <w:sz w:val="24"/>
          <w:szCs w:val="22"/>
          <w:lang w:val="en-US"/>
        </w:rPr>
        <w:t>”</w:t>
      </w:r>
      <w:r w:rsidRPr="00CF3D62">
        <w:rPr>
          <w:sz w:val="24"/>
          <w:szCs w:val="22"/>
          <w:lang w:val="en-US"/>
        </w:rPr>
        <w:t xml:space="preserve"> and substituting the following definition:</w:t>
      </w:r>
    </w:p>
    <w:p w14:paraId="7206E66F" w14:textId="6D097E3D" w:rsidR="00181475" w:rsidRPr="00CF3D62" w:rsidRDefault="0094642E" w:rsidP="00DB229A">
      <w:pPr>
        <w:shd w:val="clear" w:color="auto" w:fill="FFFFFF"/>
        <w:ind w:left="1440" w:hanging="432"/>
        <w:jc w:val="both"/>
        <w:rPr>
          <w:sz w:val="24"/>
          <w:szCs w:val="22"/>
        </w:rPr>
      </w:pPr>
      <w:r w:rsidRPr="00CF3D62">
        <w:rPr>
          <w:sz w:val="24"/>
          <w:szCs w:val="22"/>
          <w:lang w:val="en-US"/>
        </w:rPr>
        <w:t>“‘</w:t>
      </w:r>
      <w:r w:rsidR="00667978" w:rsidRPr="00CF3D62">
        <w:rPr>
          <w:sz w:val="24"/>
          <w:szCs w:val="22"/>
          <w:lang w:val="en-US"/>
        </w:rPr>
        <w:t>Child</w:t>
      </w:r>
      <w:r w:rsidRPr="00CF3D62">
        <w:rPr>
          <w:sz w:val="24"/>
          <w:szCs w:val="22"/>
          <w:lang w:val="en-US"/>
        </w:rPr>
        <w:t>’</w:t>
      </w:r>
      <w:r w:rsidR="00667978" w:rsidRPr="00CF3D62">
        <w:rPr>
          <w:sz w:val="24"/>
          <w:szCs w:val="22"/>
          <w:lang w:val="en-US"/>
        </w:rPr>
        <w:t xml:space="preserve"> or </w:t>
      </w:r>
      <w:r w:rsidRPr="00CF3D62">
        <w:rPr>
          <w:sz w:val="24"/>
          <w:szCs w:val="22"/>
          <w:lang w:val="en-US"/>
        </w:rPr>
        <w:t>‘</w:t>
      </w:r>
      <w:r w:rsidR="00667978" w:rsidRPr="00CF3D62">
        <w:rPr>
          <w:sz w:val="24"/>
          <w:szCs w:val="22"/>
          <w:lang w:val="en-US"/>
        </w:rPr>
        <w:t>Children</w:t>
      </w:r>
      <w:r w:rsidRPr="00CF3D62">
        <w:rPr>
          <w:sz w:val="24"/>
          <w:szCs w:val="22"/>
          <w:lang w:val="en-US"/>
        </w:rPr>
        <w:t>’</w:t>
      </w:r>
      <w:r w:rsidR="00667978" w:rsidRPr="00CF3D62">
        <w:rPr>
          <w:sz w:val="24"/>
          <w:szCs w:val="22"/>
          <w:lang w:val="en-US"/>
        </w:rPr>
        <w:t>, in relation to a person, includes an adopted child, a step-child or an ex-nuptial child of that person;</w:t>
      </w:r>
      <w:r w:rsidRPr="00CF3D62">
        <w:rPr>
          <w:sz w:val="24"/>
          <w:szCs w:val="22"/>
          <w:lang w:val="en-US"/>
        </w:rPr>
        <w:t>”</w:t>
      </w:r>
      <w:r w:rsidR="00667978" w:rsidRPr="00CF3D62">
        <w:rPr>
          <w:sz w:val="24"/>
          <w:szCs w:val="22"/>
          <w:lang w:val="en-US"/>
        </w:rPr>
        <w:t>;</w:t>
      </w:r>
    </w:p>
    <w:p w14:paraId="0DC32451" w14:textId="57F1A9BC" w:rsidR="00181475" w:rsidRPr="00CF3D62" w:rsidRDefault="00667978" w:rsidP="00DB229A">
      <w:pPr>
        <w:shd w:val="clear" w:color="auto" w:fill="FFFFFF"/>
        <w:spacing w:before="60" w:after="60"/>
        <w:ind w:left="792" w:hanging="360"/>
        <w:jc w:val="both"/>
        <w:rPr>
          <w:sz w:val="24"/>
          <w:szCs w:val="22"/>
        </w:rPr>
      </w:pPr>
      <w:r w:rsidRPr="00CF3D62">
        <w:rPr>
          <w:sz w:val="24"/>
          <w:szCs w:val="22"/>
          <w:lang w:val="en-US"/>
        </w:rPr>
        <w:t>(b)</w:t>
      </w:r>
      <w:r w:rsidR="00880F78" w:rsidRPr="00CF3D62">
        <w:rPr>
          <w:sz w:val="24"/>
          <w:szCs w:val="22"/>
          <w:lang w:val="en-US"/>
        </w:rPr>
        <w:t xml:space="preserve"> </w:t>
      </w:r>
      <w:r w:rsidRPr="00CF3D62">
        <w:rPr>
          <w:sz w:val="24"/>
          <w:szCs w:val="22"/>
          <w:lang w:val="en-US"/>
        </w:rPr>
        <w:t xml:space="preserve">by inserting after the definition of </w:t>
      </w:r>
      <w:r w:rsidR="0094642E" w:rsidRPr="00CF3D62">
        <w:rPr>
          <w:sz w:val="24"/>
          <w:szCs w:val="22"/>
          <w:lang w:val="en-US"/>
        </w:rPr>
        <w:t>“</w:t>
      </w:r>
      <w:r w:rsidRPr="00CF3D62">
        <w:rPr>
          <w:sz w:val="24"/>
          <w:szCs w:val="22"/>
          <w:lang w:val="en-US"/>
        </w:rPr>
        <w:t xml:space="preserve">Gift </w:t>
      </w:r>
      <w:r w:rsidRPr="00CF3D62">
        <w:rPr>
          <w:i/>
          <w:iCs/>
          <w:sz w:val="24"/>
          <w:szCs w:val="22"/>
          <w:lang w:val="en-US"/>
        </w:rPr>
        <w:t xml:space="preserve">inter </w:t>
      </w:r>
      <w:proofErr w:type="spellStart"/>
      <w:r w:rsidRPr="00CF3D62">
        <w:rPr>
          <w:i/>
          <w:iCs/>
          <w:sz w:val="24"/>
          <w:szCs w:val="22"/>
          <w:lang w:val="en-US"/>
        </w:rPr>
        <w:t>vivos</w:t>
      </w:r>
      <w:proofErr w:type="spellEnd"/>
      <w:r w:rsidR="007A6679">
        <w:rPr>
          <w:iCs/>
          <w:sz w:val="24"/>
          <w:szCs w:val="22"/>
          <w:lang w:val="en-US"/>
        </w:rPr>
        <w:t>”</w:t>
      </w:r>
      <w:r w:rsidRPr="00CF3D62">
        <w:rPr>
          <w:i/>
          <w:iCs/>
          <w:sz w:val="24"/>
          <w:szCs w:val="22"/>
          <w:lang w:val="en-US"/>
        </w:rPr>
        <w:t xml:space="preserve"> </w:t>
      </w:r>
      <w:r w:rsidRPr="00CF3D62">
        <w:rPr>
          <w:sz w:val="24"/>
          <w:szCs w:val="22"/>
          <w:lang w:val="en-US"/>
        </w:rPr>
        <w:t>the following definition:</w:t>
      </w:r>
    </w:p>
    <w:p w14:paraId="1254F1CC" w14:textId="203CEE69" w:rsidR="00181475" w:rsidRPr="00CF3D62" w:rsidRDefault="0094642E" w:rsidP="00DB229A">
      <w:pPr>
        <w:shd w:val="clear" w:color="auto" w:fill="FFFFFF"/>
        <w:ind w:left="1440" w:hanging="432"/>
        <w:jc w:val="both"/>
        <w:rPr>
          <w:sz w:val="24"/>
          <w:szCs w:val="22"/>
        </w:rPr>
      </w:pPr>
      <w:r w:rsidRPr="00CF3D62">
        <w:rPr>
          <w:sz w:val="24"/>
          <w:szCs w:val="22"/>
          <w:lang w:val="en-US"/>
        </w:rPr>
        <w:t>“‘</w:t>
      </w:r>
      <w:r w:rsidR="00667978" w:rsidRPr="00CF3D62">
        <w:rPr>
          <w:sz w:val="24"/>
          <w:szCs w:val="22"/>
          <w:lang w:val="en-US"/>
        </w:rPr>
        <w:t>Member of the family</w:t>
      </w:r>
      <w:r w:rsidRPr="00CF3D62">
        <w:rPr>
          <w:sz w:val="24"/>
          <w:szCs w:val="22"/>
          <w:lang w:val="en-US"/>
        </w:rPr>
        <w:t>’</w:t>
      </w:r>
      <w:r w:rsidR="00667978" w:rsidRPr="00CF3D62">
        <w:rPr>
          <w:sz w:val="24"/>
          <w:szCs w:val="22"/>
          <w:lang w:val="en-US"/>
        </w:rPr>
        <w:t>, in relation to a deceased person, means the widow or widower, a child, a grandchild, a parent or a grandparent of that person;</w:t>
      </w:r>
      <w:r w:rsidRPr="00CF3D62">
        <w:rPr>
          <w:sz w:val="24"/>
          <w:szCs w:val="22"/>
          <w:lang w:val="en-US"/>
        </w:rPr>
        <w:t>”</w:t>
      </w:r>
      <w:r w:rsidR="00667978" w:rsidRPr="00CF3D62">
        <w:rPr>
          <w:sz w:val="24"/>
          <w:szCs w:val="22"/>
          <w:lang w:val="en-US"/>
        </w:rPr>
        <w:t>; and</w:t>
      </w:r>
    </w:p>
    <w:p w14:paraId="5FCCE5B1" w14:textId="77777777" w:rsidR="00181475" w:rsidRPr="00CF3D62" w:rsidRDefault="00667978" w:rsidP="00DB229A">
      <w:pPr>
        <w:shd w:val="clear" w:color="auto" w:fill="FFFFFF"/>
        <w:spacing w:before="60" w:after="60"/>
        <w:ind w:left="792" w:hanging="360"/>
        <w:jc w:val="both"/>
        <w:rPr>
          <w:sz w:val="24"/>
          <w:szCs w:val="22"/>
        </w:rPr>
      </w:pPr>
      <w:r w:rsidRPr="00CF3D62">
        <w:rPr>
          <w:sz w:val="24"/>
          <w:szCs w:val="22"/>
          <w:lang w:val="en-US"/>
        </w:rPr>
        <w:t>(c)</w:t>
      </w:r>
      <w:r w:rsidR="00880F78" w:rsidRPr="00CF3D62">
        <w:rPr>
          <w:sz w:val="24"/>
          <w:szCs w:val="22"/>
          <w:lang w:val="en-US"/>
        </w:rPr>
        <w:t xml:space="preserve"> </w:t>
      </w:r>
      <w:r w:rsidRPr="00CF3D62">
        <w:rPr>
          <w:sz w:val="24"/>
          <w:szCs w:val="22"/>
          <w:lang w:val="en-US"/>
        </w:rPr>
        <w:t>by adding at the end thereof the following sub-section:</w:t>
      </w:r>
    </w:p>
    <w:p w14:paraId="5294952F" w14:textId="77777777" w:rsidR="00181475" w:rsidRPr="00CF3D62" w:rsidRDefault="0094642E" w:rsidP="005439D1">
      <w:pPr>
        <w:shd w:val="clear" w:color="auto" w:fill="FFFFFF"/>
        <w:ind w:left="720" w:firstLine="288"/>
        <w:jc w:val="both"/>
        <w:rPr>
          <w:sz w:val="24"/>
          <w:szCs w:val="22"/>
        </w:rPr>
      </w:pPr>
      <w:r w:rsidRPr="00CF3D62">
        <w:rPr>
          <w:sz w:val="24"/>
          <w:szCs w:val="22"/>
          <w:lang w:val="en-US"/>
        </w:rPr>
        <w:t>“</w:t>
      </w:r>
      <w:r w:rsidR="00667978" w:rsidRPr="00CF3D62">
        <w:rPr>
          <w:sz w:val="24"/>
          <w:szCs w:val="22"/>
          <w:lang w:val="en-US"/>
        </w:rPr>
        <w:t xml:space="preserve">(2) For the purposes of the definition of </w:t>
      </w:r>
      <w:r w:rsidRPr="00CF3D62">
        <w:rPr>
          <w:sz w:val="24"/>
          <w:szCs w:val="22"/>
          <w:lang w:val="en-US"/>
        </w:rPr>
        <w:t>‘</w:t>
      </w:r>
      <w:r w:rsidR="00667978" w:rsidRPr="00CF3D62">
        <w:rPr>
          <w:sz w:val="24"/>
          <w:szCs w:val="22"/>
          <w:lang w:val="en-US"/>
        </w:rPr>
        <w:t>Member of the family</w:t>
      </w:r>
      <w:r w:rsidRPr="00CF3D62">
        <w:rPr>
          <w:sz w:val="24"/>
          <w:szCs w:val="22"/>
          <w:lang w:val="en-US"/>
        </w:rPr>
        <w:t>’</w:t>
      </w:r>
      <w:r w:rsidR="00667978" w:rsidRPr="00CF3D62">
        <w:rPr>
          <w:sz w:val="24"/>
          <w:szCs w:val="22"/>
          <w:lang w:val="en-US"/>
        </w:rPr>
        <w:t xml:space="preserve"> in sub-section (1)</w:t>
      </w:r>
      <w:r w:rsidR="00667978" w:rsidRPr="00CF3D62">
        <w:rPr>
          <w:rFonts w:eastAsia="Times New Roman"/>
          <w:sz w:val="24"/>
          <w:szCs w:val="22"/>
          <w:lang w:val="en-US"/>
        </w:rPr>
        <w:t>—</w:t>
      </w:r>
    </w:p>
    <w:p w14:paraId="292C1CC5" w14:textId="77777777" w:rsidR="00181475" w:rsidRPr="00CF3D62" w:rsidRDefault="00667978" w:rsidP="005439D1">
      <w:pPr>
        <w:shd w:val="clear" w:color="auto" w:fill="FFFFFF"/>
        <w:spacing w:before="60" w:after="60"/>
        <w:ind w:left="1440" w:hanging="432"/>
        <w:jc w:val="both"/>
        <w:rPr>
          <w:sz w:val="24"/>
          <w:szCs w:val="22"/>
        </w:rPr>
      </w:pPr>
      <w:r w:rsidRPr="00CF3D62">
        <w:rPr>
          <w:sz w:val="24"/>
          <w:szCs w:val="22"/>
          <w:lang w:val="en-US"/>
        </w:rPr>
        <w:t>(a)</w:t>
      </w:r>
      <w:r w:rsidR="00880F78" w:rsidRPr="00CF3D62">
        <w:rPr>
          <w:sz w:val="24"/>
          <w:szCs w:val="22"/>
          <w:lang w:val="en-US"/>
        </w:rPr>
        <w:t xml:space="preserve"> </w:t>
      </w:r>
      <w:r w:rsidR="0094642E" w:rsidRPr="00CF3D62">
        <w:rPr>
          <w:sz w:val="24"/>
          <w:szCs w:val="22"/>
          <w:lang w:val="en-US"/>
        </w:rPr>
        <w:t>‘</w:t>
      </w:r>
      <w:r w:rsidRPr="00CF3D62">
        <w:rPr>
          <w:sz w:val="24"/>
          <w:szCs w:val="22"/>
          <w:lang w:val="en-US"/>
        </w:rPr>
        <w:t>grandparent</w:t>
      </w:r>
      <w:r w:rsidR="0094642E" w:rsidRPr="00CF3D62">
        <w:rPr>
          <w:sz w:val="24"/>
          <w:szCs w:val="22"/>
          <w:lang w:val="en-US"/>
        </w:rPr>
        <w:t>’</w:t>
      </w:r>
      <w:r w:rsidRPr="00CF3D62">
        <w:rPr>
          <w:sz w:val="24"/>
          <w:szCs w:val="22"/>
          <w:lang w:val="en-US"/>
        </w:rPr>
        <w:t>, in relation to a person, means a person of whom that person is the grandchild; and</w:t>
      </w:r>
    </w:p>
    <w:p w14:paraId="1C586C3D" w14:textId="77777777" w:rsidR="00181475" w:rsidRPr="00CF3D62" w:rsidRDefault="00667978" w:rsidP="005439D1">
      <w:pPr>
        <w:shd w:val="clear" w:color="auto" w:fill="FFFFFF"/>
        <w:spacing w:before="60" w:after="60"/>
        <w:ind w:left="1440" w:hanging="432"/>
        <w:jc w:val="both"/>
        <w:rPr>
          <w:sz w:val="24"/>
          <w:szCs w:val="22"/>
        </w:rPr>
      </w:pPr>
      <w:r w:rsidRPr="00CF3D62">
        <w:rPr>
          <w:sz w:val="24"/>
          <w:szCs w:val="22"/>
          <w:lang w:val="en-US"/>
        </w:rPr>
        <w:t>(b)</w:t>
      </w:r>
      <w:r w:rsidR="00880F78" w:rsidRPr="00CF3D62">
        <w:rPr>
          <w:sz w:val="24"/>
          <w:szCs w:val="22"/>
          <w:lang w:val="en-US"/>
        </w:rPr>
        <w:t xml:space="preserve"> </w:t>
      </w:r>
      <w:r w:rsidR="0094642E" w:rsidRPr="00CF3D62">
        <w:rPr>
          <w:sz w:val="24"/>
          <w:szCs w:val="22"/>
          <w:lang w:val="en-US"/>
        </w:rPr>
        <w:t>‘</w:t>
      </w:r>
      <w:r w:rsidRPr="00CF3D62">
        <w:rPr>
          <w:sz w:val="24"/>
          <w:szCs w:val="22"/>
          <w:lang w:val="en-US"/>
        </w:rPr>
        <w:t>parent</w:t>
      </w:r>
      <w:r w:rsidR="0094642E" w:rsidRPr="00CF3D62">
        <w:rPr>
          <w:sz w:val="24"/>
          <w:szCs w:val="22"/>
          <w:lang w:val="en-US"/>
        </w:rPr>
        <w:t>’</w:t>
      </w:r>
      <w:r w:rsidRPr="00CF3D62">
        <w:rPr>
          <w:sz w:val="24"/>
          <w:szCs w:val="22"/>
          <w:lang w:val="en-US"/>
        </w:rPr>
        <w:t>, in relation to a person, means a person of whom that person is the child,</w:t>
      </w:r>
    </w:p>
    <w:p w14:paraId="073D1C42" w14:textId="77777777" w:rsidR="00181475" w:rsidRPr="00CF3D62" w:rsidRDefault="00667978" w:rsidP="00CA7DB7">
      <w:pPr>
        <w:shd w:val="clear" w:color="auto" w:fill="FFFFFF"/>
        <w:ind w:left="1008"/>
        <w:jc w:val="both"/>
        <w:rPr>
          <w:sz w:val="24"/>
          <w:szCs w:val="22"/>
        </w:rPr>
      </w:pPr>
      <w:r w:rsidRPr="00CF3D62">
        <w:rPr>
          <w:sz w:val="24"/>
          <w:szCs w:val="22"/>
          <w:lang w:val="en-US"/>
        </w:rPr>
        <w:t xml:space="preserve">and, for the purposes of that definition and the definition of </w:t>
      </w:r>
      <w:r w:rsidR="0094642E" w:rsidRPr="00CF3D62">
        <w:rPr>
          <w:sz w:val="24"/>
          <w:szCs w:val="22"/>
          <w:lang w:val="en-US"/>
        </w:rPr>
        <w:t>‘</w:t>
      </w:r>
      <w:r w:rsidRPr="00CF3D62">
        <w:rPr>
          <w:sz w:val="24"/>
          <w:szCs w:val="22"/>
          <w:lang w:val="en-US"/>
        </w:rPr>
        <w:t>grandparent</w:t>
      </w:r>
      <w:r w:rsidR="0094642E" w:rsidRPr="00CF3D62">
        <w:rPr>
          <w:sz w:val="24"/>
          <w:szCs w:val="22"/>
          <w:lang w:val="en-US"/>
        </w:rPr>
        <w:t>’</w:t>
      </w:r>
      <w:r w:rsidRPr="00CF3D62">
        <w:rPr>
          <w:sz w:val="24"/>
          <w:szCs w:val="22"/>
          <w:lang w:val="en-US"/>
        </w:rPr>
        <w:t xml:space="preserve"> in this sub-section</w:t>
      </w:r>
      <w:r w:rsidRPr="00CF3D62">
        <w:rPr>
          <w:rFonts w:eastAsia="Times New Roman"/>
          <w:sz w:val="24"/>
          <w:szCs w:val="22"/>
          <w:lang w:val="en-US"/>
        </w:rPr>
        <w:t>—</w:t>
      </w:r>
    </w:p>
    <w:p w14:paraId="4E71B703" w14:textId="77777777" w:rsidR="00181475" w:rsidRPr="00CF3D62" w:rsidRDefault="00667978" w:rsidP="00033404">
      <w:pPr>
        <w:shd w:val="clear" w:color="auto" w:fill="FFFFFF"/>
        <w:spacing w:before="60" w:after="60"/>
        <w:ind w:left="1440" w:hanging="432"/>
        <w:jc w:val="both"/>
        <w:rPr>
          <w:sz w:val="24"/>
          <w:szCs w:val="22"/>
        </w:rPr>
      </w:pPr>
      <w:r w:rsidRPr="00CF3D62">
        <w:rPr>
          <w:sz w:val="24"/>
          <w:szCs w:val="22"/>
          <w:lang w:val="en-US"/>
        </w:rPr>
        <w:t>(c)</w:t>
      </w:r>
      <w:r w:rsidR="00880F78" w:rsidRPr="00CF3D62">
        <w:rPr>
          <w:sz w:val="24"/>
          <w:szCs w:val="22"/>
          <w:lang w:val="en-US"/>
        </w:rPr>
        <w:t xml:space="preserve"> </w:t>
      </w:r>
      <w:r w:rsidR="0094642E" w:rsidRPr="00CF3D62">
        <w:rPr>
          <w:sz w:val="24"/>
          <w:szCs w:val="22"/>
          <w:lang w:val="en-US"/>
        </w:rPr>
        <w:t>‘</w:t>
      </w:r>
      <w:r w:rsidRPr="00CF3D62">
        <w:rPr>
          <w:sz w:val="24"/>
          <w:szCs w:val="22"/>
          <w:lang w:val="en-US"/>
        </w:rPr>
        <w:t>grandchild</w:t>
      </w:r>
      <w:r w:rsidR="0094642E" w:rsidRPr="00CF3D62">
        <w:rPr>
          <w:sz w:val="24"/>
          <w:szCs w:val="22"/>
          <w:lang w:val="en-US"/>
        </w:rPr>
        <w:t>’</w:t>
      </w:r>
      <w:r w:rsidRPr="00CF3D62">
        <w:rPr>
          <w:sz w:val="24"/>
          <w:szCs w:val="22"/>
          <w:lang w:val="en-US"/>
        </w:rPr>
        <w:t>, in relation to a person, means a person who is the child of a child of that person.</w:t>
      </w:r>
      <w:r w:rsidR="0094642E" w:rsidRPr="00CF3D62">
        <w:rPr>
          <w:sz w:val="24"/>
          <w:szCs w:val="22"/>
          <w:lang w:val="en-US"/>
        </w:rPr>
        <w:t>”</w:t>
      </w:r>
      <w:r w:rsidRPr="00CF3D62">
        <w:rPr>
          <w:sz w:val="24"/>
          <w:szCs w:val="22"/>
          <w:lang w:val="en-US"/>
        </w:rPr>
        <w:t>.</w:t>
      </w:r>
    </w:p>
    <w:p w14:paraId="7B86E047" w14:textId="77777777" w:rsidR="00181475" w:rsidRPr="00CF3D62" w:rsidRDefault="00667978" w:rsidP="00163DEC">
      <w:pPr>
        <w:shd w:val="clear" w:color="auto" w:fill="FFFFFF"/>
        <w:spacing w:before="120" w:after="60"/>
        <w:rPr>
          <w:b/>
          <w:szCs w:val="22"/>
        </w:rPr>
      </w:pPr>
      <w:r w:rsidRPr="00CF3D62">
        <w:rPr>
          <w:b/>
          <w:szCs w:val="22"/>
          <w:lang w:val="en-US"/>
        </w:rPr>
        <w:t>Duty on estates</w:t>
      </w:r>
    </w:p>
    <w:p w14:paraId="0056FD1B" w14:textId="77777777" w:rsidR="00181475" w:rsidRPr="00CF3D62" w:rsidRDefault="00667978" w:rsidP="00163DEC">
      <w:pPr>
        <w:shd w:val="clear" w:color="auto" w:fill="FFFFFF"/>
        <w:spacing w:before="60" w:after="60"/>
        <w:ind w:firstLine="432"/>
        <w:jc w:val="both"/>
        <w:rPr>
          <w:sz w:val="24"/>
          <w:szCs w:val="22"/>
        </w:rPr>
      </w:pPr>
      <w:r w:rsidRPr="00CF3D62">
        <w:rPr>
          <w:b/>
          <w:sz w:val="24"/>
          <w:szCs w:val="22"/>
          <w:lang w:val="en-US"/>
        </w:rPr>
        <w:t>4.</w:t>
      </w:r>
      <w:r w:rsidRPr="00CF3D62">
        <w:rPr>
          <w:sz w:val="24"/>
          <w:szCs w:val="22"/>
          <w:lang w:val="en-US"/>
        </w:rPr>
        <w:t xml:space="preserve"> (1) Section 8 of the Principal Act is amended by adding at the end of sub-section (1) </w:t>
      </w:r>
      <w:r w:rsidR="0094642E" w:rsidRPr="00CF3D62">
        <w:rPr>
          <w:sz w:val="24"/>
          <w:szCs w:val="22"/>
          <w:lang w:val="en-US"/>
        </w:rPr>
        <w:t>“</w:t>
      </w:r>
      <w:r w:rsidRPr="00CF3D62">
        <w:rPr>
          <w:sz w:val="24"/>
          <w:szCs w:val="22"/>
          <w:lang w:val="en-US"/>
        </w:rPr>
        <w:t>dying before 1 July 1979</w:t>
      </w:r>
      <w:r w:rsidR="0094642E" w:rsidRPr="00CF3D62">
        <w:rPr>
          <w:sz w:val="24"/>
          <w:szCs w:val="22"/>
          <w:lang w:val="en-US"/>
        </w:rPr>
        <w:t>”</w:t>
      </w:r>
      <w:r w:rsidRPr="00CF3D62">
        <w:rPr>
          <w:sz w:val="24"/>
          <w:szCs w:val="22"/>
          <w:lang w:val="en-US"/>
        </w:rPr>
        <w:t>.</w:t>
      </w:r>
    </w:p>
    <w:p w14:paraId="2438AB49" w14:textId="39A17008" w:rsidR="00181475" w:rsidRPr="00CF3D62" w:rsidRDefault="00667978" w:rsidP="00C17E28">
      <w:pPr>
        <w:shd w:val="clear" w:color="auto" w:fill="FFFFFF"/>
        <w:spacing w:before="60" w:after="60"/>
        <w:ind w:firstLine="432"/>
        <w:jc w:val="both"/>
        <w:rPr>
          <w:sz w:val="24"/>
          <w:szCs w:val="22"/>
        </w:rPr>
      </w:pPr>
      <w:r w:rsidRPr="00CF3D62">
        <w:rPr>
          <w:sz w:val="24"/>
          <w:szCs w:val="22"/>
          <w:lang w:val="en-US"/>
        </w:rPr>
        <w:t>(2)</w:t>
      </w:r>
      <w:r w:rsidR="00880F78" w:rsidRPr="00CF3D62">
        <w:rPr>
          <w:sz w:val="24"/>
          <w:szCs w:val="22"/>
          <w:lang w:val="en-US"/>
        </w:rPr>
        <w:t xml:space="preserve"> </w:t>
      </w:r>
      <w:r w:rsidRPr="00CF3D62">
        <w:rPr>
          <w:sz w:val="24"/>
          <w:szCs w:val="22"/>
          <w:lang w:val="en-US"/>
        </w:rPr>
        <w:t>Section 8 of the Principal Act is amended by inserting in sub</w:t>
      </w:r>
      <w:r w:rsidR="007A6679">
        <w:rPr>
          <w:sz w:val="24"/>
          <w:szCs w:val="22"/>
          <w:lang w:val="en-US"/>
        </w:rPr>
        <w:t>-</w:t>
      </w:r>
      <w:r w:rsidRPr="00CF3D62">
        <w:rPr>
          <w:sz w:val="24"/>
          <w:szCs w:val="22"/>
          <w:lang w:val="en-US"/>
        </w:rPr>
        <w:t xml:space="preserve">paragraph </w:t>
      </w:r>
      <w:r w:rsidRPr="00CF3D62">
        <w:rPr>
          <w:sz w:val="24"/>
          <w:szCs w:val="22"/>
          <w:lang w:val="de-DE"/>
        </w:rPr>
        <w:t xml:space="preserve">(vi) </w:t>
      </w:r>
      <w:r w:rsidRPr="00CF3D62">
        <w:rPr>
          <w:sz w:val="24"/>
          <w:szCs w:val="22"/>
          <w:lang w:val="en-US"/>
        </w:rPr>
        <w:t xml:space="preserve">of paragraph (b) of sub-section (5) </w:t>
      </w:r>
      <w:r w:rsidR="0094642E" w:rsidRPr="00CF3D62">
        <w:rPr>
          <w:sz w:val="24"/>
          <w:szCs w:val="22"/>
          <w:lang w:val="en-US"/>
        </w:rPr>
        <w:t>“</w:t>
      </w:r>
      <w:r w:rsidRPr="00CF3D62">
        <w:rPr>
          <w:sz w:val="24"/>
          <w:szCs w:val="22"/>
          <w:lang w:val="en-US"/>
        </w:rPr>
        <w:t xml:space="preserve">, The National Trust of Australia (Northern </w:t>
      </w:r>
      <w:proofErr w:type="spellStart"/>
      <w:r w:rsidRPr="00CF3D62">
        <w:rPr>
          <w:sz w:val="24"/>
          <w:szCs w:val="22"/>
          <w:lang w:val="en-US"/>
        </w:rPr>
        <w:t>Teritory</w:t>
      </w:r>
      <w:proofErr w:type="spellEnd"/>
      <w:r w:rsidRPr="00CF3D62">
        <w:rPr>
          <w:sz w:val="24"/>
          <w:szCs w:val="22"/>
          <w:lang w:val="en-US"/>
        </w:rPr>
        <w:t>), National Trust of Australia (A.C.T.)</w:t>
      </w:r>
      <w:r w:rsidR="0094642E" w:rsidRPr="00CF3D62">
        <w:rPr>
          <w:sz w:val="24"/>
          <w:szCs w:val="22"/>
          <w:lang w:val="en-US"/>
        </w:rPr>
        <w:t>”</w:t>
      </w:r>
      <w:r w:rsidRPr="00CF3D62">
        <w:rPr>
          <w:sz w:val="24"/>
          <w:szCs w:val="22"/>
          <w:lang w:val="en-US"/>
        </w:rPr>
        <w:t xml:space="preserve"> after </w:t>
      </w:r>
      <w:r w:rsidR="0094642E" w:rsidRPr="00CF3D62">
        <w:rPr>
          <w:sz w:val="24"/>
          <w:szCs w:val="22"/>
          <w:lang w:val="en-US"/>
        </w:rPr>
        <w:t>“</w:t>
      </w:r>
      <w:r w:rsidRPr="00CF3D62">
        <w:rPr>
          <w:sz w:val="24"/>
          <w:szCs w:val="22"/>
          <w:lang w:val="en-US"/>
        </w:rPr>
        <w:t>National Trust of Australia (Tasmania )</w:t>
      </w:r>
      <w:r w:rsidR="0094642E" w:rsidRPr="00CF3D62">
        <w:rPr>
          <w:sz w:val="24"/>
          <w:szCs w:val="22"/>
          <w:lang w:val="en-US"/>
        </w:rPr>
        <w:t>”</w:t>
      </w:r>
      <w:r w:rsidRPr="00CF3D62">
        <w:rPr>
          <w:sz w:val="24"/>
          <w:szCs w:val="22"/>
          <w:lang w:val="en-US"/>
        </w:rPr>
        <w:t>.</w:t>
      </w:r>
    </w:p>
    <w:p w14:paraId="2D0FC505" w14:textId="77777777" w:rsidR="005F78A1" w:rsidRPr="005F78A1" w:rsidRDefault="005F78A1" w:rsidP="00B2303B">
      <w:pPr>
        <w:shd w:val="clear" w:color="auto" w:fill="FFFFFF"/>
        <w:spacing w:before="60" w:after="60"/>
        <w:ind w:firstLine="432"/>
        <w:jc w:val="both"/>
        <w:rPr>
          <w:sz w:val="2"/>
          <w:szCs w:val="2"/>
          <w:lang w:val="en-US"/>
        </w:rPr>
      </w:pPr>
    </w:p>
    <w:p w14:paraId="51062D34" w14:textId="27D2064E" w:rsidR="00181475" w:rsidRPr="00CF3D62" w:rsidRDefault="00667978" w:rsidP="00B2303B">
      <w:pPr>
        <w:shd w:val="clear" w:color="auto" w:fill="FFFFFF"/>
        <w:spacing w:before="60" w:after="60"/>
        <w:ind w:firstLine="432"/>
        <w:jc w:val="both"/>
        <w:rPr>
          <w:sz w:val="24"/>
          <w:szCs w:val="22"/>
        </w:rPr>
      </w:pPr>
      <w:r w:rsidRPr="00CF3D62">
        <w:rPr>
          <w:sz w:val="24"/>
          <w:szCs w:val="22"/>
          <w:lang w:val="en-US"/>
        </w:rPr>
        <w:t>(3)</w:t>
      </w:r>
      <w:r w:rsidR="00880F78" w:rsidRPr="00CF3D62">
        <w:rPr>
          <w:sz w:val="24"/>
          <w:szCs w:val="22"/>
          <w:lang w:val="en-US"/>
        </w:rPr>
        <w:t xml:space="preserve"> </w:t>
      </w:r>
      <w:r w:rsidRPr="00CF3D62">
        <w:rPr>
          <w:sz w:val="24"/>
          <w:szCs w:val="22"/>
          <w:lang w:val="en-US"/>
        </w:rPr>
        <w:t>Section 8 of the Principal Act is amended by inserting after sub</w:t>
      </w:r>
      <w:r w:rsidR="007A6679">
        <w:rPr>
          <w:sz w:val="24"/>
          <w:szCs w:val="22"/>
          <w:lang w:val="en-US"/>
        </w:rPr>
        <w:t>-</w:t>
      </w:r>
      <w:r w:rsidRPr="00CF3D62">
        <w:rPr>
          <w:sz w:val="24"/>
          <w:szCs w:val="22"/>
          <w:lang w:val="en-US"/>
        </w:rPr>
        <w:t>section (5) the following sub-section:</w:t>
      </w:r>
    </w:p>
    <w:p w14:paraId="7500FC4E" w14:textId="77777777" w:rsidR="005F78A1" w:rsidRPr="005F78A1" w:rsidRDefault="005F78A1" w:rsidP="005F78A1">
      <w:pPr>
        <w:shd w:val="clear" w:color="auto" w:fill="FFFFFF"/>
        <w:spacing w:before="60" w:after="60"/>
        <w:ind w:firstLine="432"/>
        <w:jc w:val="both"/>
        <w:rPr>
          <w:sz w:val="2"/>
          <w:szCs w:val="2"/>
          <w:lang w:val="en-US"/>
        </w:rPr>
      </w:pPr>
    </w:p>
    <w:p w14:paraId="41DC2310" w14:textId="08EF70E8" w:rsidR="00181475" w:rsidRPr="00CF3D62" w:rsidRDefault="0094642E" w:rsidP="005F78A1">
      <w:pPr>
        <w:shd w:val="clear" w:color="auto" w:fill="FFFFFF"/>
        <w:spacing w:before="60" w:after="60"/>
        <w:ind w:firstLine="432"/>
        <w:jc w:val="both"/>
        <w:rPr>
          <w:sz w:val="24"/>
          <w:szCs w:val="22"/>
        </w:rPr>
      </w:pPr>
      <w:r w:rsidRPr="00CF3D62">
        <w:rPr>
          <w:sz w:val="24"/>
          <w:szCs w:val="22"/>
          <w:lang w:val="en-US"/>
        </w:rPr>
        <w:t>“</w:t>
      </w:r>
      <w:r w:rsidR="00667978" w:rsidRPr="00CF3D62">
        <w:rPr>
          <w:sz w:val="24"/>
          <w:szCs w:val="22"/>
          <w:lang w:val="en-US"/>
        </w:rPr>
        <w:t>(5</w:t>
      </w:r>
      <w:r w:rsidR="00667978" w:rsidRPr="00CF3D62">
        <w:rPr>
          <w:smallCaps/>
          <w:sz w:val="24"/>
          <w:szCs w:val="22"/>
          <w:lang w:val="en-US"/>
        </w:rPr>
        <w:t>a</w:t>
      </w:r>
      <w:r w:rsidR="00667978" w:rsidRPr="00CF3D62">
        <w:rPr>
          <w:sz w:val="24"/>
          <w:szCs w:val="22"/>
          <w:lang w:val="en-US"/>
        </w:rPr>
        <w:t xml:space="preserve">) Duty shall not be assessed or payable upon so much of the estate as passes by will, intestacy, gift </w:t>
      </w:r>
      <w:r w:rsidR="00667978" w:rsidRPr="00CF3D62">
        <w:rPr>
          <w:i/>
          <w:iCs/>
          <w:sz w:val="24"/>
          <w:szCs w:val="22"/>
          <w:lang w:val="en-US"/>
        </w:rPr>
        <w:t xml:space="preserve">inter </w:t>
      </w:r>
      <w:proofErr w:type="spellStart"/>
      <w:r w:rsidR="00667978" w:rsidRPr="00CF3D62">
        <w:rPr>
          <w:i/>
          <w:iCs/>
          <w:sz w:val="24"/>
          <w:szCs w:val="22"/>
          <w:lang w:val="en-US"/>
        </w:rPr>
        <w:t>vivos</w:t>
      </w:r>
      <w:proofErr w:type="spellEnd"/>
      <w:r w:rsidR="00667978" w:rsidRPr="00CF3D62">
        <w:rPr>
          <w:i/>
          <w:iCs/>
          <w:sz w:val="24"/>
          <w:szCs w:val="22"/>
          <w:lang w:val="en-US"/>
        </w:rPr>
        <w:t xml:space="preserve">, </w:t>
      </w:r>
      <w:r w:rsidR="00667978" w:rsidRPr="00CF3D62">
        <w:rPr>
          <w:sz w:val="24"/>
          <w:szCs w:val="22"/>
          <w:lang w:val="en-US"/>
        </w:rPr>
        <w:t>settlement or right of survivorship to, or for the benefit of, a member or members of the family of the deceased person.</w:t>
      </w:r>
      <w:r w:rsidRPr="00CF3D62">
        <w:rPr>
          <w:sz w:val="24"/>
          <w:szCs w:val="22"/>
          <w:lang w:val="en-US"/>
        </w:rPr>
        <w:t>”</w:t>
      </w:r>
      <w:r w:rsidR="00667978" w:rsidRPr="00CF3D62">
        <w:rPr>
          <w:sz w:val="24"/>
          <w:szCs w:val="22"/>
          <w:lang w:val="en-US"/>
        </w:rPr>
        <w:t>.</w:t>
      </w:r>
    </w:p>
    <w:p w14:paraId="3539F7DA" w14:textId="77777777" w:rsidR="00181475" w:rsidRPr="00CF3D62" w:rsidRDefault="00667978" w:rsidP="000A0553">
      <w:pPr>
        <w:shd w:val="clear" w:color="auto" w:fill="FFFFFF"/>
        <w:spacing w:before="120" w:after="60"/>
        <w:rPr>
          <w:b/>
          <w:szCs w:val="22"/>
        </w:rPr>
      </w:pPr>
      <w:r w:rsidRPr="00CF3D62">
        <w:rPr>
          <w:b/>
          <w:szCs w:val="22"/>
          <w:lang w:val="en-US"/>
        </w:rPr>
        <w:t>Deduction in respect of property passing to widow or widower</w:t>
      </w:r>
    </w:p>
    <w:p w14:paraId="0BE63446" w14:textId="075763AA" w:rsidR="00181475" w:rsidRPr="00CF3D62" w:rsidRDefault="00667978" w:rsidP="00596E67">
      <w:pPr>
        <w:shd w:val="clear" w:color="auto" w:fill="FFFFFF"/>
        <w:spacing w:before="60" w:after="60"/>
        <w:ind w:firstLine="432"/>
        <w:jc w:val="both"/>
        <w:rPr>
          <w:sz w:val="24"/>
          <w:szCs w:val="22"/>
        </w:rPr>
      </w:pPr>
      <w:r w:rsidRPr="00CF3D62">
        <w:rPr>
          <w:b/>
          <w:sz w:val="24"/>
          <w:szCs w:val="22"/>
          <w:lang w:val="en-US"/>
        </w:rPr>
        <w:t>5.</w:t>
      </w:r>
      <w:r w:rsidRPr="00CF3D62">
        <w:rPr>
          <w:sz w:val="24"/>
          <w:szCs w:val="22"/>
          <w:lang w:val="en-US"/>
        </w:rPr>
        <w:t xml:space="preserve"> Section 8</w:t>
      </w:r>
      <w:r w:rsidR="007A6679">
        <w:rPr>
          <w:smallCaps/>
          <w:sz w:val="24"/>
          <w:szCs w:val="22"/>
          <w:lang w:val="en-US"/>
        </w:rPr>
        <w:t>aaa</w:t>
      </w:r>
      <w:r w:rsidRPr="00CF3D62">
        <w:rPr>
          <w:sz w:val="24"/>
          <w:szCs w:val="22"/>
          <w:lang w:val="en-US"/>
        </w:rPr>
        <w:t xml:space="preserve"> of the Principal Act is repealed.</w:t>
      </w:r>
    </w:p>
    <w:p w14:paraId="569AF7A9" w14:textId="77777777" w:rsidR="007A6679" w:rsidRDefault="007A6679">
      <w:pPr>
        <w:widowControl/>
        <w:autoSpaceDE/>
        <w:autoSpaceDN/>
        <w:adjustRightInd/>
        <w:spacing w:after="200" w:line="276" w:lineRule="auto"/>
        <w:rPr>
          <w:b/>
          <w:szCs w:val="22"/>
          <w:lang w:val="en-US"/>
        </w:rPr>
      </w:pPr>
      <w:r>
        <w:rPr>
          <w:b/>
          <w:szCs w:val="22"/>
          <w:lang w:val="en-US"/>
        </w:rPr>
        <w:br w:type="page"/>
      </w:r>
    </w:p>
    <w:p w14:paraId="19701F40" w14:textId="586C879A" w:rsidR="00181475" w:rsidRPr="00CF3D62" w:rsidRDefault="00667978" w:rsidP="00851A5B">
      <w:pPr>
        <w:shd w:val="clear" w:color="auto" w:fill="FFFFFF"/>
        <w:spacing w:before="120" w:after="60"/>
        <w:rPr>
          <w:b/>
          <w:szCs w:val="22"/>
        </w:rPr>
      </w:pPr>
      <w:r w:rsidRPr="00CF3D62">
        <w:rPr>
          <w:b/>
          <w:szCs w:val="22"/>
          <w:lang w:val="en-US"/>
        </w:rPr>
        <w:lastRenderedPageBreak/>
        <w:t>Returns to be lodged</w:t>
      </w:r>
    </w:p>
    <w:p w14:paraId="7D6B881A" w14:textId="77777777" w:rsidR="00181475" w:rsidRPr="00CF3D62" w:rsidRDefault="00667978" w:rsidP="00851A5B">
      <w:pPr>
        <w:shd w:val="clear" w:color="auto" w:fill="FFFFFF"/>
        <w:spacing w:before="60" w:after="60"/>
        <w:ind w:firstLine="432"/>
        <w:jc w:val="both"/>
        <w:rPr>
          <w:sz w:val="24"/>
          <w:szCs w:val="22"/>
        </w:rPr>
      </w:pPr>
      <w:r w:rsidRPr="00CF3D62">
        <w:rPr>
          <w:b/>
          <w:sz w:val="24"/>
          <w:szCs w:val="22"/>
          <w:lang w:val="en-US"/>
        </w:rPr>
        <w:t>6.</w:t>
      </w:r>
      <w:r w:rsidR="00880F78" w:rsidRPr="00CF3D62">
        <w:rPr>
          <w:sz w:val="24"/>
          <w:szCs w:val="22"/>
          <w:lang w:val="en-US"/>
        </w:rPr>
        <w:t xml:space="preserve"> </w:t>
      </w:r>
      <w:r w:rsidRPr="00CF3D62">
        <w:rPr>
          <w:sz w:val="24"/>
          <w:szCs w:val="22"/>
          <w:lang w:val="en-US"/>
        </w:rPr>
        <w:t>(1) Section 10 of the Principal Act is amended by inserting after sub-section (1) the following sub-section:</w:t>
      </w:r>
    </w:p>
    <w:p w14:paraId="215153F2" w14:textId="77777777" w:rsidR="00181475" w:rsidRPr="00CF3D62" w:rsidRDefault="0094642E" w:rsidP="009575B8">
      <w:pPr>
        <w:shd w:val="clear" w:color="auto" w:fill="FFFFFF"/>
        <w:spacing w:before="60" w:after="60"/>
        <w:ind w:firstLine="432"/>
        <w:jc w:val="both"/>
        <w:rPr>
          <w:sz w:val="24"/>
          <w:szCs w:val="22"/>
        </w:rPr>
      </w:pPr>
      <w:r w:rsidRPr="00CF3D62">
        <w:rPr>
          <w:sz w:val="24"/>
          <w:szCs w:val="22"/>
          <w:lang w:val="en-US"/>
        </w:rPr>
        <w:t>“</w:t>
      </w:r>
      <w:r w:rsidR="00667978" w:rsidRPr="00CF3D62">
        <w:rPr>
          <w:sz w:val="24"/>
          <w:szCs w:val="22"/>
          <w:lang w:val="en-US"/>
        </w:rPr>
        <w:t>(1</w:t>
      </w:r>
      <w:r w:rsidR="00667978" w:rsidRPr="00CF3D62">
        <w:rPr>
          <w:smallCaps/>
          <w:sz w:val="24"/>
          <w:szCs w:val="22"/>
          <w:lang w:val="en-US"/>
        </w:rPr>
        <w:t>a</w:t>
      </w:r>
      <w:r w:rsidR="00667978" w:rsidRPr="00CF3D62">
        <w:rPr>
          <w:sz w:val="24"/>
          <w:szCs w:val="22"/>
          <w:lang w:val="en-US"/>
        </w:rPr>
        <w:t>) Sub-section (1) does not apply in relation to the estate of a person who dies on or after 1 July 1979.</w:t>
      </w:r>
      <w:r w:rsidRPr="00CF3D62">
        <w:rPr>
          <w:sz w:val="24"/>
          <w:szCs w:val="22"/>
          <w:lang w:val="en-US"/>
        </w:rPr>
        <w:t>”</w:t>
      </w:r>
      <w:r w:rsidR="00667978" w:rsidRPr="00CF3D62">
        <w:rPr>
          <w:sz w:val="24"/>
          <w:szCs w:val="22"/>
          <w:lang w:val="en-US"/>
        </w:rPr>
        <w:t>.</w:t>
      </w:r>
    </w:p>
    <w:p w14:paraId="480E2030" w14:textId="77777777" w:rsidR="005F78A1" w:rsidRPr="005F78A1" w:rsidRDefault="005F78A1" w:rsidP="005F78A1">
      <w:pPr>
        <w:shd w:val="clear" w:color="auto" w:fill="FFFFFF"/>
        <w:spacing w:before="60" w:after="60"/>
        <w:ind w:firstLine="432"/>
        <w:jc w:val="both"/>
        <w:rPr>
          <w:sz w:val="2"/>
          <w:szCs w:val="2"/>
          <w:lang w:val="en-US"/>
        </w:rPr>
      </w:pPr>
    </w:p>
    <w:p w14:paraId="60F5B0E5" w14:textId="121BEAA2" w:rsidR="00181475" w:rsidRPr="00CF3D62" w:rsidRDefault="00667978" w:rsidP="005F78A1">
      <w:pPr>
        <w:shd w:val="clear" w:color="auto" w:fill="FFFFFF"/>
        <w:spacing w:before="60" w:after="60"/>
        <w:ind w:firstLine="432"/>
        <w:jc w:val="both"/>
        <w:rPr>
          <w:sz w:val="24"/>
          <w:szCs w:val="22"/>
        </w:rPr>
      </w:pPr>
      <w:r w:rsidRPr="00CF3D62">
        <w:rPr>
          <w:sz w:val="24"/>
          <w:szCs w:val="22"/>
          <w:lang w:val="en-US"/>
        </w:rPr>
        <w:t>(2) Section 10 of the Principal Act is amended</w:t>
      </w:r>
      <w:r w:rsidRPr="00CF3D62">
        <w:rPr>
          <w:rFonts w:eastAsia="Times New Roman"/>
          <w:sz w:val="24"/>
          <w:szCs w:val="22"/>
          <w:lang w:val="en-US"/>
        </w:rPr>
        <w:t>—</w:t>
      </w:r>
    </w:p>
    <w:p w14:paraId="4C902AC4" w14:textId="77777777" w:rsidR="00181475" w:rsidRPr="00CF3D62" w:rsidRDefault="00667978" w:rsidP="00207690">
      <w:pPr>
        <w:shd w:val="clear" w:color="auto" w:fill="FFFFFF"/>
        <w:spacing w:before="60" w:after="60"/>
        <w:ind w:left="792" w:hanging="360"/>
        <w:jc w:val="both"/>
        <w:rPr>
          <w:sz w:val="24"/>
          <w:szCs w:val="22"/>
        </w:rPr>
      </w:pPr>
      <w:r w:rsidRPr="00CF3D62">
        <w:rPr>
          <w:sz w:val="24"/>
          <w:szCs w:val="22"/>
          <w:lang w:val="en-US"/>
        </w:rPr>
        <w:t>(a)</w:t>
      </w:r>
      <w:r w:rsidR="00880F78" w:rsidRPr="00CF3D62">
        <w:rPr>
          <w:sz w:val="24"/>
          <w:szCs w:val="22"/>
          <w:lang w:val="en-US"/>
        </w:rPr>
        <w:t xml:space="preserve"> </w:t>
      </w:r>
      <w:r w:rsidRPr="00CF3D62">
        <w:rPr>
          <w:sz w:val="24"/>
          <w:szCs w:val="22"/>
          <w:lang w:val="en-US"/>
        </w:rPr>
        <w:t>by omitting sub-section (3) and substituting the following sub-section:</w:t>
      </w:r>
    </w:p>
    <w:p w14:paraId="51C5786B" w14:textId="77777777" w:rsidR="00181475" w:rsidRPr="00CF3D62" w:rsidRDefault="0094642E" w:rsidP="00577D59">
      <w:pPr>
        <w:shd w:val="clear" w:color="auto" w:fill="FFFFFF"/>
        <w:ind w:left="792" w:firstLine="288"/>
        <w:jc w:val="both"/>
        <w:rPr>
          <w:sz w:val="24"/>
          <w:szCs w:val="22"/>
        </w:rPr>
      </w:pPr>
      <w:r w:rsidRPr="00CF3D62">
        <w:rPr>
          <w:sz w:val="24"/>
          <w:szCs w:val="22"/>
          <w:lang w:val="en-US"/>
        </w:rPr>
        <w:t>“</w:t>
      </w:r>
      <w:r w:rsidR="00667978" w:rsidRPr="00CF3D62">
        <w:rPr>
          <w:sz w:val="24"/>
          <w:szCs w:val="22"/>
          <w:lang w:val="en-US"/>
        </w:rPr>
        <w:t>(3) Unless he is required by the Commissioner by notice in writing so to do, it shall not be necessary for the administrator to furnish a return in accordance with sub-section (1) in respect of an estate where</w:t>
      </w:r>
      <w:r w:rsidR="00667978" w:rsidRPr="00CF3D62">
        <w:rPr>
          <w:rFonts w:eastAsia="Times New Roman"/>
          <w:sz w:val="24"/>
          <w:szCs w:val="22"/>
          <w:lang w:val="en-US"/>
        </w:rPr>
        <w:t>—</w:t>
      </w:r>
    </w:p>
    <w:p w14:paraId="1FA98B32" w14:textId="77777777" w:rsidR="00181475" w:rsidRPr="00CF3D62" w:rsidRDefault="00667978" w:rsidP="0065212E">
      <w:pPr>
        <w:shd w:val="clear" w:color="auto" w:fill="FFFFFF"/>
        <w:spacing w:before="60" w:after="60"/>
        <w:ind w:left="1512" w:hanging="360"/>
        <w:jc w:val="both"/>
        <w:rPr>
          <w:sz w:val="24"/>
          <w:szCs w:val="22"/>
        </w:rPr>
      </w:pPr>
      <w:r w:rsidRPr="00CF3D62">
        <w:rPr>
          <w:sz w:val="24"/>
          <w:szCs w:val="22"/>
          <w:lang w:val="en-US"/>
        </w:rPr>
        <w:t>(a)</w:t>
      </w:r>
      <w:r w:rsidR="00880F78" w:rsidRPr="00CF3D62">
        <w:rPr>
          <w:sz w:val="24"/>
          <w:szCs w:val="22"/>
          <w:lang w:val="en-US"/>
        </w:rPr>
        <w:t xml:space="preserve"> </w:t>
      </w:r>
      <w:r w:rsidRPr="00CF3D62">
        <w:rPr>
          <w:sz w:val="24"/>
          <w:szCs w:val="22"/>
          <w:lang w:val="en-US"/>
        </w:rPr>
        <w:t>the whole of the estate passes to, or for the benefit of, a member or members of the family of the deceased person; or</w:t>
      </w:r>
    </w:p>
    <w:p w14:paraId="464DCD56" w14:textId="77777777" w:rsidR="00181475" w:rsidRPr="00CF3D62" w:rsidRDefault="00667978" w:rsidP="00DC3969">
      <w:pPr>
        <w:shd w:val="clear" w:color="auto" w:fill="FFFFFF"/>
        <w:spacing w:before="60" w:after="60"/>
        <w:ind w:left="1512" w:hanging="360"/>
        <w:jc w:val="both"/>
        <w:rPr>
          <w:sz w:val="24"/>
          <w:szCs w:val="22"/>
        </w:rPr>
      </w:pPr>
      <w:r w:rsidRPr="00CF3D62">
        <w:rPr>
          <w:sz w:val="24"/>
          <w:szCs w:val="22"/>
          <w:lang w:val="en-US"/>
        </w:rPr>
        <w:t>(b)</w:t>
      </w:r>
      <w:r w:rsidR="00880F78" w:rsidRPr="00CF3D62">
        <w:rPr>
          <w:sz w:val="24"/>
          <w:szCs w:val="22"/>
          <w:lang w:val="en-US"/>
        </w:rPr>
        <w:t xml:space="preserve"> </w:t>
      </w:r>
      <w:r w:rsidRPr="00CF3D62">
        <w:rPr>
          <w:sz w:val="24"/>
          <w:szCs w:val="22"/>
          <w:lang w:val="en-US"/>
        </w:rPr>
        <w:t>the value of the estate does not exceed $20,000.</w:t>
      </w:r>
      <w:r w:rsidR="0094642E" w:rsidRPr="00CF3D62">
        <w:rPr>
          <w:sz w:val="24"/>
          <w:szCs w:val="22"/>
          <w:lang w:val="en-US"/>
        </w:rPr>
        <w:t>”</w:t>
      </w:r>
      <w:r w:rsidRPr="00CF3D62">
        <w:rPr>
          <w:sz w:val="24"/>
          <w:szCs w:val="22"/>
          <w:lang w:val="en-US"/>
        </w:rPr>
        <w:t>; and</w:t>
      </w:r>
    </w:p>
    <w:p w14:paraId="31CB43B8" w14:textId="77777777" w:rsidR="005F78A1" w:rsidRPr="005F78A1" w:rsidRDefault="005F78A1" w:rsidP="005F78A1">
      <w:pPr>
        <w:shd w:val="clear" w:color="auto" w:fill="FFFFFF"/>
        <w:spacing w:before="60" w:after="60"/>
        <w:ind w:firstLine="432"/>
        <w:jc w:val="both"/>
        <w:rPr>
          <w:sz w:val="2"/>
          <w:szCs w:val="2"/>
          <w:lang w:val="en-US"/>
        </w:rPr>
      </w:pPr>
    </w:p>
    <w:p w14:paraId="5DF1BDC3" w14:textId="77017B0B" w:rsidR="00181475" w:rsidRPr="00CF3D62" w:rsidRDefault="00667978" w:rsidP="005F78A1">
      <w:pPr>
        <w:shd w:val="clear" w:color="auto" w:fill="FFFFFF"/>
        <w:spacing w:before="60" w:after="60"/>
        <w:ind w:left="792" w:hanging="360"/>
        <w:jc w:val="both"/>
        <w:rPr>
          <w:sz w:val="24"/>
          <w:szCs w:val="22"/>
        </w:rPr>
      </w:pPr>
      <w:r w:rsidRPr="00CF3D62">
        <w:rPr>
          <w:sz w:val="24"/>
          <w:szCs w:val="22"/>
          <w:lang w:val="en-US"/>
        </w:rPr>
        <w:t>(b)</w:t>
      </w:r>
      <w:r w:rsidR="00880F78" w:rsidRPr="00CF3D62">
        <w:rPr>
          <w:sz w:val="24"/>
          <w:szCs w:val="22"/>
          <w:lang w:val="en-US"/>
        </w:rPr>
        <w:t xml:space="preserve"> </w:t>
      </w:r>
      <w:r w:rsidRPr="00CF3D62">
        <w:rPr>
          <w:sz w:val="24"/>
          <w:szCs w:val="22"/>
          <w:lang w:val="en-US"/>
        </w:rPr>
        <w:t xml:space="preserve">by omitting from sub-section (5) the words </w:t>
      </w:r>
      <w:r w:rsidR="0094642E" w:rsidRPr="00CF3D62">
        <w:rPr>
          <w:sz w:val="24"/>
          <w:szCs w:val="22"/>
          <w:lang w:val="en-US"/>
        </w:rPr>
        <w:t>“</w:t>
      </w:r>
      <w:r w:rsidRPr="00CF3D62">
        <w:rPr>
          <w:sz w:val="24"/>
          <w:szCs w:val="22"/>
          <w:lang w:val="en-US"/>
        </w:rPr>
        <w:t>deductions (if any) allowable under sections 8</w:t>
      </w:r>
      <w:r w:rsidR="007A6679">
        <w:rPr>
          <w:smallCaps/>
          <w:sz w:val="24"/>
          <w:szCs w:val="22"/>
          <w:lang w:val="en-US"/>
        </w:rPr>
        <w:t>aaa</w:t>
      </w:r>
      <w:r w:rsidRPr="00CF3D62">
        <w:rPr>
          <w:sz w:val="24"/>
          <w:szCs w:val="22"/>
          <w:lang w:val="en-US"/>
        </w:rPr>
        <w:t xml:space="preserve"> and </w:t>
      </w:r>
      <w:r w:rsidRPr="00CF3D62">
        <w:rPr>
          <w:smallCaps/>
          <w:sz w:val="24"/>
          <w:szCs w:val="22"/>
          <w:lang w:val="en-US"/>
        </w:rPr>
        <w:t>18a</w:t>
      </w:r>
      <w:r w:rsidR="0094642E" w:rsidRPr="00CF3D62">
        <w:rPr>
          <w:smallCaps/>
          <w:sz w:val="24"/>
          <w:szCs w:val="22"/>
          <w:lang w:val="en-US"/>
        </w:rPr>
        <w:t>”</w:t>
      </w:r>
      <w:r w:rsidRPr="00CF3D62">
        <w:rPr>
          <w:smallCaps/>
          <w:sz w:val="24"/>
          <w:szCs w:val="22"/>
          <w:lang w:val="en-US"/>
        </w:rPr>
        <w:t xml:space="preserve"> </w:t>
      </w:r>
      <w:r w:rsidRPr="00CF3D62">
        <w:rPr>
          <w:sz w:val="24"/>
          <w:szCs w:val="22"/>
          <w:lang w:val="en-US"/>
        </w:rPr>
        <w:t xml:space="preserve">and substituting </w:t>
      </w:r>
      <w:r w:rsidR="0094642E" w:rsidRPr="00CF3D62">
        <w:rPr>
          <w:sz w:val="24"/>
          <w:szCs w:val="22"/>
          <w:lang w:val="en-US"/>
        </w:rPr>
        <w:t>“</w:t>
      </w:r>
      <w:r w:rsidRPr="00CF3D62">
        <w:rPr>
          <w:sz w:val="24"/>
          <w:szCs w:val="22"/>
          <w:lang w:val="en-US"/>
        </w:rPr>
        <w:t xml:space="preserve">deduction (if any) allowable under section </w:t>
      </w:r>
      <w:r w:rsidRPr="00CF3D62">
        <w:rPr>
          <w:smallCaps/>
          <w:sz w:val="24"/>
          <w:szCs w:val="22"/>
          <w:lang w:val="en-US"/>
        </w:rPr>
        <w:t>18a</w:t>
      </w:r>
      <w:r w:rsidR="0094642E" w:rsidRPr="00CF3D62">
        <w:rPr>
          <w:smallCaps/>
          <w:sz w:val="24"/>
          <w:szCs w:val="22"/>
          <w:lang w:val="en-US"/>
        </w:rPr>
        <w:t>”</w:t>
      </w:r>
      <w:r w:rsidRPr="00CF3D62">
        <w:rPr>
          <w:smallCaps/>
          <w:sz w:val="24"/>
          <w:szCs w:val="22"/>
          <w:lang w:val="en-US"/>
        </w:rPr>
        <w:t>.</w:t>
      </w:r>
    </w:p>
    <w:p w14:paraId="1E09CC77" w14:textId="77777777" w:rsidR="005F78A1" w:rsidRPr="005F78A1" w:rsidRDefault="005F78A1" w:rsidP="005F78A1">
      <w:pPr>
        <w:shd w:val="clear" w:color="auto" w:fill="FFFFFF"/>
        <w:spacing w:before="60" w:after="60"/>
        <w:ind w:firstLine="432"/>
        <w:jc w:val="both"/>
        <w:rPr>
          <w:sz w:val="2"/>
          <w:szCs w:val="2"/>
          <w:lang w:val="en-US"/>
        </w:rPr>
      </w:pPr>
    </w:p>
    <w:p w14:paraId="78F5B6E9" w14:textId="77777777" w:rsidR="005F78A1" w:rsidRPr="005F78A1" w:rsidRDefault="005F78A1" w:rsidP="005F78A1">
      <w:pPr>
        <w:shd w:val="clear" w:color="auto" w:fill="FFFFFF"/>
        <w:spacing w:before="60" w:after="60"/>
        <w:ind w:firstLine="432"/>
        <w:jc w:val="both"/>
        <w:rPr>
          <w:sz w:val="2"/>
          <w:szCs w:val="2"/>
          <w:lang w:val="en-US"/>
        </w:rPr>
      </w:pPr>
    </w:p>
    <w:p w14:paraId="05770601" w14:textId="77777777" w:rsidR="00181475" w:rsidRPr="00CF3D62" w:rsidRDefault="00667978" w:rsidP="006670CA">
      <w:pPr>
        <w:shd w:val="clear" w:color="auto" w:fill="FFFFFF"/>
        <w:spacing w:before="60" w:after="60"/>
        <w:ind w:firstLine="432"/>
        <w:jc w:val="both"/>
        <w:rPr>
          <w:sz w:val="24"/>
          <w:szCs w:val="22"/>
        </w:rPr>
      </w:pPr>
      <w:r w:rsidRPr="00CF3D62">
        <w:rPr>
          <w:b/>
          <w:sz w:val="24"/>
          <w:szCs w:val="22"/>
          <w:lang w:val="en-US"/>
        </w:rPr>
        <w:t>7.</w:t>
      </w:r>
      <w:r w:rsidR="00880F78" w:rsidRPr="00CF3D62">
        <w:rPr>
          <w:sz w:val="24"/>
          <w:szCs w:val="22"/>
          <w:lang w:val="en-US"/>
        </w:rPr>
        <w:t xml:space="preserve"> </w:t>
      </w:r>
      <w:r w:rsidRPr="00CF3D62">
        <w:rPr>
          <w:sz w:val="24"/>
          <w:szCs w:val="22"/>
          <w:lang w:val="en-US"/>
        </w:rPr>
        <w:t xml:space="preserve">Section </w:t>
      </w:r>
      <w:r w:rsidRPr="00CF3D62">
        <w:rPr>
          <w:smallCaps/>
          <w:sz w:val="24"/>
          <w:szCs w:val="22"/>
          <w:lang w:val="en-US"/>
        </w:rPr>
        <w:t xml:space="preserve">18a </w:t>
      </w:r>
      <w:r w:rsidRPr="00CF3D62">
        <w:rPr>
          <w:sz w:val="24"/>
          <w:szCs w:val="22"/>
          <w:lang w:val="en-US"/>
        </w:rPr>
        <w:t>of the Principal Act is repealed and the following section substituted:</w:t>
      </w:r>
    </w:p>
    <w:p w14:paraId="422E037E" w14:textId="77777777" w:rsidR="00181475" w:rsidRPr="00CF3D62" w:rsidRDefault="00667978" w:rsidP="00463F30">
      <w:pPr>
        <w:shd w:val="clear" w:color="auto" w:fill="FFFFFF"/>
        <w:spacing w:before="120" w:after="60"/>
        <w:rPr>
          <w:b/>
          <w:szCs w:val="22"/>
        </w:rPr>
      </w:pPr>
      <w:r w:rsidRPr="00CF3D62">
        <w:rPr>
          <w:b/>
          <w:szCs w:val="22"/>
          <w:lang w:val="en-US"/>
        </w:rPr>
        <w:t>Statutory exemption</w:t>
      </w:r>
    </w:p>
    <w:p w14:paraId="7A48DC46" w14:textId="77777777" w:rsidR="00181475" w:rsidRPr="00CF3D62" w:rsidRDefault="0094642E" w:rsidP="00AC2D48">
      <w:pPr>
        <w:shd w:val="clear" w:color="auto" w:fill="FFFFFF"/>
        <w:spacing w:before="60" w:after="60"/>
        <w:ind w:firstLine="432"/>
        <w:jc w:val="both"/>
        <w:rPr>
          <w:sz w:val="24"/>
          <w:szCs w:val="22"/>
        </w:rPr>
      </w:pPr>
      <w:r w:rsidRPr="00CF3D62">
        <w:rPr>
          <w:sz w:val="24"/>
          <w:szCs w:val="22"/>
          <w:lang w:val="en-US"/>
        </w:rPr>
        <w:t>“</w:t>
      </w:r>
      <w:r w:rsidR="00667978" w:rsidRPr="00CF3D62">
        <w:rPr>
          <w:sz w:val="24"/>
          <w:szCs w:val="22"/>
          <w:lang w:val="en-US"/>
        </w:rPr>
        <w:t>1</w:t>
      </w:r>
      <w:r w:rsidR="00667978" w:rsidRPr="00CF3D62">
        <w:rPr>
          <w:smallCaps/>
          <w:sz w:val="24"/>
          <w:szCs w:val="22"/>
          <w:lang w:val="en-US"/>
        </w:rPr>
        <w:t xml:space="preserve">8a. </w:t>
      </w:r>
      <w:r w:rsidR="00667978" w:rsidRPr="00CF3D62">
        <w:rPr>
          <w:sz w:val="24"/>
          <w:szCs w:val="22"/>
          <w:lang w:val="en-US"/>
        </w:rPr>
        <w:t>(1) From the value of the estate there shall be deducted</w:t>
      </w:r>
      <w:r w:rsidR="00667978" w:rsidRPr="00CF3D62">
        <w:rPr>
          <w:rFonts w:eastAsia="Times New Roman"/>
          <w:sz w:val="24"/>
          <w:szCs w:val="22"/>
          <w:lang w:val="en-US"/>
        </w:rPr>
        <w:t>—</w:t>
      </w:r>
    </w:p>
    <w:p w14:paraId="58377206" w14:textId="77777777" w:rsidR="00181475" w:rsidRPr="00CF3D62" w:rsidRDefault="00667978" w:rsidP="00764210">
      <w:pPr>
        <w:shd w:val="clear" w:color="auto" w:fill="FFFFFF"/>
        <w:spacing w:before="60" w:after="60"/>
        <w:ind w:left="792" w:hanging="360"/>
        <w:jc w:val="both"/>
        <w:rPr>
          <w:sz w:val="24"/>
          <w:szCs w:val="22"/>
        </w:rPr>
      </w:pPr>
      <w:r w:rsidRPr="00CF3D62">
        <w:rPr>
          <w:sz w:val="24"/>
          <w:szCs w:val="22"/>
          <w:lang w:val="en-US"/>
        </w:rPr>
        <w:t>(a) in the case of an estate in relation to which Part III</w:t>
      </w:r>
      <w:r w:rsidRPr="00CF3D62">
        <w:rPr>
          <w:smallCaps/>
          <w:sz w:val="24"/>
          <w:szCs w:val="22"/>
          <w:lang w:val="en-US"/>
        </w:rPr>
        <w:t>a</w:t>
      </w:r>
      <w:r w:rsidRPr="00CF3D62">
        <w:rPr>
          <w:sz w:val="24"/>
          <w:szCs w:val="22"/>
          <w:lang w:val="en-US"/>
        </w:rPr>
        <w:t xml:space="preserve"> applies</w:t>
      </w:r>
      <w:r w:rsidRPr="00CF3D62">
        <w:rPr>
          <w:rFonts w:eastAsia="Times New Roman"/>
          <w:sz w:val="24"/>
          <w:szCs w:val="22"/>
          <w:lang w:val="en-US"/>
        </w:rPr>
        <w:t>—</w:t>
      </w:r>
    </w:p>
    <w:p w14:paraId="621E2F1D" w14:textId="77777777" w:rsidR="00181475" w:rsidRPr="00CF3D62" w:rsidRDefault="00667978" w:rsidP="007C4E6E">
      <w:pPr>
        <w:shd w:val="clear" w:color="auto" w:fill="FFFFFF"/>
        <w:spacing w:before="60" w:after="60"/>
        <w:ind w:left="1368" w:hanging="288"/>
        <w:jc w:val="both"/>
        <w:rPr>
          <w:sz w:val="24"/>
          <w:szCs w:val="22"/>
        </w:rPr>
      </w:pPr>
      <w:r w:rsidRPr="00CF3D62">
        <w:rPr>
          <w:sz w:val="24"/>
          <w:szCs w:val="22"/>
          <w:lang w:val="en-US"/>
        </w:rPr>
        <w:t>(</w:t>
      </w:r>
      <w:proofErr w:type="spellStart"/>
      <w:r w:rsidRPr="00CF3D62">
        <w:rPr>
          <w:sz w:val="24"/>
          <w:szCs w:val="22"/>
          <w:lang w:val="en-US"/>
        </w:rPr>
        <w:t>i</w:t>
      </w:r>
      <w:proofErr w:type="spellEnd"/>
      <w:r w:rsidRPr="00CF3D62">
        <w:rPr>
          <w:sz w:val="24"/>
          <w:szCs w:val="22"/>
          <w:lang w:val="en-US"/>
        </w:rPr>
        <w:t>) where the value of the estate does not exceed $24,000</w:t>
      </w:r>
      <w:r w:rsidRPr="00CF3D62">
        <w:rPr>
          <w:rFonts w:eastAsia="Times New Roman"/>
          <w:sz w:val="24"/>
          <w:szCs w:val="22"/>
          <w:lang w:val="en-US"/>
        </w:rPr>
        <w:t>—a sum equal to the value of the estate; or</w:t>
      </w:r>
    </w:p>
    <w:p w14:paraId="3B024AB2" w14:textId="77777777" w:rsidR="00181475" w:rsidRPr="00CF3D62" w:rsidRDefault="00667978" w:rsidP="005F7E4E">
      <w:pPr>
        <w:shd w:val="clear" w:color="auto" w:fill="FFFFFF"/>
        <w:ind w:left="1368" w:hanging="360"/>
        <w:jc w:val="both"/>
        <w:rPr>
          <w:sz w:val="24"/>
          <w:szCs w:val="22"/>
        </w:rPr>
      </w:pPr>
      <w:r w:rsidRPr="00CF3D62">
        <w:rPr>
          <w:sz w:val="24"/>
          <w:szCs w:val="22"/>
          <w:lang w:val="en-US"/>
        </w:rPr>
        <w:t>(ii) where the value of the estate exceeds $24,000</w:t>
      </w:r>
      <w:r w:rsidRPr="00CF3D62">
        <w:rPr>
          <w:rFonts w:eastAsia="Times New Roman"/>
          <w:sz w:val="24"/>
          <w:szCs w:val="22"/>
          <w:lang w:val="en-US"/>
        </w:rPr>
        <w:t>—the sum of $24,000 decreased by $2 for every $8 by which that value exceeds $24,000; or</w:t>
      </w:r>
    </w:p>
    <w:p w14:paraId="61F85C5D" w14:textId="7B458BE4" w:rsidR="00181475" w:rsidRPr="00CF3D62" w:rsidRDefault="00667978" w:rsidP="006075B4">
      <w:pPr>
        <w:shd w:val="clear" w:color="auto" w:fill="FFFFFF"/>
        <w:spacing w:before="60" w:after="60"/>
        <w:ind w:left="792" w:hanging="360"/>
        <w:jc w:val="both"/>
        <w:rPr>
          <w:sz w:val="24"/>
          <w:szCs w:val="22"/>
        </w:rPr>
      </w:pPr>
      <w:r w:rsidRPr="00CF3D62">
        <w:rPr>
          <w:sz w:val="24"/>
          <w:szCs w:val="22"/>
          <w:lang w:val="en-US"/>
        </w:rPr>
        <w:t>(b) in any other case</w:t>
      </w:r>
      <w:r w:rsidRPr="00CF3D62">
        <w:rPr>
          <w:rFonts w:eastAsia="Times New Roman"/>
          <w:sz w:val="24"/>
          <w:szCs w:val="22"/>
          <w:lang w:val="en-US"/>
        </w:rPr>
        <w:t>—</w:t>
      </w:r>
    </w:p>
    <w:p w14:paraId="0FFC437D" w14:textId="77777777" w:rsidR="00181475" w:rsidRPr="00CF3D62" w:rsidRDefault="00667978" w:rsidP="004A31F9">
      <w:pPr>
        <w:shd w:val="clear" w:color="auto" w:fill="FFFFFF"/>
        <w:ind w:left="1368" w:hanging="288"/>
        <w:jc w:val="both"/>
        <w:rPr>
          <w:sz w:val="24"/>
          <w:szCs w:val="22"/>
        </w:rPr>
      </w:pPr>
      <w:r w:rsidRPr="00CF3D62">
        <w:rPr>
          <w:sz w:val="24"/>
          <w:szCs w:val="22"/>
          <w:lang w:val="en-US"/>
        </w:rPr>
        <w:t>(</w:t>
      </w:r>
      <w:proofErr w:type="spellStart"/>
      <w:r w:rsidRPr="00CF3D62">
        <w:rPr>
          <w:sz w:val="24"/>
          <w:szCs w:val="22"/>
          <w:lang w:val="en-US"/>
        </w:rPr>
        <w:t>i</w:t>
      </w:r>
      <w:proofErr w:type="spellEnd"/>
      <w:r w:rsidRPr="00CF3D62">
        <w:rPr>
          <w:sz w:val="24"/>
          <w:szCs w:val="22"/>
          <w:lang w:val="en-US"/>
        </w:rPr>
        <w:t>) where the value of the estate does not exceed $20,000</w:t>
      </w:r>
      <w:r w:rsidRPr="00CF3D62">
        <w:rPr>
          <w:rFonts w:eastAsia="Times New Roman"/>
          <w:sz w:val="24"/>
          <w:szCs w:val="22"/>
          <w:lang w:val="en-US"/>
        </w:rPr>
        <w:t>—a sum equal to the value of the estate; or</w:t>
      </w:r>
    </w:p>
    <w:p w14:paraId="5BB5D4DF" w14:textId="77777777" w:rsidR="00181475" w:rsidRPr="00CF3D62" w:rsidRDefault="00667978" w:rsidP="007B4952">
      <w:pPr>
        <w:shd w:val="clear" w:color="auto" w:fill="FFFFFF"/>
        <w:ind w:left="1368" w:hanging="360"/>
        <w:jc w:val="both"/>
        <w:rPr>
          <w:sz w:val="24"/>
          <w:szCs w:val="22"/>
        </w:rPr>
      </w:pPr>
      <w:r w:rsidRPr="00CF3D62">
        <w:rPr>
          <w:sz w:val="24"/>
          <w:szCs w:val="22"/>
          <w:lang w:val="en-US"/>
        </w:rPr>
        <w:t xml:space="preserve">(ii) </w:t>
      </w:r>
      <w:r w:rsidRPr="00CF3D62">
        <w:rPr>
          <w:rFonts w:eastAsia="Times New Roman"/>
          <w:sz w:val="24"/>
          <w:szCs w:val="22"/>
          <w:lang w:val="en-US"/>
        </w:rPr>
        <w:t>where</w:t>
      </w:r>
      <w:r w:rsidRPr="00CF3D62">
        <w:rPr>
          <w:sz w:val="24"/>
          <w:szCs w:val="22"/>
          <w:lang w:val="en-US"/>
        </w:rPr>
        <w:t xml:space="preserve"> the value of the estate exceeds $20,000</w:t>
      </w:r>
      <w:r w:rsidRPr="00CF3D62">
        <w:rPr>
          <w:rFonts w:eastAsia="Times New Roman"/>
          <w:sz w:val="24"/>
          <w:szCs w:val="22"/>
          <w:lang w:val="en-US"/>
        </w:rPr>
        <w:t>—the sum of $20,000 decreased by $2 for every $8 by which that value exceeds $20,000,</w:t>
      </w:r>
    </w:p>
    <w:p w14:paraId="69B44D45" w14:textId="77777777" w:rsidR="00181475" w:rsidRPr="00CF3D62" w:rsidRDefault="00667978" w:rsidP="0094642E">
      <w:pPr>
        <w:shd w:val="clear" w:color="auto" w:fill="FFFFFF"/>
        <w:jc w:val="both"/>
        <w:rPr>
          <w:sz w:val="24"/>
          <w:szCs w:val="22"/>
        </w:rPr>
      </w:pPr>
      <w:r w:rsidRPr="00CF3D62">
        <w:rPr>
          <w:sz w:val="24"/>
          <w:szCs w:val="22"/>
          <w:lang w:val="en-US"/>
        </w:rPr>
        <w:t>and the balance remaining shall be the value for duty of the estate.</w:t>
      </w:r>
    </w:p>
    <w:p w14:paraId="45053D3D" w14:textId="77777777" w:rsidR="005F78A1" w:rsidRPr="005F78A1" w:rsidRDefault="005F78A1" w:rsidP="005F78A1">
      <w:pPr>
        <w:shd w:val="clear" w:color="auto" w:fill="FFFFFF"/>
        <w:spacing w:before="60" w:after="60"/>
        <w:ind w:firstLine="432"/>
        <w:jc w:val="both"/>
        <w:rPr>
          <w:sz w:val="2"/>
          <w:szCs w:val="2"/>
          <w:lang w:val="en-US"/>
        </w:rPr>
      </w:pPr>
    </w:p>
    <w:p w14:paraId="750B1996" w14:textId="77777777" w:rsidR="00181475" w:rsidRPr="00CF3D62" w:rsidRDefault="005F78A1" w:rsidP="005F78A1">
      <w:pPr>
        <w:shd w:val="clear" w:color="auto" w:fill="FFFFFF"/>
        <w:spacing w:before="60" w:after="60"/>
        <w:ind w:firstLine="432"/>
        <w:jc w:val="both"/>
        <w:rPr>
          <w:sz w:val="24"/>
          <w:szCs w:val="22"/>
        </w:rPr>
      </w:pPr>
      <w:r w:rsidRPr="00CF3D62">
        <w:rPr>
          <w:sz w:val="24"/>
          <w:szCs w:val="22"/>
          <w:lang w:val="en-US"/>
        </w:rPr>
        <w:t xml:space="preserve"> </w:t>
      </w:r>
      <w:r w:rsidR="0094642E" w:rsidRPr="00CF3D62">
        <w:rPr>
          <w:sz w:val="24"/>
          <w:szCs w:val="22"/>
          <w:lang w:val="en-US"/>
        </w:rPr>
        <w:t>“</w:t>
      </w:r>
      <w:r w:rsidR="00667978" w:rsidRPr="00CF3D62">
        <w:rPr>
          <w:sz w:val="24"/>
          <w:szCs w:val="22"/>
          <w:lang w:val="en-US"/>
        </w:rPr>
        <w:t xml:space="preserve">(2) For the purposes of this section, </w:t>
      </w:r>
      <w:r w:rsidR="0094642E" w:rsidRPr="00CF3D62">
        <w:rPr>
          <w:sz w:val="24"/>
          <w:szCs w:val="22"/>
          <w:lang w:val="en-US"/>
        </w:rPr>
        <w:t>‘</w:t>
      </w:r>
      <w:r w:rsidR="00667978" w:rsidRPr="00CF3D62">
        <w:rPr>
          <w:sz w:val="24"/>
          <w:szCs w:val="22"/>
          <w:lang w:val="en-US"/>
        </w:rPr>
        <w:t>value of the estate</w:t>
      </w:r>
      <w:r w:rsidR="0094642E" w:rsidRPr="00CF3D62">
        <w:rPr>
          <w:sz w:val="24"/>
          <w:szCs w:val="22"/>
          <w:lang w:val="en-US"/>
        </w:rPr>
        <w:t>’</w:t>
      </w:r>
      <w:r w:rsidR="00667978" w:rsidRPr="00CF3D62">
        <w:rPr>
          <w:sz w:val="24"/>
          <w:szCs w:val="22"/>
          <w:lang w:val="en-US"/>
        </w:rPr>
        <w:t xml:space="preserve"> means the value ascertained by deducting from the gross value of the estate liable to be assessed all the deductions allowable under this Act except the deduction allowable under this section.</w:t>
      </w:r>
      <w:r w:rsidR="0094642E" w:rsidRPr="00CF3D62">
        <w:rPr>
          <w:sz w:val="24"/>
          <w:szCs w:val="22"/>
          <w:lang w:val="en-US"/>
        </w:rPr>
        <w:t>”</w:t>
      </w:r>
      <w:r w:rsidR="00667978" w:rsidRPr="00CF3D62">
        <w:rPr>
          <w:sz w:val="24"/>
          <w:szCs w:val="22"/>
          <w:lang w:val="en-US"/>
        </w:rPr>
        <w:t>.</w:t>
      </w:r>
    </w:p>
    <w:p w14:paraId="45E173D2" w14:textId="77777777" w:rsidR="00181475" w:rsidRPr="00CF3D62" w:rsidRDefault="00667978" w:rsidP="00511E47">
      <w:pPr>
        <w:shd w:val="clear" w:color="auto" w:fill="FFFFFF"/>
        <w:spacing w:before="120" w:after="60"/>
        <w:rPr>
          <w:b/>
          <w:szCs w:val="22"/>
        </w:rPr>
      </w:pPr>
      <w:r w:rsidRPr="00CF3D62">
        <w:rPr>
          <w:b/>
          <w:szCs w:val="22"/>
          <w:lang w:val="en-US"/>
        </w:rPr>
        <w:t>Amendment of assessments</w:t>
      </w:r>
    </w:p>
    <w:p w14:paraId="75252184" w14:textId="4F19E5B1" w:rsidR="00181475" w:rsidRPr="00CF3D62" w:rsidRDefault="00667978" w:rsidP="00511E47">
      <w:pPr>
        <w:shd w:val="clear" w:color="auto" w:fill="FFFFFF"/>
        <w:spacing w:before="60" w:after="60"/>
        <w:ind w:firstLine="432"/>
        <w:jc w:val="both"/>
        <w:rPr>
          <w:sz w:val="24"/>
          <w:szCs w:val="22"/>
        </w:rPr>
      </w:pPr>
      <w:r w:rsidRPr="00CF3D62">
        <w:rPr>
          <w:b/>
          <w:sz w:val="24"/>
          <w:szCs w:val="22"/>
          <w:lang w:val="en-US"/>
        </w:rPr>
        <w:t>8.</w:t>
      </w:r>
      <w:r w:rsidRPr="00CF3D62">
        <w:rPr>
          <w:sz w:val="24"/>
          <w:szCs w:val="22"/>
          <w:lang w:val="en-US"/>
        </w:rPr>
        <w:t xml:space="preserve"> Section 20 of the Principal Act is amended by inserting after sub</w:t>
      </w:r>
      <w:r w:rsidR="007A6679">
        <w:rPr>
          <w:sz w:val="24"/>
          <w:szCs w:val="22"/>
          <w:lang w:val="en-US"/>
        </w:rPr>
        <w:t>-</w:t>
      </w:r>
      <w:r w:rsidRPr="00CF3D62">
        <w:rPr>
          <w:sz w:val="24"/>
          <w:szCs w:val="22"/>
          <w:lang w:val="en-US"/>
        </w:rPr>
        <w:t>section (6) the following sub-section:</w:t>
      </w:r>
    </w:p>
    <w:p w14:paraId="2C83CA2D" w14:textId="77777777" w:rsidR="00181475" w:rsidRPr="00CF3D62" w:rsidRDefault="0094642E" w:rsidP="00231755">
      <w:pPr>
        <w:shd w:val="clear" w:color="auto" w:fill="FFFFFF"/>
        <w:spacing w:before="60" w:after="60"/>
        <w:ind w:firstLine="432"/>
        <w:jc w:val="both"/>
        <w:rPr>
          <w:sz w:val="24"/>
          <w:szCs w:val="22"/>
        </w:rPr>
      </w:pPr>
      <w:r w:rsidRPr="00CF3D62">
        <w:rPr>
          <w:sz w:val="24"/>
          <w:szCs w:val="22"/>
          <w:lang w:val="en-US"/>
        </w:rPr>
        <w:t>“</w:t>
      </w:r>
      <w:r w:rsidR="00667978" w:rsidRPr="00CF3D62">
        <w:rPr>
          <w:sz w:val="24"/>
          <w:szCs w:val="22"/>
          <w:lang w:val="en-US"/>
        </w:rPr>
        <w:t>(6</w:t>
      </w:r>
      <w:r w:rsidR="00667978" w:rsidRPr="00CF3D62">
        <w:rPr>
          <w:smallCaps/>
          <w:sz w:val="24"/>
          <w:szCs w:val="22"/>
          <w:lang w:val="en-US"/>
        </w:rPr>
        <w:t>a</w:t>
      </w:r>
      <w:r w:rsidR="00667978" w:rsidRPr="00CF3D62">
        <w:rPr>
          <w:sz w:val="24"/>
          <w:szCs w:val="22"/>
          <w:lang w:val="en-US"/>
        </w:rPr>
        <w:t>) Nothing contained in this section shall prevent the amendment of an assessment, either to reduce or (except in the case of an assessment made before the commencement of this sub-section) to increase the duty payable in respect of an estate, in order to take account, for the purposes of this Act, of any assessment, or any amendment of an assessment, of probate or succession duties payable in relation to the estate under any State Act or of any refund or rebate of, or any alteration in the amount of, any such probate or succession duties payable in relation to the estate, but no amendment shall be made under this subsection after the expiration of 3 years from the date upon which duty became due and payable under the first-mentioned assessment.</w:t>
      </w:r>
      <w:r w:rsidRPr="00CF3D62">
        <w:rPr>
          <w:sz w:val="24"/>
          <w:szCs w:val="22"/>
          <w:lang w:val="en-US"/>
        </w:rPr>
        <w:t>”</w:t>
      </w:r>
      <w:r w:rsidR="00667978" w:rsidRPr="00CF3D62">
        <w:rPr>
          <w:sz w:val="24"/>
          <w:szCs w:val="22"/>
          <w:lang w:val="en-US"/>
        </w:rPr>
        <w:t>.</w:t>
      </w:r>
    </w:p>
    <w:p w14:paraId="56EFF8B0" w14:textId="77777777" w:rsidR="00181475" w:rsidRPr="00CF3D62" w:rsidRDefault="00667978" w:rsidP="00E03E3E">
      <w:pPr>
        <w:shd w:val="clear" w:color="auto" w:fill="FFFFFF"/>
        <w:spacing w:before="120" w:after="60"/>
        <w:rPr>
          <w:b/>
          <w:szCs w:val="22"/>
        </w:rPr>
      </w:pPr>
      <w:r w:rsidRPr="00CF3D62">
        <w:rPr>
          <w:b/>
          <w:szCs w:val="22"/>
          <w:lang w:val="en-US"/>
        </w:rPr>
        <w:t>Apportionment of duty among beneficiaries</w:t>
      </w:r>
    </w:p>
    <w:p w14:paraId="4F2457B2" w14:textId="77777777" w:rsidR="00181475" w:rsidRPr="00CF3D62" w:rsidRDefault="00667978" w:rsidP="00E03E3E">
      <w:pPr>
        <w:shd w:val="clear" w:color="auto" w:fill="FFFFFF"/>
        <w:spacing w:before="60" w:after="60"/>
        <w:ind w:firstLine="432"/>
        <w:jc w:val="both"/>
        <w:rPr>
          <w:sz w:val="24"/>
          <w:szCs w:val="22"/>
        </w:rPr>
      </w:pPr>
      <w:r w:rsidRPr="00CF3D62">
        <w:rPr>
          <w:b/>
          <w:sz w:val="24"/>
          <w:szCs w:val="22"/>
          <w:lang w:val="en-US"/>
        </w:rPr>
        <w:t>9.</w:t>
      </w:r>
      <w:r w:rsidRPr="00CF3D62">
        <w:rPr>
          <w:sz w:val="24"/>
          <w:szCs w:val="22"/>
          <w:lang w:val="en-US"/>
        </w:rPr>
        <w:t xml:space="preserve"> Section 35 of the Principal Act is amended by omitting the proviso.</w:t>
      </w:r>
    </w:p>
    <w:p w14:paraId="404526C0" w14:textId="77777777" w:rsidR="00181475" w:rsidRPr="00CF3D62" w:rsidRDefault="00667978" w:rsidP="00037131">
      <w:pPr>
        <w:shd w:val="clear" w:color="auto" w:fill="FFFFFF"/>
        <w:spacing w:before="120" w:after="60"/>
        <w:rPr>
          <w:b/>
          <w:szCs w:val="22"/>
        </w:rPr>
      </w:pPr>
      <w:r w:rsidRPr="00CF3D62">
        <w:rPr>
          <w:b/>
          <w:szCs w:val="22"/>
          <w:lang w:val="en-US"/>
        </w:rPr>
        <w:t>Release from liability for duty in cases of hardship</w:t>
      </w:r>
    </w:p>
    <w:p w14:paraId="37EC5A7C" w14:textId="77777777" w:rsidR="00181475" w:rsidRPr="00CF3D62" w:rsidRDefault="00667978" w:rsidP="00037131">
      <w:pPr>
        <w:shd w:val="clear" w:color="auto" w:fill="FFFFFF"/>
        <w:spacing w:before="60" w:after="60"/>
        <w:ind w:firstLine="432"/>
        <w:jc w:val="both"/>
        <w:rPr>
          <w:sz w:val="24"/>
          <w:szCs w:val="22"/>
        </w:rPr>
      </w:pPr>
      <w:r w:rsidRPr="00CF3D62">
        <w:rPr>
          <w:b/>
          <w:sz w:val="24"/>
          <w:szCs w:val="22"/>
          <w:lang w:val="en-US"/>
        </w:rPr>
        <w:t>10.</w:t>
      </w:r>
      <w:r w:rsidRPr="00CF3D62">
        <w:rPr>
          <w:sz w:val="24"/>
          <w:szCs w:val="22"/>
          <w:lang w:val="en-US"/>
        </w:rPr>
        <w:t xml:space="preserve"> Section </w:t>
      </w:r>
      <w:r w:rsidRPr="00CF3D62">
        <w:rPr>
          <w:smallCaps/>
          <w:sz w:val="24"/>
          <w:szCs w:val="22"/>
          <w:lang w:val="en-US"/>
        </w:rPr>
        <w:t xml:space="preserve">48a </w:t>
      </w:r>
      <w:r w:rsidRPr="00CF3D62">
        <w:rPr>
          <w:sz w:val="24"/>
          <w:szCs w:val="22"/>
          <w:lang w:val="en-US"/>
        </w:rPr>
        <w:t xml:space="preserve">of the Principal Act is amended by omitting from sub-section (1) </w:t>
      </w:r>
      <w:r w:rsidR="0094642E" w:rsidRPr="00CF3D62">
        <w:rPr>
          <w:sz w:val="24"/>
          <w:szCs w:val="22"/>
          <w:lang w:val="en-US"/>
        </w:rPr>
        <w:t>“</w:t>
      </w:r>
      <w:r w:rsidRPr="00CF3D62">
        <w:rPr>
          <w:sz w:val="24"/>
          <w:szCs w:val="22"/>
          <w:lang w:val="en-US"/>
        </w:rPr>
        <w:t>Department of the Treasury</w:t>
      </w:r>
      <w:r w:rsidR="0094642E" w:rsidRPr="00CF3D62">
        <w:rPr>
          <w:sz w:val="24"/>
          <w:szCs w:val="22"/>
          <w:lang w:val="en-US"/>
        </w:rPr>
        <w:t>”</w:t>
      </w:r>
      <w:r w:rsidRPr="00CF3D62">
        <w:rPr>
          <w:sz w:val="24"/>
          <w:szCs w:val="22"/>
          <w:lang w:val="en-US"/>
        </w:rPr>
        <w:t xml:space="preserve"> and substituting </w:t>
      </w:r>
      <w:r w:rsidR="0094642E" w:rsidRPr="00CF3D62">
        <w:rPr>
          <w:sz w:val="24"/>
          <w:szCs w:val="22"/>
          <w:lang w:val="en-US"/>
        </w:rPr>
        <w:t>“</w:t>
      </w:r>
      <w:r w:rsidRPr="00CF3D62">
        <w:rPr>
          <w:sz w:val="24"/>
          <w:szCs w:val="22"/>
          <w:lang w:val="en-US"/>
        </w:rPr>
        <w:t>Department of Finance</w:t>
      </w:r>
      <w:r w:rsidR="0094642E" w:rsidRPr="00CF3D62">
        <w:rPr>
          <w:sz w:val="24"/>
          <w:szCs w:val="22"/>
          <w:lang w:val="en-US"/>
        </w:rPr>
        <w:t>”</w:t>
      </w:r>
      <w:r w:rsidRPr="00CF3D62">
        <w:rPr>
          <w:sz w:val="24"/>
          <w:szCs w:val="22"/>
          <w:lang w:val="en-US"/>
        </w:rPr>
        <w:t>.</w:t>
      </w:r>
    </w:p>
    <w:p w14:paraId="691EBEDF" w14:textId="77777777" w:rsidR="007A6679" w:rsidRDefault="007A6679">
      <w:pPr>
        <w:widowControl/>
        <w:autoSpaceDE/>
        <w:autoSpaceDN/>
        <w:adjustRightInd/>
        <w:spacing w:after="200" w:line="276" w:lineRule="auto"/>
        <w:rPr>
          <w:b/>
          <w:szCs w:val="22"/>
          <w:lang w:val="en-US"/>
        </w:rPr>
      </w:pPr>
      <w:r>
        <w:rPr>
          <w:b/>
          <w:szCs w:val="22"/>
          <w:lang w:val="en-US"/>
        </w:rPr>
        <w:br w:type="page"/>
      </w:r>
    </w:p>
    <w:p w14:paraId="01580C82" w14:textId="64BE06FB" w:rsidR="00181475" w:rsidRPr="00CF3D62" w:rsidRDefault="00667978" w:rsidP="00521449">
      <w:pPr>
        <w:shd w:val="clear" w:color="auto" w:fill="FFFFFF"/>
        <w:spacing w:before="120" w:after="60"/>
        <w:rPr>
          <w:b/>
          <w:szCs w:val="22"/>
        </w:rPr>
      </w:pPr>
      <w:r w:rsidRPr="00CF3D62">
        <w:rPr>
          <w:b/>
          <w:szCs w:val="22"/>
          <w:lang w:val="en-US"/>
        </w:rPr>
        <w:lastRenderedPageBreak/>
        <w:t>Application of amendments, &amp;c.</w:t>
      </w:r>
    </w:p>
    <w:p w14:paraId="29E49951" w14:textId="5B8D5C3C" w:rsidR="00181475" w:rsidRPr="00CF3D62" w:rsidRDefault="00667978" w:rsidP="00521449">
      <w:pPr>
        <w:shd w:val="clear" w:color="auto" w:fill="FFFFFF"/>
        <w:spacing w:before="60" w:after="60"/>
        <w:ind w:firstLine="432"/>
        <w:jc w:val="both"/>
        <w:rPr>
          <w:sz w:val="24"/>
          <w:szCs w:val="22"/>
        </w:rPr>
      </w:pPr>
      <w:r w:rsidRPr="00CF3D62">
        <w:rPr>
          <w:b/>
          <w:sz w:val="24"/>
          <w:szCs w:val="22"/>
          <w:lang w:val="en-US"/>
        </w:rPr>
        <w:t>11.</w:t>
      </w:r>
      <w:r w:rsidRPr="00CF3D62">
        <w:rPr>
          <w:sz w:val="24"/>
          <w:szCs w:val="22"/>
          <w:lang w:val="en-US"/>
        </w:rPr>
        <w:t xml:space="preserve"> (1) The amendment made by sub-section 4(2) applies, and shall be deemed to have applied, to the estates of persons who died on or after</w:t>
      </w:r>
      <w:r w:rsidRPr="00CF3D62">
        <w:rPr>
          <w:rFonts w:eastAsia="Times New Roman"/>
          <w:sz w:val="24"/>
          <w:szCs w:val="22"/>
          <w:lang w:val="en-US"/>
        </w:rPr>
        <w:t>—</w:t>
      </w:r>
    </w:p>
    <w:p w14:paraId="41DA73D8" w14:textId="77777777" w:rsidR="00181475" w:rsidRPr="00CF3D62" w:rsidRDefault="00667978" w:rsidP="00E65BDB">
      <w:pPr>
        <w:shd w:val="clear" w:color="auto" w:fill="FFFFFF"/>
        <w:spacing w:before="60" w:after="60"/>
        <w:ind w:left="792" w:hanging="360"/>
        <w:jc w:val="both"/>
        <w:rPr>
          <w:sz w:val="24"/>
          <w:szCs w:val="22"/>
        </w:rPr>
      </w:pPr>
      <w:r w:rsidRPr="00CF3D62">
        <w:rPr>
          <w:sz w:val="24"/>
          <w:szCs w:val="22"/>
          <w:lang w:val="en-US"/>
        </w:rPr>
        <w:t>(a)</w:t>
      </w:r>
      <w:r w:rsidR="00880F78" w:rsidRPr="00CF3D62">
        <w:rPr>
          <w:sz w:val="24"/>
          <w:szCs w:val="22"/>
          <w:lang w:val="en-US"/>
        </w:rPr>
        <w:t xml:space="preserve"> </w:t>
      </w:r>
      <w:r w:rsidRPr="00CF3D62">
        <w:rPr>
          <w:sz w:val="24"/>
          <w:szCs w:val="22"/>
          <w:lang w:val="en-US"/>
        </w:rPr>
        <w:t xml:space="preserve">in the case of an estate or part of an estate devised or bequeathed or passing by gift </w:t>
      </w:r>
      <w:r w:rsidRPr="00CF3D62">
        <w:rPr>
          <w:i/>
          <w:iCs/>
          <w:sz w:val="24"/>
          <w:szCs w:val="22"/>
          <w:lang w:val="en-US"/>
        </w:rPr>
        <w:t xml:space="preserve">inter </w:t>
      </w:r>
      <w:proofErr w:type="spellStart"/>
      <w:r w:rsidRPr="00CF3D62">
        <w:rPr>
          <w:i/>
          <w:iCs/>
          <w:sz w:val="24"/>
          <w:szCs w:val="22"/>
          <w:lang w:val="en-US"/>
        </w:rPr>
        <w:t>vivos</w:t>
      </w:r>
      <w:proofErr w:type="spellEnd"/>
      <w:r w:rsidRPr="00CF3D62">
        <w:rPr>
          <w:i/>
          <w:iCs/>
          <w:sz w:val="24"/>
          <w:szCs w:val="22"/>
          <w:lang w:val="en-US"/>
        </w:rPr>
        <w:t xml:space="preserve"> </w:t>
      </w:r>
      <w:r w:rsidRPr="00CF3D62">
        <w:rPr>
          <w:sz w:val="24"/>
          <w:szCs w:val="22"/>
          <w:lang w:val="en-US"/>
        </w:rPr>
        <w:t>or settlement to or for the benefit of The National Trust of Australia (Northern Territory)</w:t>
      </w:r>
      <w:r w:rsidRPr="00CF3D62">
        <w:rPr>
          <w:rFonts w:eastAsia="Times New Roman"/>
          <w:sz w:val="24"/>
          <w:szCs w:val="22"/>
          <w:lang w:val="en-US"/>
        </w:rPr>
        <w:t>—16 November 1976; or</w:t>
      </w:r>
    </w:p>
    <w:p w14:paraId="749B0C61" w14:textId="77777777" w:rsidR="00181475" w:rsidRPr="00CF3D62" w:rsidRDefault="00667978" w:rsidP="009908B9">
      <w:pPr>
        <w:shd w:val="clear" w:color="auto" w:fill="FFFFFF"/>
        <w:spacing w:before="60" w:after="60"/>
        <w:ind w:left="792" w:hanging="360"/>
        <w:jc w:val="both"/>
        <w:rPr>
          <w:sz w:val="24"/>
          <w:szCs w:val="22"/>
        </w:rPr>
      </w:pPr>
      <w:r w:rsidRPr="00CF3D62">
        <w:rPr>
          <w:sz w:val="24"/>
          <w:szCs w:val="22"/>
          <w:lang w:val="en-US"/>
        </w:rPr>
        <w:t>(b)</w:t>
      </w:r>
      <w:r w:rsidR="00880F78" w:rsidRPr="00CF3D62">
        <w:rPr>
          <w:sz w:val="24"/>
          <w:szCs w:val="22"/>
          <w:lang w:val="en-US"/>
        </w:rPr>
        <w:t xml:space="preserve"> </w:t>
      </w:r>
      <w:r w:rsidRPr="00CF3D62">
        <w:rPr>
          <w:sz w:val="24"/>
          <w:szCs w:val="22"/>
          <w:lang w:val="en-US"/>
        </w:rPr>
        <w:t xml:space="preserve">in the case of an estate or part of an estate devised or bequeathed or passing by gift </w:t>
      </w:r>
      <w:r w:rsidRPr="00CF3D62">
        <w:rPr>
          <w:i/>
          <w:iCs/>
          <w:sz w:val="24"/>
          <w:szCs w:val="22"/>
          <w:lang w:val="en-US"/>
        </w:rPr>
        <w:t xml:space="preserve">inter </w:t>
      </w:r>
      <w:proofErr w:type="spellStart"/>
      <w:r w:rsidRPr="00CF3D62">
        <w:rPr>
          <w:i/>
          <w:iCs/>
          <w:sz w:val="24"/>
          <w:szCs w:val="22"/>
          <w:lang w:val="en-US"/>
        </w:rPr>
        <w:t>vivos</w:t>
      </w:r>
      <w:proofErr w:type="spellEnd"/>
      <w:r w:rsidRPr="00CF3D62">
        <w:rPr>
          <w:i/>
          <w:iCs/>
          <w:sz w:val="24"/>
          <w:szCs w:val="22"/>
          <w:lang w:val="en-US"/>
        </w:rPr>
        <w:t xml:space="preserve"> </w:t>
      </w:r>
      <w:r w:rsidRPr="00CF3D62">
        <w:rPr>
          <w:sz w:val="24"/>
          <w:szCs w:val="22"/>
          <w:lang w:val="en-US"/>
        </w:rPr>
        <w:t>or settlement to or for the benefit of the National Trust of Australia (A.C.T.)</w:t>
      </w:r>
      <w:r w:rsidRPr="00CF3D62">
        <w:rPr>
          <w:rFonts w:eastAsia="Times New Roman"/>
          <w:sz w:val="24"/>
          <w:szCs w:val="22"/>
          <w:lang w:val="en-US"/>
        </w:rPr>
        <w:t>—20 December 1976.</w:t>
      </w:r>
    </w:p>
    <w:p w14:paraId="7B36E4C3" w14:textId="77777777" w:rsidR="005F78A1" w:rsidRPr="005F78A1" w:rsidRDefault="005F78A1" w:rsidP="005F78A1">
      <w:pPr>
        <w:shd w:val="clear" w:color="auto" w:fill="FFFFFF"/>
        <w:spacing w:before="60" w:after="60"/>
        <w:ind w:firstLine="432"/>
        <w:jc w:val="both"/>
        <w:rPr>
          <w:sz w:val="2"/>
          <w:szCs w:val="2"/>
          <w:lang w:val="en-US"/>
        </w:rPr>
      </w:pPr>
    </w:p>
    <w:p w14:paraId="1F2E2666" w14:textId="0E44C62C" w:rsidR="00181475" w:rsidRPr="00CF3D62" w:rsidRDefault="00667978" w:rsidP="007A6679">
      <w:pPr>
        <w:shd w:val="clear" w:color="auto" w:fill="FFFFFF"/>
        <w:spacing w:before="60" w:after="60"/>
        <w:ind w:firstLine="432"/>
        <w:jc w:val="both"/>
        <w:rPr>
          <w:sz w:val="24"/>
          <w:szCs w:val="22"/>
        </w:rPr>
      </w:pPr>
      <w:r w:rsidRPr="00CF3D62">
        <w:rPr>
          <w:sz w:val="24"/>
          <w:szCs w:val="22"/>
          <w:lang w:val="en-US"/>
        </w:rPr>
        <w:t>(2) The amendments made by section 3, sub-section 4(3), section 5, sub-section 6</w:t>
      </w:r>
      <w:bookmarkStart w:id="0" w:name="_GoBack"/>
      <w:bookmarkEnd w:id="0"/>
      <w:r w:rsidRPr="00CF3D62">
        <w:rPr>
          <w:sz w:val="24"/>
          <w:szCs w:val="22"/>
          <w:lang w:val="en-US"/>
        </w:rPr>
        <w:t>(2) and sections 7 and 9 apply, and shall be deemed to</w:t>
      </w:r>
      <w:r w:rsidR="007A6679">
        <w:rPr>
          <w:sz w:val="24"/>
          <w:szCs w:val="22"/>
        </w:rPr>
        <w:t xml:space="preserve"> </w:t>
      </w:r>
      <w:r w:rsidRPr="00CF3D62">
        <w:rPr>
          <w:sz w:val="24"/>
          <w:szCs w:val="22"/>
          <w:lang w:val="en-US"/>
        </w:rPr>
        <w:t>have applied, in relation to the estates of persons who died on or after 21 November 1977.</w:t>
      </w:r>
    </w:p>
    <w:p w14:paraId="4883E0A2" w14:textId="77777777" w:rsidR="005F78A1" w:rsidRPr="005F78A1" w:rsidRDefault="005F78A1" w:rsidP="005F78A1">
      <w:pPr>
        <w:shd w:val="clear" w:color="auto" w:fill="FFFFFF"/>
        <w:spacing w:before="60" w:after="60"/>
        <w:ind w:firstLine="432"/>
        <w:jc w:val="both"/>
        <w:rPr>
          <w:sz w:val="2"/>
          <w:szCs w:val="2"/>
          <w:lang w:val="en-US"/>
        </w:rPr>
      </w:pPr>
    </w:p>
    <w:p w14:paraId="064D8EEE" w14:textId="77777777" w:rsidR="00181475" w:rsidRPr="00CF3D62" w:rsidRDefault="00667978" w:rsidP="005F78A1">
      <w:pPr>
        <w:shd w:val="clear" w:color="auto" w:fill="FFFFFF"/>
        <w:spacing w:before="60" w:after="60"/>
        <w:ind w:firstLine="432"/>
        <w:jc w:val="both"/>
        <w:rPr>
          <w:sz w:val="24"/>
          <w:szCs w:val="22"/>
        </w:rPr>
      </w:pPr>
      <w:r w:rsidRPr="00CF3D62">
        <w:rPr>
          <w:sz w:val="24"/>
          <w:szCs w:val="22"/>
          <w:lang w:val="en-US"/>
        </w:rPr>
        <w:t>(3)</w:t>
      </w:r>
      <w:r w:rsidR="00880F78" w:rsidRPr="00CF3D62">
        <w:rPr>
          <w:sz w:val="24"/>
          <w:szCs w:val="22"/>
          <w:lang w:val="en-US"/>
        </w:rPr>
        <w:t xml:space="preserve"> </w:t>
      </w:r>
      <w:r w:rsidRPr="00CF3D62">
        <w:rPr>
          <w:sz w:val="24"/>
          <w:szCs w:val="22"/>
          <w:lang w:val="en-US"/>
        </w:rPr>
        <w:t>The amendment made by section 10 does not affect the jurisdiction of a Board constituted under section 48</w:t>
      </w:r>
      <w:r w:rsidRPr="00CF3D62">
        <w:rPr>
          <w:smallCaps/>
          <w:sz w:val="24"/>
          <w:szCs w:val="22"/>
          <w:lang w:val="en-US"/>
        </w:rPr>
        <w:t>a</w:t>
      </w:r>
      <w:r w:rsidRPr="00CF3D62">
        <w:rPr>
          <w:sz w:val="24"/>
          <w:szCs w:val="22"/>
          <w:lang w:val="en-US"/>
        </w:rPr>
        <w:t xml:space="preserve"> of the Principal Act in relation to any application made under that section the consideration of which had commenced before the commencement of this sub-section.</w:t>
      </w:r>
    </w:p>
    <w:p w14:paraId="6870FF66" w14:textId="77777777" w:rsidR="005F78A1" w:rsidRPr="005F78A1" w:rsidRDefault="005F78A1" w:rsidP="005F78A1">
      <w:pPr>
        <w:shd w:val="clear" w:color="auto" w:fill="FFFFFF"/>
        <w:spacing w:before="60" w:after="60"/>
        <w:ind w:firstLine="432"/>
        <w:jc w:val="both"/>
        <w:rPr>
          <w:sz w:val="2"/>
          <w:szCs w:val="2"/>
          <w:lang w:val="en-US"/>
        </w:rPr>
      </w:pPr>
    </w:p>
    <w:p w14:paraId="5202DC12" w14:textId="77777777" w:rsidR="00181475" w:rsidRPr="00CF3D62" w:rsidRDefault="00667978" w:rsidP="005F78A1">
      <w:pPr>
        <w:shd w:val="clear" w:color="auto" w:fill="FFFFFF"/>
        <w:spacing w:before="60" w:after="60"/>
        <w:ind w:firstLine="432"/>
        <w:jc w:val="both"/>
        <w:rPr>
          <w:sz w:val="24"/>
          <w:szCs w:val="22"/>
        </w:rPr>
      </w:pPr>
      <w:r w:rsidRPr="00CF3D62">
        <w:rPr>
          <w:sz w:val="24"/>
          <w:szCs w:val="22"/>
          <w:lang w:val="en-US"/>
        </w:rPr>
        <w:t>(4)</w:t>
      </w:r>
      <w:r w:rsidR="00880F78" w:rsidRPr="00CF3D62">
        <w:rPr>
          <w:sz w:val="24"/>
          <w:szCs w:val="22"/>
          <w:lang w:val="en-US"/>
        </w:rPr>
        <w:t xml:space="preserve"> </w:t>
      </w:r>
      <w:r w:rsidRPr="00CF3D62">
        <w:rPr>
          <w:sz w:val="24"/>
          <w:szCs w:val="22"/>
          <w:lang w:val="en-US"/>
        </w:rPr>
        <w:t>Nothing in section 20 of the Principal Act prevents the amendment of an assessment made before the commencement of this Act for the purpose of giving effect to any of the amendments made by this Act.</w:t>
      </w:r>
    </w:p>
    <w:p w14:paraId="42D1BD18" w14:textId="2332A931" w:rsidR="00667978" w:rsidRPr="00CF3D62" w:rsidRDefault="00DB6076" w:rsidP="007A6679">
      <w:pPr>
        <w:shd w:val="clear" w:color="auto" w:fill="FFFFFF"/>
        <w:spacing w:before="720" w:after="120"/>
        <w:jc w:val="center"/>
        <w:rPr>
          <w:sz w:val="24"/>
          <w:szCs w:val="22"/>
        </w:rPr>
      </w:pPr>
      <w:r w:rsidRPr="00CF3D62">
        <w:rPr>
          <w:b/>
          <w:bCs/>
          <w:noProof/>
          <w:sz w:val="24"/>
          <w:szCs w:val="22"/>
          <w:lang w:val="en-AU" w:eastAsia="en-AU"/>
        </w:rPr>
        <mc:AlternateContent>
          <mc:Choice Requires="wps">
            <w:drawing>
              <wp:anchor distT="0" distB="0" distL="114300" distR="114300" simplePos="0" relativeHeight="251659264" behindDoc="0" locked="0" layoutInCell="1" allowOverlap="1" wp14:anchorId="035006E2" wp14:editId="3024B251">
                <wp:simplePos x="0" y="0"/>
                <wp:positionH relativeFrom="column">
                  <wp:posOffset>-8043</wp:posOffset>
                </wp:positionH>
                <wp:positionV relativeFrom="paragraph">
                  <wp:posOffset>172085</wp:posOffset>
                </wp:positionV>
                <wp:extent cx="6239933"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6239933"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800B2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13.55pt" to="490.7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" strokecolor="black [3040]" strokeweight="1.5pt"/>
            </w:pict>
          </mc:Fallback>
        </mc:AlternateContent>
      </w:r>
    </w:p>
    <w:sectPr w:rsidR="00667978" w:rsidRPr="00CF3D62" w:rsidSect="00865067">
      <w:headerReference w:type="even" r:id="rId7"/>
      <w:headerReference w:type="default" r:id="rId8"/>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0A507A" w15:done="0"/>
  <w15:commentEx w15:paraId="3BAA4DA2" w15:done="0"/>
  <w15:commentEx w15:paraId="3B014D59" w15:done="0"/>
  <w15:commentEx w15:paraId="3B472C6C" w15:done="0"/>
  <w15:commentEx w15:paraId="6FE01C8B" w15:done="0"/>
  <w15:commentEx w15:paraId="51E1D1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0A507A" w16cid:durableId="1F69A4C8"/>
  <w16cid:commentId w16cid:paraId="3BAA4DA2" w16cid:durableId="1F69A4E8"/>
  <w16cid:commentId w16cid:paraId="3B014D59" w16cid:durableId="1F69A4F2"/>
  <w16cid:commentId w16cid:paraId="3B472C6C" w16cid:durableId="1F69A501"/>
  <w16cid:commentId w16cid:paraId="6FE01C8B" w16cid:durableId="1F69A511"/>
  <w16cid:commentId w16cid:paraId="51E1D1F0" w16cid:durableId="1F69A52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FBF0E" w14:textId="77777777" w:rsidR="00EC23E7" w:rsidRDefault="00EC23E7" w:rsidP="00865067">
      <w:r>
        <w:separator/>
      </w:r>
    </w:p>
  </w:endnote>
  <w:endnote w:type="continuationSeparator" w:id="0">
    <w:p w14:paraId="084066AB" w14:textId="77777777" w:rsidR="00EC23E7" w:rsidRDefault="00EC23E7" w:rsidP="00865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60393" w14:textId="77777777" w:rsidR="00EC23E7" w:rsidRDefault="00EC23E7" w:rsidP="00865067">
      <w:r>
        <w:separator/>
      </w:r>
    </w:p>
  </w:footnote>
  <w:footnote w:type="continuationSeparator" w:id="0">
    <w:p w14:paraId="16AA60B0" w14:textId="77777777" w:rsidR="00EC23E7" w:rsidRDefault="00EC23E7" w:rsidP="00865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FBF30" w14:textId="77777777" w:rsidR="00865067" w:rsidRPr="00865067" w:rsidRDefault="00865067" w:rsidP="00865067">
    <w:pPr>
      <w:pStyle w:val="Header"/>
      <w:tabs>
        <w:tab w:val="clear" w:pos="4513"/>
        <w:tab w:val="clear" w:pos="9026"/>
        <w:tab w:val="center" w:pos="4860"/>
        <w:tab w:val="right" w:pos="9720"/>
      </w:tabs>
      <w:rPr>
        <w:sz w:val="22"/>
      </w:rPr>
    </w:pPr>
    <w:r w:rsidRPr="00865067">
      <w:rPr>
        <w:bCs/>
        <w:sz w:val="22"/>
      </w:rPr>
      <w:t>1978</w:t>
    </w:r>
    <w:r w:rsidRPr="00865067">
      <w:rPr>
        <w:bCs/>
        <w:sz w:val="22"/>
      </w:rPr>
      <w:tab/>
    </w:r>
    <w:r w:rsidRPr="00865067">
      <w:rPr>
        <w:i/>
        <w:iCs/>
        <w:sz w:val="22"/>
      </w:rPr>
      <w:t>Estate Duty Assessment Amendment</w:t>
    </w:r>
    <w:r w:rsidRPr="00865067">
      <w:rPr>
        <w:i/>
        <w:iCs/>
        <w:sz w:val="22"/>
      </w:rPr>
      <w:tab/>
    </w:r>
    <w:r w:rsidRPr="00865067">
      <w:rPr>
        <w:sz w:val="22"/>
        <w:szCs w:val="22"/>
      </w:rPr>
      <w:t>No. 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5FC89" w14:textId="77777777" w:rsidR="00865067" w:rsidRPr="00865067" w:rsidRDefault="00865067" w:rsidP="00865067">
    <w:pPr>
      <w:pStyle w:val="Header"/>
      <w:tabs>
        <w:tab w:val="clear" w:pos="4513"/>
        <w:tab w:val="clear" w:pos="9026"/>
        <w:tab w:val="center" w:pos="4860"/>
        <w:tab w:val="right" w:pos="9720"/>
      </w:tabs>
      <w:rPr>
        <w:sz w:val="22"/>
      </w:rPr>
    </w:pPr>
    <w:r w:rsidRPr="00865067">
      <w:rPr>
        <w:sz w:val="22"/>
        <w:szCs w:val="22"/>
      </w:rPr>
      <w:t>No. 22</w:t>
    </w:r>
    <w:r w:rsidRPr="00865067">
      <w:rPr>
        <w:bCs/>
        <w:sz w:val="22"/>
      </w:rPr>
      <w:tab/>
    </w:r>
    <w:r w:rsidRPr="00865067">
      <w:rPr>
        <w:i/>
        <w:iCs/>
        <w:sz w:val="22"/>
      </w:rPr>
      <w:t>Estate Duty Assessment Amendment</w:t>
    </w:r>
    <w:r w:rsidRPr="00865067">
      <w:rPr>
        <w:i/>
        <w:iCs/>
        <w:sz w:val="22"/>
      </w:rPr>
      <w:tab/>
    </w:r>
    <w:r w:rsidRPr="00865067">
      <w:rPr>
        <w:bCs/>
        <w:sz w:val="22"/>
      </w:rPr>
      <w:t>1978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F78"/>
    <w:rsid w:val="00033404"/>
    <w:rsid w:val="00037131"/>
    <w:rsid w:val="00084E6D"/>
    <w:rsid w:val="000A0553"/>
    <w:rsid w:val="000B77A0"/>
    <w:rsid w:val="000C6FA7"/>
    <w:rsid w:val="00104ACE"/>
    <w:rsid w:val="00163DEC"/>
    <w:rsid w:val="00181475"/>
    <w:rsid w:val="00193A24"/>
    <w:rsid w:val="001B5D60"/>
    <w:rsid w:val="00207690"/>
    <w:rsid w:val="00231755"/>
    <w:rsid w:val="00263FC2"/>
    <w:rsid w:val="003758AA"/>
    <w:rsid w:val="00461E9E"/>
    <w:rsid w:val="00463F30"/>
    <w:rsid w:val="004765BB"/>
    <w:rsid w:val="004A31F9"/>
    <w:rsid w:val="00511E47"/>
    <w:rsid w:val="00521449"/>
    <w:rsid w:val="00537DA0"/>
    <w:rsid w:val="005439D1"/>
    <w:rsid w:val="00577D59"/>
    <w:rsid w:val="005873AE"/>
    <w:rsid w:val="00596E67"/>
    <w:rsid w:val="005E338C"/>
    <w:rsid w:val="005F78A1"/>
    <w:rsid w:val="005F7E4E"/>
    <w:rsid w:val="00606EA5"/>
    <w:rsid w:val="006075B4"/>
    <w:rsid w:val="0065212E"/>
    <w:rsid w:val="006670CA"/>
    <w:rsid w:val="00667978"/>
    <w:rsid w:val="006B287E"/>
    <w:rsid w:val="006B7A65"/>
    <w:rsid w:val="006C428D"/>
    <w:rsid w:val="00764210"/>
    <w:rsid w:val="00774B70"/>
    <w:rsid w:val="007A6679"/>
    <w:rsid w:val="007B4952"/>
    <w:rsid w:val="007C4E6E"/>
    <w:rsid w:val="00851A5B"/>
    <w:rsid w:val="0085407B"/>
    <w:rsid w:val="00865067"/>
    <w:rsid w:val="00880F78"/>
    <w:rsid w:val="008C5DA9"/>
    <w:rsid w:val="009432DC"/>
    <w:rsid w:val="00944CCB"/>
    <w:rsid w:val="0094642E"/>
    <w:rsid w:val="009575B8"/>
    <w:rsid w:val="0097431B"/>
    <w:rsid w:val="009908B9"/>
    <w:rsid w:val="009940D7"/>
    <w:rsid w:val="00A11B73"/>
    <w:rsid w:val="00A936E0"/>
    <w:rsid w:val="00AC2D48"/>
    <w:rsid w:val="00AC4BB4"/>
    <w:rsid w:val="00AD348E"/>
    <w:rsid w:val="00B2303B"/>
    <w:rsid w:val="00B4321C"/>
    <w:rsid w:val="00BA428E"/>
    <w:rsid w:val="00BB5369"/>
    <w:rsid w:val="00BC1583"/>
    <w:rsid w:val="00BC560B"/>
    <w:rsid w:val="00C17E28"/>
    <w:rsid w:val="00C35244"/>
    <w:rsid w:val="00C4290D"/>
    <w:rsid w:val="00CA79DA"/>
    <w:rsid w:val="00CA7DB7"/>
    <w:rsid w:val="00CF3D62"/>
    <w:rsid w:val="00CF6DFC"/>
    <w:rsid w:val="00D35472"/>
    <w:rsid w:val="00D800B3"/>
    <w:rsid w:val="00DB229A"/>
    <w:rsid w:val="00DB6076"/>
    <w:rsid w:val="00DC3969"/>
    <w:rsid w:val="00DF62EC"/>
    <w:rsid w:val="00E03E3E"/>
    <w:rsid w:val="00E270D4"/>
    <w:rsid w:val="00E65BDB"/>
    <w:rsid w:val="00E85C25"/>
    <w:rsid w:val="00E9516E"/>
    <w:rsid w:val="00EB11EB"/>
    <w:rsid w:val="00EC23E7"/>
    <w:rsid w:val="00F109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E3B11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067"/>
    <w:pPr>
      <w:tabs>
        <w:tab w:val="center" w:pos="4513"/>
        <w:tab w:val="right" w:pos="9026"/>
      </w:tabs>
    </w:pPr>
  </w:style>
  <w:style w:type="character" w:customStyle="1" w:styleId="HeaderChar">
    <w:name w:val="Header Char"/>
    <w:basedOn w:val="DefaultParagraphFont"/>
    <w:link w:val="Header"/>
    <w:uiPriority w:val="99"/>
    <w:rsid w:val="00865067"/>
    <w:rPr>
      <w:rFonts w:ascii="Times New Roman" w:hAnsi="Times New Roman" w:cs="Times New Roman"/>
      <w:sz w:val="20"/>
      <w:szCs w:val="20"/>
    </w:rPr>
  </w:style>
  <w:style w:type="paragraph" w:styleId="Footer">
    <w:name w:val="footer"/>
    <w:basedOn w:val="Normal"/>
    <w:link w:val="FooterChar"/>
    <w:uiPriority w:val="99"/>
    <w:unhideWhenUsed/>
    <w:rsid w:val="00865067"/>
    <w:pPr>
      <w:tabs>
        <w:tab w:val="center" w:pos="4513"/>
        <w:tab w:val="right" w:pos="9026"/>
      </w:tabs>
    </w:pPr>
  </w:style>
  <w:style w:type="character" w:customStyle="1" w:styleId="FooterChar">
    <w:name w:val="Footer Char"/>
    <w:basedOn w:val="DefaultParagraphFont"/>
    <w:link w:val="Footer"/>
    <w:uiPriority w:val="99"/>
    <w:rsid w:val="00865067"/>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865067"/>
    <w:rPr>
      <w:rFonts w:ascii="Tahoma" w:hAnsi="Tahoma" w:cs="Tahoma"/>
      <w:sz w:val="16"/>
      <w:szCs w:val="16"/>
    </w:rPr>
  </w:style>
  <w:style w:type="character" w:customStyle="1" w:styleId="BalloonTextChar">
    <w:name w:val="Balloon Text Char"/>
    <w:basedOn w:val="DefaultParagraphFont"/>
    <w:link w:val="BalloonText"/>
    <w:uiPriority w:val="99"/>
    <w:semiHidden/>
    <w:rsid w:val="00865067"/>
    <w:rPr>
      <w:rFonts w:ascii="Tahoma" w:hAnsi="Tahoma" w:cs="Tahoma"/>
      <w:sz w:val="16"/>
      <w:szCs w:val="16"/>
    </w:rPr>
  </w:style>
  <w:style w:type="character" w:styleId="CommentReference">
    <w:name w:val="annotation reference"/>
    <w:basedOn w:val="DefaultParagraphFont"/>
    <w:uiPriority w:val="99"/>
    <w:semiHidden/>
    <w:unhideWhenUsed/>
    <w:rsid w:val="00EB11EB"/>
    <w:rPr>
      <w:sz w:val="16"/>
      <w:szCs w:val="16"/>
    </w:rPr>
  </w:style>
  <w:style w:type="paragraph" w:styleId="CommentText">
    <w:name w:val="annotation text"/>
    <w:basedOn w:val="Normal"/>
    <w:link w:val="CommentTextChar"/>
    <w:uiPriority w:val="99"/>
    <w:semiHidden/>
    <w:unhideWhenUsed/>
    <w:rsid w:val="00EB11EB"/>
  </w:style>
  <w:style w:type="character" w:customStyle="1" w:styleId="CommentTextChar">
    <w:name w:val="Comment Text Char"/>
    <w:basedOn w:val="DefaultParagraphFont"/>
    <w:link w:val="CommentText"/>
    <w:uiPriority w:val="99"/>
    <w:semiHidden/>
    <w:rsid w:val="00EB11E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B11EB"/>
    <w:rPr>
      <w:b/>
      <w:bCs/>
    </w:rPr>
  </w:style>
  <w:style w:type="character" w:customStyle="1" w:styleId="CommentSubjectChar">
    <w:name w:val="Comment Subject Char"/>
    <w:basedOn w:val="CommentTextChar"/>
    <w:link w:val="CommentSubject"/>
    <w:uiPriority w:val="99"/>
    <w:semiHidden/>
    <w:rsid w:val="00EB11EB"/>
    <w:rPr>
      <w:rFonts w:ascii="Times New Roman" w:hAnsi="Times New Roman" w:cs="Times New Roman"/>
      <w:b/>
      <w:bCs/>
      <w:sz w:val="20"/>
      <w:szCs w:val="20"/>
    </w:rPr>
  </w:style>
  <w:style w:type="paragraph" w:styleId="Revision">
    <w:name w:val="Revision"/>
    <w:hidden/>
    <w:uiPriority w:val="99"/>
    <w:semiHidden/>
    <w:rsid w:val="007A6679"/>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067"/>
    <w:pPr>
      <w:tabs>
        <w:tab w:val="center" w:pos="4513"/>
        <w:tab w:val="right" w:pos="9026"/>
      </w:tabs>
    </w:pPr>
  </w:style>
  <w:style w:type="character" w:customStyle="1" w:styleId="HeaderChar">
    <w:name w:val="Header Char"/>
    <w:basedOn w:val="DefaultParagraphFont"/>
    <w:link w:val="Header"/>
    <w:uiPriority w:val="99"/>
    <w:rsid w:val="00865067"/>
    <w:rPr>
      <w:rFonts w:ascii="Times New Roman" w:hAnsi="Times New Roman" w:cs="Times New Roman"/>
      <w:sz w:val="20"/>
      <w:szCs w:val="20"/>
    </w:rPr>
  </w:style>
  <w:style w:type="paragraph" w:styleId="Footer">
    <w:name w:val="footer"/>
    <w:basedOn w:val="Normal"/>
    <w:link w:val="FooterChar"/>
    <w:uiPriority w:val="99"/>
    <w:unhideWhenUsed/>
    <w:rsid w:val="00865067"/>
    <w:pPr>
      <w:tabs>
        <w:tab w:val="center" w:pos="4513"/>
        <w:tab w:val="right" w:pos="9026"/>
      </w:tabs>
    </w:pPr>
  </w:style>
  <w:style w:type="character" w:customStyle="1" w:styleId="FooterChar">
    <w:name w:val="Footer Char"/>
    <w:basedOn w:val="DefaultParagraphFont"/>
    <w:link w:val="Footer"/>
    <w:uiPriority w:val="99"/>
    <w:rsid w:val="00865067"/>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865067"/>
    <w:rPr>
      <w:rFonts w:ascii="Tahoma" w:hAnsi="Tahoma" w:cs="Tahoma"/>
      <w:sz w:val="16"/>
      <w:szCs w:val="16"/>
    </w:rPr>
  </w:style>
  <w:style w:type="character" w:customStyle="1" w:styleId="BalloonTextChar">
    <w:name w:val="Balloon Text Char"/>
    <w:basedOn w:val="DefaultParagraphFont"/>
    <w:link w:val="BalloonText"/>
    <w:uiPriority w:val="99"/>
    <w:semiHidden/>
    <w:rsid w:val="00865067"/>
    <w:rPr>
      <w:rFonts w:ascii="Tahoma" w:hAnsi="Tahoma" w:cs="Tahoma"/>
      <w:sz w:val="16"/>
      <w:szCs w:val="16"/>
    </w:rPr>
  </w:style>
  <w:style w:type="character" w:styleId="CommentReference">
    <w:name w:val="annotation reference"/>
    <w:basedOn w:val="DefaultParagraphFont"/>
    <w:uiPriority w:val="99"/>
    <w:semiHidden/>
    <w:unhideWhenUsed/>
    <w:rsid w:val="00EB11EB"/>
    <w:rPr>
      <w:sz w:val="16"/>
      <w:szCs w:val="16"/>
    </w:rPr>
  </w:style>
  <w:style w:type="paragraph" w:styleId="CommentText">
    <w:name w:val="annotation text"/>
    <w:basedOn w:val="Normal"/>
    <w:link w:val="CommentTextChar"/>
    <w:uiPriority w:val="99"/>
    <w:semiHidden/>
    <w:unhideWhenUsed/>
    <w:rsid w:val="00EB11EB"/>
  </w:style>
  <w:style w:type="character" w:customStyle="1" w:styleId="CommentTextChar">
    <w:name w:val="Comment Text Char"/>
    <w:basedOn w:val="DefaultParagraphFont"/>
    <w:link w:val="CommentText"/>
    <w:uiPriority w:val="99"/>
    <w:semiHidden/>
    <w:rsid w:val="00EB11E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B11EB"/>
    <w:rPr>
      <w:b/>
      <w:bCs/>
    </w:rPr>
  </w:style>
  <w:style w:type="character" w:customStyle="1" w:styleId="CommentSubjectChar">
    <w:name w:val="Comment Subject Char"/>
    <w:basedOn w:val="CommentTextChar"/>
    <w:link w:val="CommentSubject"/>
    <w:uiPriority w:val="99"/>
    <w:semiHidden/>
    <w:rsid w:val="00EB11EB"/>
    <w:rPr>
      <w:rFonts w:ascii="Times New Roman" w:hAnsi="Times New Roman" w:cs="Times New Roman"/>
      <w:b/>
      <w:bCs/>
      <w:sz w:val="20"/>
      <w:szCs w:val="20"/>
    </w:rPr>
  </w:style>
  <w:style w:type="paragraph" w:styleId="Revision">
    <w:name w:val="Revision"/>
    <w:hidden/>
    <w:uiPriority w:val="99"/>
    <w:semiHidden/>
    <w:rsid w:val="007A6679"/>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tts0009</dc:creator>
  <cp:lastModifiedBy>Harper, Michael</cp:lastModifiedBy>
  <cp:revision>3</cp:revision>
  <dcterms:created xsi:type="dcterms:W3CDTF">2018-10-11T00:33:00Z</dcterms:created>
  <dcterms:modified xsi:type="dcterms:W3CDTF">2019-09-08T05:28:00Z</dcterms:modified>
</cp:coreProperties>
</file>