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B0D" w:rsidRPr="007D35C4" w:rsidRDefault="00BC2D96" w:rsidP="003054E5">
      <w:pPr>
        <w:ind w:left="1440" w:right="1440"/>
        <w:jc w:val="center"/>
        <w:rPr>
          <w:rFonts w:ascii="Times New Roman" w:hAnsi="Times New Roman" w:cs="Times New Roman"/>
          <w:b/>
          <w:bCs/>
          <w:sz w:val="32"/>
        </w:rPr>
      </w:pPr>
      <w:bookmarkStart w:id="0" w:name="bookmark0"/>
      <w:r w:rsidRPr="007D35C4">
        <w:rPr>
          <w:rFonts w:ascii="Times New Roman" w:hAnsi="Times New Roman" w:cs="Times New Roman"/>
          <w:b/>
          <w:bCs/>
          <w:sz w:val="32"/>
        </w:rPr>
        <w:t>TERRITORY AUTHORITIES (FINANCIAL PROVISIONS) ACT 1978</w:t>
      </w:r>
      <w:bookmarkEnd w:id="0"/>
    </w:p>
    <w:p w:rsidR="00B86B0D" w:rsidRPr="007D35C4" w:rsidRDefault="00BC2D96" w:rsidP="007D35C4">
      <w:pPr>
        <w:spacing w:before="360" w:after="360"/>
        <w:jc w:val="center"/>
        <w:rPr>
          <w:rFonts w:ascii="Times New Roman" w:hAnsi="Times New Roman" w:cs="Times New Roman"/>
          <w:b/>
          <w:bCs/>
          <w:sz w:val="28"/>
        </w:rPr>
      </w:pPr>
      <w:bookmarkStart w:id="1" w:name="bookmark1"/>
      <w:r w:rsidRPr="007D35C4">
        <w:rPr>
          <w:rFonts w:ascii="Times New Roman" w:hAnsi="Times New Roman" w:cs="Times New Roman"/>
          <w:b/>
          <w:bCs/>
          <w:sz w:val="28"/>
        </w:rPr>
        <w:t>No. 6 of 1978</w:t>
      </w:r>
      <w:bookmarkEnd w:id="1"/>
    </w:p>
    <w:p w:rsidR="00B86B0D" w:rsidRPr="00EF4351" w:rsidRDefault="00BC2D96" w:rsidP="007D35C4">
      <w:pPr>
        <w:spacing w:after="240"/>
        <w:jc w:val="both"/>
        <w:rPr>
          <w:rFonts w:ascii="Times New Roman" w:hAnsi="Times New Roman" w:cs="Times New Roman"/>
        </w:rPr>
      </w:pPr>
      <w:r w:rsidRPr="00EF4351">
        <w:rPr>
          <w:rFonts w:ascii="Times New Roman" w:hAnsi="Times New Roman" w:cs="Times New Roman"/>
        </w:rPr>
        <w:t>An Act relating to moneys appropriated for the purposes of certain authorities of the Territories, the borrowing of moneys by such authorities and the liability of such authorities to taxation.</w:t>
      </w:r>
    </w:p>
    <w:p w:rsidR="00B86B0D" w:rsidRPr="00EF4351" w:rsidRDefault="00BC2D96" w:rsidP="00CC1815">
      <w:pPr>
        <w:spacing w:after="60"/>
        <w:ind w:firstLine="432"/>
        <w:jc w:val="both"/>
        <w:rPr>
          <w:rFonts w:ascii="Times New Roman" w:hAnsi="Times New Roman" w:cs="Times New Roman"/>
        </w:rPr>
      </w:pPr>
      <w:r w:rsidRPr="00EF4351">
        <w:rPr>
          <w:rFonts w:ascii="Times New Roman" w:hAnsi="Times New Roman" w:cs="Times New Roman"/>
        </w:rPr>
        <w:t>BE IT ENACTED by the Queen, and the Senate and House of Representatives of the Commonwealth of Australia, as follows:</w:t>
      </w:r>
    </w:p>
    <w:p w:rsidR="00B86B0D" w:rsidRPr="00CC1815" w:rsidRDefault="00BC2D96" w:rsidP="00CC1815">
      <w:pPr>
        <w:spacing w:before="120" w:after="60"/>
        <w:jc w:val="both"/>
        <w:rPr>
          <w:rFonts w:ascii="Times New Roman" w:hAnsi="Times New Roman" w:cs="Times New Roman"/>
          <w:b/>
          <w:sz w:val="20"/>
        </w:rPr>
      </w:pPr>
      <w:r w:rsidRPr="00CC1815">
        <w:rPr>
          <w:rFonts w:ascii="Times New Roman" w:hAnsi="Times New Roman" w:cs="Times New Roman"/>
          <w:b/>
          <w:sz w:val="20"/>
        </w:rPr>
        <w:t>Short title</w:t>
      </w:r>
    </w:p>
    <w:p w:rsidR="00B86B0D" w:rsidRPr="00EF4351" w:rsidRDefault="00BC2D96" w:rsidP="00CC1815">
      <w:pPr>
        <w:spacing w:after="60"/>
        <w:ind w:firstLine="432"/>
        <w:jc w:val="both"/>
        <w:rPr>
          <w:rFonts w:ascii="Times New Roman" w:hAnsi="Times New Roman" w:cs="Times New Roman"/>
        </w:rPr>
      </w:pPr>
      <w:r w:rsidRPr="00EF4351">
        <w:rPr>
          <w:rFonts w:ascii="Times New Roman" w:hAnsi="Times New Roman" w:cs="Times New Roman"/>
          <w:b/>
          <w:bCs/>
        </w:rPr>
        <w:t>1.</w:t>
      </w:r>
      <w:r w:rsidRPr="00EF4351">
        <w:rPr>
          <w:rFonts w:ascii="Times New Roman" w:hAnsi="Times New Roman" w:cs="Times New Roman"/>
        </w:rPr>
        <w:t xml:space="preserve"> This Act may be cited as the </w:t>
      </w:r>
      <w:r w:rsidRPr="00EF4351">
        <w:rPr>
          <w:rFonts w:ascii="Times New Roman" w:hAnsi="Times New Roman" w:cs="Times New Roman"/>
          <w:i/>
          <w:iCs/>
        </w:rPr>
        <w:t>Territory Authorities (Financial Provisions) Act</w:t>
      </w:r>
      <w:r w:rsidRPr="00EF4351">
        <w:rPr>
          <w:rFonts w:ascii="Times New Roman" w:hAnsi="Times New Roman" w:cs="Times New Roman"/>
        </w:rPr>
        <w:t xml:space="preserve"> 1978.</w:t>
      </w:r>
    </w:p>
    <w:p w:rsidR="00B86B0D" w:rsidRPr="00CC1815" w:rsidRDefault="00BC2D96" w:rsidP="00CC1815">
      <w:pPr>
        <w:tabs>
          <w:tab w:val="left" w:leader="dot" w:pos="7632"/>
        </w:tabs>
        <w:spacing w:before="120" w:after="60"/>
        <w:jc w:val="both"/>
        <w:rPr>
          <w:rFonts w:ascii="Times New Roman" w:hAnsi="Times New Roman" w:cs="Times New Roman"/>
          <w:b/>
          <w:sz w:val="20"/>
        </w:rPr>
      </w:pPr>
      <w:r w:rsidRPr="00CC1815">
        <w:rPr>
          <w:rFonts w:ascii="Times New Roman" w:hAnsi="Times New Roman" w:cs="Times New Roman"/>
          <w:b/>
          <w:sz w:val="20"/>
        </w:rPr>
        <w:t>Commencement</w:t>
      </w:r>
    </w:p>
    <w:p w:rsidR="00B86B0D" w:rsidRPr="00EF4351" w:rsidRDefault="00BC2D96" w:rsidP="00CC1815">
      <w:pPr>
        <w:spacing w:after="60"/>
        <w:ind w:firstLine="432"/>
        <w:jc w:val="both"/>
        <w:rPr>
          <w:rFonts w:ascii="Times New Roman" w:hAnsi="Times New Roman" w:cs="Times New Roman"/>
        </w:rPr>
      </w:pPr>
      <w:r w:rsidRPr="00EF4351">
        <w:rPr>
          <w:rFonts w:ascii="Times New Roman" w:hAnsi="Times New Roman" w:cs="Times New Roman"/>
          <w:b/>
          <w:bCs/>
        </w:rPr>
        <w:t>2.</w:t>
      </w:r>
      <w:r w:rsidRPr="00EF4351">
        <w:rPr>
          <w:rFonts w:ascii="Times New Roman" w:hAnsi="Times New Roman" w:cs="Times New Roman"/>
        </w:rPr>
        <w:t xml:space="preserve"> This Act shall come into operation on the day on which it receives the Royal Assent.</w:t>
      </w:r>
    </w:p>
    <w:p w:rsidR="00B86B0D" w:rsidRPr="00B871D9" w:rsidRDefault="00BC2D96" w:rsidP="00B871D9">
      <w:pPr>
        <w:tabs>
          <w:tab w:val="left" w:leader="dot" w:pos="7632"/>
        </w:tabs>
        <w:spacing w:before="120" w:after="60"/>
        <w:jc w:val="both"/>
        <w:rPr>
          <w:rFonts w:ascii="Times New Roman" w:hAnsi="Times New Roman" w:cs="Times New Roman"/>
          <w:b/>
          <w:sz w:val="20"/>
        </w:rPr>
      </w:pPr>
      <w:r w:rsidRPr="00B871D9">
        <w:rPr>
          <w:rFonts w:ascii="Times New Roman" w:hAnsi="Times New Roman" w:cs="Times New Roman"/>
          <w:b/>
          <w:sz w:val="20"/>
        </w:rPr>
        <w:t>Repeal</w:t>
      </w:r>
    </w:p>
    <w:p w:rsidR="00B86B0D" w:rsidRPr="00EF4351" w:rsidRDefault="00BC2D96" w:rsidP="00CC1815">
      <w:pPr>
        <w:spacing w:after="60"/>
        <w:ind w:firstLine="432"/>
        <w:jc w:val="both"/>
        <w:rPr>
          <w:rFonts w:ascii="Times New Roman" w:hAnsi="Times New Roman" w:cs="Times New Roman"/>
        </w:rPr>
      </w:pPr>
      <w:r w:rsidRPr="00EF4351">
        <w:rPr>
          <w:rFonts w:ascii="Times New Roman" w:hAnsi="Times New Roman" w:cs="Times New Roman"/>
          <w:b/>
          <w:bCs/>
        </w:rPr>
        <w:t>3.</w:t>
      </w:r>
      <w:r w:rsidRPr="00EF4351">
        <w:rPr>
          <w:rFonts w:ascii="Times New Roman" w:hAnsi="Times New Roman" w:cs="Times New Roman"/>
        </w:rPr>
        <w:t xml:space="preserve"> The </w:t>
      </w:r>
      <w:r w:rsidRPr="00EF4351">
        <w:rPr>
          <w:rFonts w:ascii="Times New Roman" w:hAnsi="Times New Roman" w:cs="Times New Roman"/>
          <w:i/>
          <w:iCs/>
        </w:rPr>
        <w:t>Territory Authorities (Financial Provisions) Act</w:t>
      </w:r>
      <w:r w:rsidRPr="00EF4351">
        <w:rPr>
          <w:rFonts w:ascii="Times New Roman" w:hAnsi="Times New Roman" w:cs="Times New Roman"/>
        </w:rPr>
        <w:t xml:space="preserve"> 1973 is repealed.</w:t>
      </w:r>
    </w:p>
    <w:p w:rsidR="00B86B0D" w:rsidRPr="00CC1815" w:rsidRDefault="00BC2D96" w:rsidP="00CC1815">
      <w:pPr>
        <w:spacing w:before="120" w:after="60"/>
        <w:jc w:val="both"/>
        <w:rPr>
          <w:rFonts w:ascii="Times New Roman" w:hAnsi="Times New Roman" w:cs="Times New Roman"/>
          <w:b/>
          <w:sz w:val="20"/>
        </w:rPr>
      </w:pPr>
      <w:r w:rsidRPr="00CC1815">
        <w:rPr>
          <w:rFonts w:ascii="Times New Roman" w:hAnsi="Times New Roman" w:cs="Times New Roman"/>
          <w:b/>
          <w:sz w:val="20"/>
        </w:rPr>
        <w:t>Interpretation</w:t>
      </w:r>
    </w:p>
    <w:p w:rsidR="00B86B0D" w:rsidRPr="00EF4351" w:rsidRDefault="00BC2D96" w:rsidP="00CC1815">
      <w:pPr>
        <w:spacing w:after="60"/>
        <w:ind w:firstLine="432"/>
        <w:jc w:val="both"/>
        <w:rPr>
          <w:rFonts w:ascii="Times New Roman" w:hAnsi="Times New Roman" w:cs="Times New Roman"/>
        </w:rPr>
      </w:pPr>
      <w:r w:rsidRPr="00EF4351">
        <w:rPr>
          <w:rFonts w:ascii="Times New Roman" w:hAnsi="Times New Roman" w:cs="Times New Roman"/>
          <w:b/>
          <w:bCs/>
        </w:rPr>
        <w:t>4.</w:t>
      </w:r>
      <w:r w:rsidRPr="00EF4351">
        <w:rPr>
          <w:rFonts w:ascii="Times New Roman" w:hAnsi="Times New Roman" w:cs="Times New Roman"/>
        </w:rPr>
        <w:t xml:space="preserve"> (1) In this Act, unless the contrary intention appears, “authority” means a body corporate established for a public purpose by or under a law of a Territory.</w:t>
      </w:r>
    </w:p>
    <w:p w:rsidR="00D81472" w:rsidRDefault="00D81472" w:rsidP="00D81472">
      <w:pPr>
        <w:spacing w:before="60" w:after="60"/>
        <w:ind w:left="792" w:hanging="360"/>
        <w:jc w:val="both"/>
        <w:rPr>
          <w:rFonts w:ascii="Times New Roman" w:hAnsi="Times New Roman" w:cs="Times New Roman"/>
          <w:sz w:val="2"/>
          <w:szCs w:val="2"/>
        </w:rPr>
      </w:pPr>
    </w:p>
    <w:p w:rsidR="00B86B0D" w:rsidRPr="00EF4351" w:rsidRDefault="00BC2D96" w:rsidP="00D81472">
      <w:pPr>
        <w:spacing w:after="60"/>
        <w:ind w:firstLine="432"/>
        <w:jc w:val="both"/>
        <w:rPr>
          <w:rFonts w:ascii="Times New Roman" w:hAnsi="Times New Roman" w:cs="Times New Roman"/>
        </w:rPr>
      </w:pPr>
      <w:r w:rsidRPr="00EF4351">
        <w:rPr>
          <w:rFonts w:ascii="Times New Roman" w:hAnsi="Times New Roman" w:cs="Times New Roman"/>
        </w:rPr>
        <w:t>(2) A reference in a section of this Act to an authority to which that section applies shall be read as a reference to an authority declared by the regulations to be an authority to which that section applies.</w:t>
      </w:r>
    </w:p>
    <w:p w:rsidR="00B86B0D" w:rsidRPr="00CC1815" w:rsidRDefault="00BC2D96" w:rsidP="00CC1815">
      <w:pPr>
        <w:spacing w:before="120" w:after="60"/>
        <w:jc w:val="both"/>
        <w:rPr>
          <w:rFonts w:ascii="Times New Roman" w:hAnsi="Times New Roman" w:cs="Times New Roman"/>
          <w:b/>
          <w:sz w:val="20"/>
        </w:rPr>
      </w:pPr>
      <w:r w:rsidRPr="00CC1815">
        <w:rPr>
          <w:rFonts w:ascii="Times New Roman" w:hAnsi="Times New Roman" w:cs="Times New Roman"/>
          <w:b/>
          <w:sz w:val="20"/>
        </w:rPr>
        <w:t>Extension of Act to Territories</w:t>
      </w:r>
    </w:p>
    <w:p w:rsidR="00B86B0D" w:rsidRPr="00EF4351" w:rsidRDefault="00BC2D96" w:rsidP="00CC1815">
      <w:pPr>
        <w:spacing w:after="60"/>
        <w:ind w:firstLine="432"/>
        <w:jc w:val="both"/>
        <w:rPr>
          <w:rFonts w:ascii="Times New Roman" w:hAnsi="Times New Roman" w:cs="Times New Roman"/>
        </w:rPr>
      </w:pPr>
      <w:r w:rsidRPr="00EF4351">
        <w:rPr>
          <w:rFonts w:ascii="Times New Roman" w:hAnsi="Times New Roman" w:cs="Times New Roman"/>
          <w:b/>
          <w:bCs/>
        </w:rPr>
        <w:t>5.</w:t>
      </w:r>
      <w:r w:rsidRPr="00EF4351">
        <w:rPr>
          <w:rFonts w:ascii="Times New Roman" w:hAnsi="Times New Roman" w:cs="Times New Roman"/>
        </w:rPr>
        <w:t xml:space="preserve"> This Act extends to every external Territory.</w:t>
      </w:r>
    </w:p>
    <w:p w:rsidR="00B86B0D" w:rsidRPr="00CC1815" w:rsidRDefault="00BC2D96" w:rsidP="00CC1815">
      <w:pPr>
        <w:spacing w:before="120" w:after="60"/>
        <w:jc w:val="both"/>
        <w:rPr>
          <w:rFonts w:ascii="Times New Roman" w:hAnsi="Times New Roman" w:cs="Times New Roman"/>
          <w:b/>
          <w:sz w:val="20"/>
        </w:rPr>
      </w:pPr>
      <w:r w:rsidRPr="00CC1815">
        <w:rPr>
          <w:rFonts w:ascii="Times New Roman" w:hAnsi="Times New Roman" w:cs="Times New Roman"/>
          <w:b/>
          <w:sz w:val="20"/>
        </w:rPr>
        <w:t>Payment of moneys appropriated for the purposes of certain authorities</w:t>
      </w:r>
    </w:p>
    <w:p w:rsidR="00B86B0D" w:rsidRPr="00EF4351" w:rsidRDefault="00BC2D96" w:rsidP="00CC1815">
      <w:pPr>
        <w:spacing w:after="60"/>
        <w:ind w:firstLine="432"/>
        <w:jc w:val="both"/>
        <w:rPr>
          <w:rFonts w:ascii="Times New Roman" w:hAnsi="Times New Roman" w:cs="Times New Roman"/>
        </w:rPr>
      </w:pPr>
      <w:r w:rsidRPr="00EF4351">
        <w:rPr>
          <w:rFonts w:ascii="Times New Roman" w:hAnsi="Times New Roman" w:cs="Times New Roman"/>
          <w:b/>
          <w:bCs/>
        </w:rPr>
        <w:t>6.</w:t>
      </w:r>
      <w:r w:rsidRPr="00EF4351">
        <w:rPr>
          <w:rFonts w:ascii="Times New Roman" w:hAnsi="Times New Roman" w:cs="Times New Roman"/>
        </w:rPr>
        <w:t xml:space="preserve"> (1) Moneys appropriated by the Parliament for the purposes of an authority to which this section applies (not being moneys appropriated for the purpose of being lent to the authority) are, subject to sub-section (2), payable to the authority.</w:t>
      </w:r>
    </w:p>
    <w:p w:rsidR="00D81472" w:rsidRDefault="00D81472" w:rsidP="00D81472">
      <w:pPr>
        <w:spacing w:before="60" w:after="60"/>
        <w:ind w:left="792" w:hanging="360"/>
        <w:jc w:val="both"/>
        <w:rPr>
          <w:rFonts w:ascii="Times New Roman" w:hAnsi="Times New Roman" w:cs="Times New Roman"/>
          <w:sz w:val="2"/>
          <w:szCs w:val="2"/>
        </w:rPr>
      </w:pPr>
    </w:p>
    <w:p w:rsidR="00B86B0D" w:rsidRPr="00EF4351" w:rsidRDefault="00BC2D96" w:rsidP="00D81472">
      <w:pPr>
        <w:spacing w:after="60"/>
        <w:ind w:firstLine="432"/>
        <w:jc w:val="both"/>
        <w:rPr>
          <w:rFonts w:ascii="Times New Roman" w:hAnsi="Times New Roman" w:cs="Times New Roman"/>
        </w:rPr>
      </w:pPr>
      <w:r w:rsidRPr="00EF4351">
        <w:rPr>
          <w:rFonts w:ascii="Times New Roman" w:hAnsi="Times New Roman" w:cs="Times New Roman"/>
        </w:rPr>
        <w:t>(2) The Minister of State for Finance may give directions as to the amounts in which, and the times at which, the moneys are to be paid to the authority.</w:t>
      </w:r>
    </w:p>
    <w:p w:rsidR="00B86B0D" w:rsidRPr="00CC1815" w:rsidRDefault="00BC2D96" w:rsidP="00CC1815">
      <w:pPr>
        <w:spacing w:before="120" w:after="60"/>
        <w:jc w:val="both"/>
        <w:rPr>
          <w:rFonts w:ascii="Times New Roman" w:hAnsi="Times New Roman" w:cs="Times New Roman"/>
          <w:b/>
          <w:sz w:val="20"/>
        </w:rPr>
      </w:pPr>
      <w:r w:rsidRPr="00CC1815">
        <w:rPr>
          <w:rFonts w:ascii="Times New Roman" w:hAnsi="Times New Roman" w:cs="Times New Roman"/>
          <w:b/>
          <w:sz w:val="20"/>
        </w:rPr>
        <w:t>Borrowing by certain authorities.</w:t>
      </w:r>
    </w:p>
    <w:p w:rsidR="00255D51" w:rsidRDefault="00BC2D96" w:rsidP="00CC1815">
      <w:pPr>
        <w:spacing w:after="60"/>
        <w:ind w:firstLine="432"/>
        <w:jc w:val="both"/>
        <w:rPr>
          <w:rFonts w:ascii="Times New Roman" w:hAnsi="Times New Roman" w:cs="Times New Roman"/>
        </w:rPr>
      </w:pPr>
      <w:r w:rsidRPr="00EF4351">
        <w:rPr>
          <w:rFonts w:ascii="Times New Roman" w:hAnsi="Times New Roman" w:cs="Times New Roman"/>
          <w:b/>
          <w:bCs/>
        </w:rPr>
        <w:t>7.</w:t>
      </w:r>
      <w:r w:rsidRPr="00EF4351">
        <w:rPr>
          <w:rFonts w:ascii="Times New Roman" w:hAnsi="Times New Roman" w:cs="Times New Roman"/>
        </w:rPr>
        <w:t xml:space="preserve"> (1) The Minister of State for Finance may, on behalf of the Commonwealth, out of moneys appropriated by the Parliament for the purpose, lend to an authority to which this section applies, at such rate of interest and on such other terms and conditions as he determines, moneys that the authority may lawfully borrow.</w:t>
      </w:r>
    </w:p>
    <w:p w:rsidR="00B86B0D" w:rsidRPr="00255D51" w:rsidRDefault="00BC2D96" w:rsidP="00255D51">
      <w:pPr>
        <w:spacing w:after="60"/>
        <w:ind w:firstLine="432"/>
        <w:jc w:val="both"/>
        <w:rPr>
          <w:rFonts w:ascii="Times New Roman" w:hAnsi="Times New Roman" w:cs="Times New Roman"/>
        </w:rPr>
      </w:pPr>
      <w:r w:rsidRPr="00255D51">
        <w:rPr>
          <w:rFonts w:ascii="Times New Roman" w:hAnsi="Times New Roman" w:cs="Times New Roman"/>
        </w:rPr>
        <w:t>(2) The Treasurer may, on behalf of the Commonwealth, guarantee the repayment by an authority to which this section applies of amounts lawfully borrowed by the authority, other than moneys lent under this section, and the payment of interest on amounts so borrowed.</w:t>
      </w:r>
    </w:p>
    <w:p w:rsidR="00B86B0D" w:rsidRPr="0082787F" w:rsidRDefault="00BC2D96" w:rsidP="0082787F">
      <w:pPr>
        <w:spacing w:before="120" w:after="60"/>
        <w:jc w:val="both"/>
        <w:rPr>
          <w:rFonts w:ascii="Times New Roman" w:hAnsi="Times New Roman" w:cs="Times New Roman"/>
          <w:b/>
          <w:sz w:val="20"/>
        </w:rPr>
      </w:pPr>
      <w:r w:rsidRPr="0082787F">
        <w:rPr>
          <w:rFonts w:ascii="Times New Roman" w:hAnsi="Times New Roman" w:cs="Times New Roman"/>
          <w:b/>
          <w:sz w:val="20"/>
        </w:rPr>
        <w:t>Exemption from taxation of certain authorities</w:t>
      </w:r>
    </w:p>
    <w:p w:rsidR="00B86B0D" w:rsidRPr="00255D51" w:rsidRDefault="00BC2D96" w:rsidP="0082787F">
      <w:pPr>
        <w:spacing w:after="60"/>
        <w:ind w:firstLine="432"/>
        <w:jc w:val="both"/>
        <w:rPr>
          <w:rFonts w:ascii="Times New Roman" w:hAnsi="Times New Roman" w:cs="Times New Roman"/>
        </w:rPr>
      </w:pPr>
      <w:r w:rsidRPr="00255D51">
        <w:rPr>
          <w:rFonts w:ascii="Times New Roman" w:hAnsi="Times New Roman" w:cs="Times New Roman"/>
          <w:b/>
          <w:bCs/>
        </w:rPr>
        <w:t>8.</w:t>
      </w:r>
      <w:r w:rsidRPr="00255D51">
        <w:rPr>
          <w:rFonts w:ascii="Times New Roman" w:hAnsi="Times New Roman" w:cs="Times New Roman"/>
        </w:rPr>
        <w:t xml:space="preserve"> (1) Subject to sub-section (2), the authorities set out in Part I of the Schedule are not subject to taxation under any law of the Commonwealth or of a State.</w:t>
      </w:r>
    </w:p>
    <w:p w:rsidR="00D81472" w:rsidRDefault="00D81472" w:rsidP="00D81472">
      <w:pPr>
        <w:spacing w:before="60" w:after="60"/>
        <w:ind w:left="792" w:hanging="360"/>
        <w:jc w:val="both"/>
        <w:rPr>
          <w:rFonts w:ascii="Times New Roman" w:hAnsi="Times New Roman" w:cs="Times New Roman"/>
          <w:sz w:val="2"/>
          <w:szCs w:val="2"/>
        </w:rPr>
      </w:pPr>
    </w:p>
    <w:p w:rsidR="00B86B0D" w:rsidRPr="00255D51" w:rsidRDefault="00BC2D96" w:rsidP="00D81472">
      <w:pPr>
        <w:spacing w:after="60"/>
        <w:ind w:firstLine="432"/>
        <w:jc w:val="both"/>
        <w:rPr>
          <w:rFonts w:ascii="Times New Roman" w:hAnsi="Times New Roman" w:cs="Times New Roman"/>
        </w:rPr>
      </w:pPr>
      <w:r w:rsidRPr="00255D51">
        <w:rPr>
          <w:rFonts w:ascii="Times New Roman" w:hAnsi="Times New Roman" w:cs="Times New Roman"/>
        </w:rPr>
        <w:t>(2) The regulations may provide that sub-section (1) does not apply to a specified authority in relation to a specified law.</w:t>
      </w:r>
    </w:p>
    <w:p w:rsidR="00B86B0D" w:rsidRPr="0082787F" w:rsidRDefault="00BC2D96" w:rsidP="0082787F">
      <w:pPr>
        <w:spacing w:before="120" w:after="60"/>
        <w:jc w:val="both"/>
        <w:rPr>
          <w:rFonts w:ascii="Times New Roman" w:hAnsi="Times New Roman" w:cs="Times New Roman"/>
          <w:b/>
          <w:sz w:val="20"/>
        </w:rPr>
      </w:pPr>
      <w:r w:rsidRPr="0082787F">
        <w:rPr>
          <w:rFonts w:ascii="Times New Roman" w:hAnsi="Times New Roman" w:cs="Times New Roman"/>
          <w:b/>
          <w:sz w:val="20"/>
        </w:rPr>
        <w:t>Liability to taxation of certain authorities</w:t>
      </w:r>
    </w:p>
    <w:p w:rsidR="00B86B0D" w:rsidRPr="00255D51" w:rsidRDefault="00BC2D96" w:rsidP="0082787F">
      <w:pPr>
        <w:spacing w:after="60"/>
        <w:ind w:firstLine="432"/>
        <w:jc w:val="both"/>
        <w:rPr>
          <w:rFonts w:ascii="Times New Roman" w:hAnsi="Times New Roman" w:cs="Times New Roman"/>
        </w:rPr>
      </w:pPr>
      <w:r w:rsidRPr="00255D51">
        <w:rPr>
          <w:rFonts w:ascii="Times New Roman" w:hAnsi="Times New Roman" w:cs="Times New Roman"/>
          <w:b/>
          <w:bCs/>
        </w:rPr>
        <w:t>9.</w:t>
      </w:r>
      <w:r w:rsidRPr="00255D51">
        <w:rPr>
          <w:rFonts w:ascii="Times New Roman" w:hAnsi="Times New Roman" w:cs="Times New Roman"/>
        </w:rPr>
        <w:t xml:space="preserve"> (1) The authorities set out in Part II of the Schedule are subject to taxation under the laws of the Commonwealth.</w:t>
      </w:r>
    </w:p>
    <w:p w:rsidR="00D81472" w:rsidRDefault="00D81472" w:rsidP="00D81472">
      <w:pPr>
        <w:spacing w:before="60" w:after="60"/>
        <w:ind w:left="792" w:hanging="360"/>
        <w:jc w:val="both"/>
        <w:rPr>
          <w:rFonts w:ascii="Times New Roman" w:hAnsi="Times New Roman" w:cs="Times New Roman"/>
          <w:sz w:val="2"/>
          <w:szCs w:val="2"/>
        </w:rPr>
      </w:pPr>
    </w:p>
    <w:p w:rsidR="00B86B0D" w:rsidRPr="00255D51" w:rsidRDefault="00BC2D96" w:rsidP="00D81472">
      <w:pPr>
        <w:spacing w:after="60"/>
        <w:ind w:firstLine="432"/>
        <w:jc w:val="both"/>
        <w:rPr>
          <w:rFonts w:ascii="Times New Roman" w:hAnsi="Times New Roman" w:cs="Times New Roman"/>
        </w:rPr>
      </w:pPr>
      <w:r w:rsidRPr="00255D51">
        <w:rPr>
          <w:rFonts w:ascii="Times New Roman" w:hAnsi="Times New Roman" w:cs="Times New Roman"/>
        </w:rPr>
        <w:t>(2) Subject to sub-section (3), the authorities referred to in sub-section (1) are not subject to taxation under any law of a State.</w:t>
      </w:r>
    </w:p>
    <w:p w:rsidR="00D81472" w:rsidRDefault="00D81472" w:rsidP="00D81472">
      <w:pPr>
        <w:spacing w:before="60" w:after="60"/>
        <w:ind w:left="792" w:hanging="360"/>
        <w:jc w:val="both"/>
        <w:rPr>
          <w:rFonts w:ascii="Times New Roman" w:hAnsi="Times New Roman" w:cs="Times New Roman"/>
          <w:sz w:val="2"/>
          <w:szCs w:val="2"/>
        </w:rPr>
      </w:pPr>
    </w:p>
    <w:p w:rsidR="00B871D9" w:rsidRDefault="00B871D9">
      <w:pPr>
        <w:rPr>
          <w:rFonts w:ascii="Times New Roman" w:hAnsi="Times New Roman" w:cs="Times New Roman"/>
        </w:rPr>
      </w:pPr>
      <w:r>
        <w:rPr>
          <w:rFonts w:ascii="Times New Roman" w:hAnsi="Times New Roman" w:cs="Times New Roman"/>
        </w:rPr>
        <w:br w:type="page"/>
      </w:r>
    </w:p>
    <w:p w:rsidR="00B86B0D" w:rsidRPr="00255D51" w:rsidRDefault="00BC2D96" w:rsidP="00D81472">
      <w:pPr>
        <w:spacing w:after="60"/>
        <w:ind w:firstLine="432"/>
        <w:jc w:val="both"/>
        <w:rPr>
          <w:rFonts w:ascii="Times New Roman" w:hAnsi="Times New Roman" w:cs="Times New Roman"/>
        </w:rPr>
      </w:pPr>
      <w:r w:rsidRPr="00255D51">
        <w:rPr>
          <w:rFonts w:ascii="Times New Roman" w:hAnsi="Times New Roman" w:cs="Times New Roman"/>
        </w:rPr>
        <w:t>(3) The regulations may provide that sub-section (2) does not apply to a specified authority in relation to a specified law.</w:t>
      </w:r>
    </w:p>
    <w:p w:rsidR="00D81472" w:rsidRDefault="00D81472" w:rsidP="00D81472">
      <w:pPr>
        <w:spacing w:before="60" w:after="60"/>
        <w:ind w:left="792" w:hanging="360"/>
        <w:jc w:val="both"/>
        <w:rPr>
          <w:rFonts w:ascii="Times New Roman" w:hAnsi="Times New Roman" w:cs="Times New Roman"/>
          <w:sz w:val="2"/>
          <w:szCs w:val="2"/>
        </w:rPr>
      </w:pPr>
    </w:p>
    <w:p w:rsidR="00B86B0D" w:rsidRPr="00255D51" w:rsidRDefault="00BC2D96" w:rsidP="00D81472">
      <w:pPr>
        <w:spacing w:after="60"/>
        <w:ind w:firstLine="432"/>
        <w:jc w:val="both"/>
        <w:rPr>
          <w:rFonts w:ascii="Times New Roman" w:hAnsi="Times New Roman" w:cs="Times New Roman"/>
        </w:rPr>
      </w:pPr>
      <w:r w:rsidRPr="00255D51">
        <w:rPr>
          <w:rFonts w:ascii="Times New Roman" w:hAnsi="Times New Roman" w:cs="Times New Roman"/>
        </w:rPr>
        <w:t xml:space="preserve">(4) The Canberra Commercial Development Authority is not a public authority for the purposes of paragraph 23(d) of the </w:t>
      </w:r>
      <w:r w:rsidRPr="00255D51">
        <w:rPr>
          <w:rFonts w:ascii="Times New Roman" w:hAnsi="Times New Roman" w:cs="Times New Roman"/>
          <w:i/>
          <w:iCs/>
        </w:rPr>
        <w:t>Income Tax Assessment Act</w:t>
      </w:r>
      <w:r w:rsidRPr="00255D51">
        <w:rPr>
          <w:rFonts w:ascii="Times New Roman" w:hAnsi="Times New Roman" w:cs="Times New Roman"/>
        </w:rPr>
        <w:t xml:space="preserve"> 1936 or paragraph (ii) of item 78 of the First Schedule to the </w:t>
      </w:r>
      <w:r w:rsidRPr="00255D51">
        <w:rPr>
          <w:rFonts w:ascii="Times New Roman" w:hAnsi="Times New Roman" w:cs="Times New Roman"/>
          <w:i/>
          <w:iCs/>
        </w:rPr>
        <w:t>Sales Tax (Exemptions and Classifications) Act</w:t>
      </w:r>
      <w:r w:rsidRPr="00255D51">
        <w:rPr>
          <w:rFonts w:ascii="Times New Roman" w:hAnsi="Times New Roman" w:cs="Times New Roman"/>
        </w:rPr>
        <w:t xml:space="preserve"> 1935.</w:t>
      </w:r>
    </w:p>
    <w:p w:rsidR="00D81472" w:rsidRDefault="00D81472" w:rsidP="00D81472">
      <w:pPr>
        <w:spacing w:before="60" w:after="60"/>
        <w:ind w:left="792" w:hanging="360"/>
        <w:jc w:val="both"/>
        <w:rPr>
          <w:rFonts w:ascii="Times New Roman" w:hAnsi="Times New Roman" w:cs="Times New Roman"/>
          <w:sz w:val="2"/>
          <w:szCs w:val="2"/>
        </w:rPr>
      </w:pPr>
    </w:p>
    <w:p w:rsidR="00B86B0D" w:rsidRPr="00255D51" w:rsidRDefault="00BC2D96" w:rsidP="00D81472">
      <w:pPr>
        <w:spacing w:after="60"/>
        <w:ind w:firstLine="432"/>
        <w:jc w:val="both"/>
        <w:rPr>
          <w:rFonts w:ascii="Times New Roman" w:hAnsi="Times New Roman" w:cs="Times New Roman"/>
        </w:rPr>
      </w:pPr>
      <w:r w:rsidRPr="00255D51">
        <w:rPr>
          <w:rFonts w:ascii="Times New Roman" w:hAnsi="Times New Roman" w:cs="Times New Roman"/>
        </w:rPr>
        <w:t xml:space="preserve">(5) The </w:t>
      </w:r>
      <w:r w:rsidRPr="00255D51">
        <w:rPr>
          <w:rFonts w:ascii="Times New Roman" w:hAnsi="Times New Roman" w:cs="Times New Roman"/>
          <w:i/>
          <w:iCs/>
        </w:rPr>
        <w:t>Income Tax Assessment Act</w:t>
      </w:r>
      <w:r w:rsidRPr="00255D51">
        <w:rPr>
          <w:rFonts w:ascii="Times New Roman" w:hAnsi="Times New Roman" w:cs="Times New Roman"/>
        </w:rPr>
        <w:t xml:space="preserve"> 1936 shall be deemed to have applied in relation to the Canberra Commercial Development Authority at all times since the establishment of that authority as if that authority had not been a public authority for the purposes of paragraph 23(d) of that Act.</w:t>
      </w:r>
    </w:p>
    <w:p w:rsidR="00B86B0D" w:rsidRPr="0082787F" w:rsidRDefault="00BC2D96" w:rsidP="0082787F">
      <w:pPr>
        <w:spacing w:before="120" w:after="60"/>
        <w:jc w:val="both"/>
        <w:rPr>
          <w:rFonts w:ascii="Times New Roman" w:hAnsi="Times New Roman" w:cs="Times New Roman"/>
          <w:b/>
          <w:sz w:val="20"/>
        </w:rPr>
      </w:pPr>
      <w:r w:rsidRPr="0082787F">
        <w:rPr>
          <w:rFonts w:ascii="Times New Roman" w:hAnsi="Times New Roman" w:cs="Times New Roman"/>
          <w:b/>
          <w:sz w:val="20"/>
        </w:rPr>
        <w:t>Regulations</w:t>
      </w:r>
    </w:p>
    <w:p w:rsidR="00B86B0D" w:rsidRPr="00255D51" w:rsidRDefault="00BC2D96" w:rsidP="0082787F">
      <w:pPr>
        <w:spacing w:after="60"/>
        <w:ind w:firstLine="432"/>
        <w:jc w:val="both"/>
        <w:rPr>
          <w:rFonts w:ascii="Times New Roman" w:hAnsi="Times New Roman" w:cs="Times New Roman"/>
        </w:rPr>
      </w:pPr>
      <w:r w:rsidRPr="00255D51">
        <w:rPr>
          <w:rFonts w:ascii="Times New Roman" w:hAnsi="Times New Roman" w:cs="Times New Roman"/>
          <w:b/>
          <w:bCs/>
        </w:rPr>
        <w:t>10.</w:t>
      </w:r>
      <w:r w:rsidRPr="00255D51">
        <w:rPr>
          <w:rFonts w:ascii="Times New Roman" w:hAnsi="Times New Roman" w:cs="Times New Roman"/>
        </w:rPr>
        <w:t xml:space="preserve"> The Governor-General may make regulations, not inconsistent with this Act, prescribing all matters required or permitted by this Act to be prescribed or necessary or convenient to be prescribed for carrying out or giving effect to this Act.</w:t>
      </w:r>
    </w:p>
    <w:p w:rsidR="00B86B0D" w:rsidRPr="00255D51" w:rsidRDefault="00C458E6" w:rsidP="0082787F">
      <w:pPr>
        <w:tabs>
          <w:tab w:val="left" w:pos="3960"/>
        </w:tabs>
        <w:spacing w:before="800" w:after="120"/>
        <w:jc w:val="right"/>
        <w:rPr>
          <w:rFonts w:ascii="Times New Roman" w:hAnsi="Times New Roman" w:cs="Times New Roman"/>
        </w:rPr>
      </w:pPr>
      <w:r>
        <w:rPr>
          <w:rFonts w:ascii="Times New Roman" w:hAnsi="Times New Roman" w:cs="Times New Roman"/>
          <w:noProof/>
          <w:lang w:val="en-AU" w:eastAsia="en-AU" w:bidi="ar-SA"/>
        </w:rPr>
        <mc:AlternateContent>
          <mc:Choice Requires="wps">
            <w:drawing>
              <wp:anchor distT="0" distB="0" distL="114300" distR="114300" simplePos="0" relativeHeight="251659264" behindDoc="0" locked="0" layoutInCell="1" allowOverlap="1">
                <wp:simplePos x="0" y="0"/>
                <wp:positionH relativeFrom="column">
                  <wp:posOffset>2660650</wp:posOffset>
                </wp:positionH>
                <wp:positionV relativeFrom="paragraph">
                  <wp:posOffset>278765</wp:posOffset>
                </wp:positionV>
                <wp:extent cx="7937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79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9.5pt,21.95pt" to="272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" strokecolor="black [3040]"/>
            </w:pict>
          </mc:Fallback>
        </mc:AlternateContent>
      </w:r>
      <w:r w:rsidR="00BC2D96" w:rsidRPr="00255D51">
        <w:rPr>
          <w:rFonts w:ascii="Times New Roman" w:hAnsi="Times New Roman" w:cs="Times New Roman"/>
        </w:rPr>
        <w:t>SCHEDULE</w:t>
      </w:r>
      <w:r w:rsidR="0082787F">
        <w:rPr>
          <w:rFonts w:ascii="Times New Roman" w:hAnsi="Times New Roman" w:cs="Times New Roman"/>
        </w:rPr>
        <w:tab/>
      </w:r>
      <w:r w:rsidR="00BC2D96" w:rsidRPr="00255D51">
        <w:rPr>
          <w:rFonts w:ascii="Times New Roman" w:hAnsi="Times New Roman" w:cs="Times New Roman"/>
        </w:rPr>
        <w:t>Sections 8 and 9</w:t>
      </w:r>
    </w:p>
    <w:p w:rsidR="00B86B0D" w:rsidRPr="00255D51" w:rsidRDefault="00BC2D96" w:rsidP="005A70C3">
      <w:pPr>
        <w:spacing w:before="240" w:after="120"/>
        <w:jc w:val="center"/>
        <w:rPr>
          <w:rFonts w:ascii="Times New Roman" w:hAnsi="Times New Roman" w:cs="Times New Roman"/>
        </w:rPr>
      </w:pPr>
      <w:r w:rsidRPr="00255D51">
        <w:rPr>
          <w:rFonts w:ascii="Times New Roman" w:hAnsi="Times New Roman" w:cs="Times New Roman"/>
        </w:rPr>
        <w:t>PART I—AUTHORITIES EXEMPT FROM TAXATION</w:t>
      </w:r>
    </w:p>
    <w:p w:rsidR="00B86B0D" w:rsidRPr="00255D51" w:rsidRDefault="00BC2D96" w:rsidP="00255D51">
      <w:pPr>
        <w:jc w:val="both"/>
        <w:rPr>
          <w:rFonts w:ascii="Times New Roman" w:hAnsi="Times New Roman" w:cs="Times New Roman"/>
        </w:rPr>
      </w:pPr>
      <w:r w:rsidRPr="00255D51">
        <w:rPr>
          <w:rFonts w:ascii="Times New Roman" w:hAnsi="Times New Roman" w:cs="Times New Roman"/>
        </w:rPr>
        <w:t>Australian Capital Territory Schools Authority</w:t>
      </w:r>
    </w:p>
    <w:p w:rsidR="00B86B0D" w:rsidRPr="00255D51" w:rsidRDefault="00BC2D96" w:rsidP="00255D51">
      <w:pPr>
        <w:jc w:val="both"/>
        <w:rPr>
          <w:rFonts w:ascii="Times New Roman" w:hAnsi="Times New Roman" w:cs="Times New Roman"/>
        </w:rPr>
      </w:pPr>
      <w:r w:rsidRPr="00255D51">
        <w:rPr>
          <w:rFonts w:ascii="Times New Roman" w:hAnsi="Times New Roman" w:cs="Times New Roman"/>
        </w:rPr>
        <w:t>Capital Territory Health Commission</w:t>
      </w:r>
    </w:p>
    <w:p w:rsidR="00B86B0D" w:rsidRPr="00255D51" w:rsidRDefault="00BC2D96" w:rsidP="00255D51">
      <w:pPr>
        <w:jc w:val="both"/>
        <w:rPr>
          <w:rFonts w:ascii="Times New Roman" w:hAnsi="Times New Roman" w:cs="Times New Roman"/>
        </w:rPr>
      </w:pPr>
      <w:r w:rsidRPr="00255D51">
        <w:rPr>
          <w:rFonts w:ascii="Times New Roman" w:hAnsi="Times New Roman" w:cs="Times New Roman"/>
        </w:rPr>
        <w:t>Darwin Community College</w:t>
      </w:r>
    </w:p>
    <w:p w:rsidR="00B86B0D" w:rsidRPr="00255D51" w:rsidRDefault="00BC2D96" w:rsidP="00255D51">
      <w:pPr>
        <w:jc w:val="both"/>
        <w:rPr>
          <w:rFonts w:ascii="Times New Roman" w:hAnsi="Times New Roman" w:cs="Times New Roman"/>
        </w:rPr>
      </w:pPr>
      <w:r w:rsidRPr="00255D51">
        <w:rPr>
          <w:rFonts w:ascii="Times New Roman" w:hAnsi="Times New Roman" w:cs="Times New Roman"/>
        </w:rPr>
        <w:t>Legal Aid Commission (A.C.T.)</w:t>
      </w:r>
    </w:p>
    <w:p w:rsidR="00B86B0D" w:rsidRPr="00255D51" w:rsidRDefault="00BC2D96" w:rsidP="005A70C3">
      <w:pPr>
        <w:spacing w:before="240" w:after="120"/>
        <w:jc w:val="center"/>
        <w:rPr>
          <w:rFonts w:ascii="Times New Roman" w:hAnsi="Times New Roman" w:cs="Times New Roman"/>
        </w:rPr>
      </w:pPr>
      <w:r w:rsidRPr="00255D51">
        <w:rPr>
          <w:rFonts w:ascii="Times New Roman" w:hAnsi="Times New Roman" w:cs="Times New Roman"/>
        </w:rPr>
        <w:t>PART II—AUTHORITIES LIABLE TO TAXATION</w:t>
      </w:r>
    </w:p>
    <w:p w:rsidR="00B86B0D" w:rsidRPr="00255D51" w:rsidRDefault="00BC2D96" w:rsidP="00255D51">
      <w:pPr>
        <w:jc w:val="both"/>
        <w:rPr>
          <w:rFonts w:ascii="Times New Roman" w:hAnsi="Times New Roman" w:cs="Times New Roman"/>
        </w:rPr>
      </w:pPr>
      <w:r w:rsidRPr="00255D51">
        <w:rPr>
          <w:rFonts w:ascii="Times New Roman" w:hAnsi="Times New Roman" w:cs="Times New Roman"/>
        </w:rPr>
        <w:t>Canberra Commercial Development Authority</w:t>
      </w:r>
    </w:p>
    <w:p w:rsidR="00B86B0D" w:rsidRPr="00255D51" w:rsidRDefault="00BC2D96" w:rsidP="00255D51">
      <w:pPr>
        <w:jc w:val="both"/>
        <w:rPr>
          <w:rFonts w:ascii="Times New Roman" w:hAnsi="Times New Roman" w:cs="Times New Roman"/>
        </w:rPr>
      </w:pPr>
      <w:r w:rsidRPr="00255D51">
        <w:rPr>
          <w:rFonts w:ascii="Times New Roman" w:hAnsi="Times New Roman" w:cs="Times New Roman"/>
        </w:rPr>
        <w:t>Canberra Showground Trust</w:t>
      </w:r>
    </w:p>
    <w:p w:rsidR="00B86B0D" w:rsidRPr="00255D51" w:rsidRDefault="00BC2D96" w:rsidP="00255D51">
      <w:pPr>
        <w:jc w:val="both"/>
        <w:rPr>
          <w:rFonts w:ascii="Times New Roman" w:hAnsi="Times New Roman" w:cs="Times New Roman"/>
        </w:rPr>
      </w:pPr>
      <w:r w:rsidRPr="00255D51">
        <w:rPr>
          <w:rFonts w:ascii="Times New Roman" w:hAnsi="Times New Roman" w:cs="Times New Roman"/>
        </w:rPr>
        <w:t>Poker Machine Licensing Board of the Capital Territory</w:t>
      </w:r>
      <w:bookmarkStart w:id="2" w:name="_GoBack"/>
      <w:bookmarkEnd w:id="2"/>
    </w:p>
    <w:sectPr w:rsidR="00B86B0D" w:rsidRPr="00255D51" w:rsidSect="000F1DFA">
      <w:headerReference w:type="even" r:id="rId7"/>
      <w:headerReference w:type="default" r:id="rId8"/>
      <w:type w:val="continuous"/>
      <w:pgSz w:w="11909" w:h="18000"/>
      <w:pgMar w:top="1080" w:right="1080" w:bottom="1080"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522" w:rsidRDefault="008D5522" w:rsidP="00B86B0D">
      <w:r>
        <w:separator/>
      </w:r>
    </w:p>
  </w:endnote>
  <w:endnote w:type="continuationSeparator" w:id="0">
    <w:p w:rsidR="008D5522" w:rsidRDefault="008D5522" w:rsidP="00B8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522" w:rsidRDefault="008D5522">
      <w:r>
        <w:separator/>
      </w:r>
    </w:p>
  </w:footnote>
  <w:footnote w:type="continuationSeparator" w:id="0">
    <w:p w:rsidR="008D5522" w:rsidRDefault="008D5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FA" w:rsidRPr="000F1DFA" w:rsidRDefault="000F1DFA" w:rsidP="000F1DFA">
    <w:pPr>
      <w:pStyle w:val="Header"/>
      <w:tabs>
        <w:tab w:val="clear" w:pos="4680"/>
        <w:tab w:val="clear" w:pos="9360"/>
        <w:tab w:val="center" w:pos="4860"/>
        <w:tab w:val="right" w:pos="9630"/>
      </w:tabs>
      <w:rPr>
        <w:sz w:val="22"/>
      </w:rPr>
    </w:pPr>
    <w:r w:rsidRPr="000F1DFA">
      <w:rPr>
        <w:rFonts w:ascii="Times New Roman" w:hAnsi="Times New Roman" w:cs="Times New Roman"/>
        <w:iCs/>
        <w:color w:val="auto"/>
        <w:sz w:val="22"/>
        <w:szCs w:val="20"/>
        <w:lang w:bidi="ar-SA"/>
      </w:rPr>
      <w:t>1978</w:t>
    </w:r>
    <w:r w:rsidRPr="000F1DFA">
      <w:rPr>
        <w:rFonts w:ascii="Times New Roman" w:hAnsi="Times New Roman" w:cs="Times New Roman"/>
        <w:iCs/>
        <w:color w:val="auto"/>
        <w:sz w:val="22"/>
        <w:szCs w:val="20"/>
        <w:lang w:bidi="ar-SA"/>
      </w:rPr>
      <w:tab/>
    </w:r>
    <w:r w:rsidRPr="000F1DFA">
      <w:rPr>
        <w:rFonts w:ascii="Times New Roman" w:hAnsi="Times New Roman" w:cs="Times New Roman"/>
        <w:i/>
        <w:iCs/>
        <w:color w:val="auto"/>
        <w:sz w:val="22"/>
        <w:szCs w:val="20"/>
        <w:lang w:bidi="ar-SA"/>
      </w:rPr>
      <w:t>Territory Authorities (Financial Provisions)</w:t>
    </w:r>
    <w:r w:rsidRPr="000F1DFA">
      <w:rPr>
        <w:rFonts w:ascii="Times New Roman" w:hAnsi="Times New Roman" w:cs="Times New Roman"/>
        <w:iCs/>
        <w:color w:val="auto"/>
        <w:sz w:val="22"/>
        <w:szCs w:val="20"/>
        <w:lang w:bidi="ar-SA"/>
      </w:rPr>
      <w:tab/>
      <w:t>No. 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FA" w:rsidRPr="000F1DFA" w:rsidRDefault="000F1DFA" w:rsidP="000F1DFA">
    <w:pPr>
      <w:pStyle w:val="Header"/>
      <w:tabs>
        <w:tab w:val="clear" w:pos="4680"/>
        <w:tab w:val="clear" w:pos="9360"/>
        <w:tab w:val="center" w:pos="4860"/>
        <w:tab w:val="right" w:pos="9630"/>
      </w:tabs>
      <w:rPr>
        <w:sz w:val="22"/>
      </w:rPr>
    </w:pPr>
    <w:r w:rsidRPr="000F1DFA">
      <w:rPr>
        <w:rFonts w:ascii="Times New Roman" w:hAnsi="Times New Roman" w:cs="Times New Roman"/>
        <w:iCs/>
        <w:color w:val="auto"/>
        <w:sz w:val="22"/>
        <w:szCs w:val="20"/>
        <w:lang w:bidi="ar-SA"/>
      </w:rPr>
      <w:t>No. 6</w:t>
    </w:r>
    <w:r w:rsidRPr="000F1DFA">
      <w:rPr>
        <w:rFonts w:ascii="Times New Roman" w:hAnsi="Times New Roman" w:cs="Times New Roman"/>
        <w:iCs/>
        <w:color w:val="auto"/>
        <w:sz w:val="22"/>
        <w:szCs w:val="20"/>
        <w:lang w:bidi="ar-SA"/>
      </w:rPr>
      <w:tab/>
    </w:r>
    <w:r w:rsidRPr="000F1DFA">
      <w:rPr>
        <w:rFonts w:ascii="Times New Roman" w:hAnsi="Times New Roman" w:cs="Times New Roman"/>
        <w:i/>
        <w:iCs/>
        <w:color w:val="auto"/>
        <w:sz w:val="22"/>
        <w:szCs w:val="20"/>
        <w:lang w:bidi="ar-SA"/>
      </w:rPr>
      <w:t>Territory Authorities (Financial Provisions)</w:t>
    </w:r>
    <w:r w:rsidRPr="000F1DFA">
      <w:rPr>
        <w:rFonts w:ascii="Times New Roman" w:hAnsi="Times New Roman" w:cs="Times New Roman"/>
        <w:iCs/>
        <w:color w:val="auto"/>
        <w:sz w:val="22"/>
        <w:szCs w:val="20"/>
        <w:lang w:bidi="ar-SA"/>
      </w:rPr>
      <w:tab/>
      <w:t>1978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B0D"/>
    <w:rsid w:val="000F1DFA"/>
    <w:rsid w:val="00255D51"/>
    <w:rsid w:val="003054E5"/>
    <w:rsid w:val="003A1DB8"/>
    <w:rsid w:val="004E37B8"/>
    <w:rsid w:val="005A70C3"/>
    <w:rsid w:val="007A038F"/>
    <w:rsid w:val="007D35C4"/>
    <w:rsid w:val="0082787F"/>
    <w:rsid w:val="008D5522"/>
    <w:rsid w:val="00B86B0D"/>
    <w:rsid w:val="00B871D9"/>
    <w:rsid w:val="00BC2D96"/>
    <w:rsid w:val="00C458E6"/>
    <w:rsid w:val="00CC1815"/>
    <w:rsid w:val="00D81472"/>
    <w:rsid w:val="00EF4351"/>
    <w:rsid w:val="00F7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6B0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86B0D"/>
    <w:rPr>
      <w:color w:val="0066CC"/>
      <w:u w:val="single"/>
    </w:rPr>
  </w:style>
  <w:style w:type="paragraph" w:styleId="Header">
    <w:name w:val="header"/>
    <w:basedOn w:val="Normal"/>
    <w:link w:val="HeaderChar"/>
    <w:uiPriority w:val="99"/>
    <w:unhideWhenUsed/>
    <w:rsid w:val="000F1DFA"/>
    <w:pPr>
      <w:tabs>
        <w:tab w:val="center" w:pos="4680"/>
        <w:tab w:val="right" w:pos="9360"/>
      </w:tabs>
    </w:pPr>
  </w:style>
  <w:style w:type="character" w:customStyle="1" w:styleId="HeaderChar">
    <w:name w:val="Header Char"/>
    <w:basedOn w:val="DefaultParagraphFont"/>
    <w:link w:val="Header"/>
    <w:uiPriority w:val="99"/>
    <w:rsid w:val="000F1DFA"/>
    <w:rPr>
      <w:color w:val="000000"/>
    </w:rPr>
  </w:style>
  <w:style w:type="paragraph" w:styleId="Footer">
    <w:name w:val="footer"/>
    <w:basedOn w:val="Normal"/>
    <w:link w:val="FooterChar"/>
    <w:uiPriority w:val="99"/>
    <w:unhideWhenUsed/>
    <w:rsid w:val="000F1DFA"/>
    <w:pPr>
      <w:tabs>
        <w:tab w:val="center" w:pos="4680"/>
        <w:tab w:val="right" w:pos="9360"/>
      </w:tabs>
    </w:pPr>
  </w:style>
  <w:style w:type="character" w:customStyle="1" w:styleId="FooterChar">
    <w:name w:val="Footer Char"/>
    <w:basedOn w:val="DefaultParagraphFont"/>
    <w:link w:val="Footer"/>
    <w:uiPriority w:val="99"/>
    <w:rsid w:val="000F1DFA"/>
    <w:rPr>
      <w:color w:val="000000"/>
    </w:rPr>
  </w:style>
  <w:style w:type="paragraph" w:styleId="BalloonText">
    <w:name w:val="Balloon Text"/>
    <w:basedOn w:val="Normal"/>
    <w:link w:val="BalloonTextChar"/>
    <w:uiPriority w:val="99"/>
    <w:semiHidden/>
    <w:unhideWhenUsed/>
    <w:rsid w:val="000F1DFA"/>
    <w:rPr>
      <w:rFonts w:ascii="Tahoma" w:hAnsi="Tahoma" w:cs="Tahoma"/>
      <w:sz w:val="16"/>
      <w:szCs w:val="16"/>
    </w:rPr>
  </w:style>
  <w:style w:type="character" w:customStyle="1" w:styleId="BalloonTextChar">
    <w:name w:val="Balloon Text Char"/>
    <w:basedOn w:val="DefaultParagraphFont"/>
    <w:link w:val="BalloonText"/>
    <w:uiPriority w:val="99"/>
    <w:semiHidden/>
    <w:rsid w:val="000F1DFA"/>
    <w:rPr>
      <w:rFonts w:ascii="Tahoma" w:hAnsi="Tahoma" w:cs="Tahoma"/>
      <w:color w:val="000000"/>
      <w:sz w:val="16"/>
      <w:szCs w:val="16"/>
    </w:rPr>
  </w:style>
  <w:style w:type="paragraph" w:styleId="Revision">
    <w:name w:val="Revision"/>
    <w:hidden/>
    <w:uiPriority w:val="99"/>
    <w:semiHidden/>
    <w:rsid w:val="00B871D9"/>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6B0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86B0D"/>
    <w:rPr>
      <w:color w:val="0066CC"/>
      <w:u w:val="single"/>
    </w:rPr>
  </w:style>
  <w:style w:type="paragraph" w:styleId="Header">
    <w:name w:val="header"/>
    <w:basedOn w:val="Normal"/>
    <w:link w:val="HeaderChar"/>
    <w:uiPriority w:val="99"/>
    <w:unhideWhenUsed/>
    <w:rsid w:val="000F1DFA"/>
    <w:pPr>
      <w:tabs>
        <w:tab w:val="center" w:pos="4680"/>
        <w:tab w:val="right" w:pos="9360"/>
      </w:tabs>
    </w:pPr>
  </w:style>
  <w:style w:type="character" w:customStyle="1" w:styleId="HeaderChar">
    <w:name w:val="Header Char"/>
    <w:basedOn w:val="DefaultParagraphFont"/>
    <w:link w:val="Header"/>
    <w:uiPriority w:val="99"/>
    <w:rsid w:val="000F1DFA"/>
    <w:rPr>
      <w:color w:val="000000"/>
    </w:rPr>
  </w:style>
  <w:style w:type="paragraph" w:styleId="Footer">
    <w:name w:val="footer"/>
    <w:basedOn w:val="Normal"/>
    <w:link w:val="FooterChar"/>
    <w:uiPriority w:val="99"/>
    <w:unhideWhenUsed/>
    <w:rsid w:val="000F1DFA"/>
    <w:pPr>
      <w:tabs>
        <w:tab w:val="center" w:pos="4680"/>
        <w:tab w:val="right" w:pos="9360"/>
      </w:tabs>
    </w:pPr>
  </w:style>
  <w:style w:type="character" w:customStyle="1" w:styleId="FooterChar">
    <w:name w:val="Footer Char"/>
    <w:basedOn w:val="DefaultParagraphFont"/>
    <w:link w:val="Footer"/>
    <w:uiPriority w:val="99"/>
    <w:rsid w:val="000F1DFA"/>
    <w:rPr>
      <w:color w:val="000000"/>
    </w:rPr>
  </w:style>
  <w:style w:type="paragraph" w:styleId="BalloonText">
    <w:name w:val="Balloon Text"/>
    <w:basedOn w:val="Normal"/>
    <w:link w:val="BalloonTextChar"/>
    <w:uiPriority w:val="99"/>
    <w:semiHidden/>
    <w:unhideWhenUsed/>
    <w:rsid w:val="000F1DFA"/>
    <w:rPr>
      <w:rFonts w:ascii="Tahoma" w:hAnsi="Tahoma" w:cs="Tahoma"/>
      <w:sz w:val="16"/>
      <w:szCs w:val="16"/>
    </w:rPr>
  </w:style>
  <w:style w:type="character" w:customStyle="1" w:styleId="BalloonTextChar">
    <w:name w:val="Balloon Text Char"/>
    <w:basedOn w:val="DefaultParagraphFont"/>
    <w:link w:val="BalloonText"/>
    <w:uiPriority w:val="99"/>
    <w:semiHidden/>
    <w:rsid w:val="000F1DFA"/>
    <w:rPr>
      <w:rFonts w:ascii="Tahoma" w:hAnsi="Tahoma" w:cs="Tahoma"/>
      <w:color w:val="000000"/>
      <w:sz w:val="16"/>
      <w:szCs w:val="16"/>
    </w:rPr>
  </w:style>
  <w:style w:type="paragraph" w:styleId="Revision">
    <w:name w:val="Revision"/>
    <w:hidden/>
    <w:uiPriority w:val="99"/>
    <w:semiHidden/>
    <w:rsid w:val="00B871D9"/>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16046">
      <w:bodyDiv w:val="1"/>
      <w:marLeft w:val="0"/>
      <w:marRight w:val="0"/>
      <w:marTop w:val="0"/>
      <w:marBottom w:val="0"/>
      <w:divBdr>
        <w:top w:val="none" w:sz="0" w:space="0" w:color="auto"/>
        <w:left w:val="none" w:sz="0" w:space="0" w:color="auto"/>
        <w:bottom w:val="none" w:sz="0" w:space="0" w:color="auto"/>
        <w:right w:val="none" w:sz="0" w:space="0" w:color="auto"/>
      </w:divBdr>
    </w:div>
    <w:div w:id="711005303">
      <w:bodyDiv w:val="1"/>
      <w:marLeft w:val="0"/>
      <w:marRight w:val="0"/>
      <w:marTop w:val="0"/>
      <w:marBottom w:val="0"/>
      <w:divBdr>
        <w:top w:val="none" w:sz="0" w:space="0" w:color="auto"/>
        <w:left w:val="none" w:sz="0" w:space="0" w:color="auto"/>
        <w:bottom w:val="none" w:sz="0" w:space="0" w:color="auto"/>
        <w:right w:val="none" w:sz="0" w:space="0" w:color="auto"/>
      </w:divBdr>
    </w:div>
    <w:div w:id="801462463">
      <w:bodyDiv w:val="1"/>
      <w:marLeft w:val="0"/>
      <w:marRight w:val="0"/>
      <w:marTop w:val="0"/>
      <w:marBottom w:val="0"/>
      <w:divBdr>
        <w:top w:val="none" w:sz="0" w:space="0" w:color="auto"/>
        <w:left w:val="none" w:sz="0" w:space="0" w:color="auto"/>
        <w:bottom w:val="none" w:sz="0" w:space="0" w:color="auto"/>
        <w:right w:val="none" w:sz="0" w:space="0" w:color="auto"/>
      </w:divBdr>
    </w:div>
    <w:div w:id="812403515">
      <w:bodyDiv w:val="1"/>
      <w:marLeft w:val="0"/>
      <w:marRight w:val="0"/>
      <w:marTop w:val="0"/>
      <w:marBottom w:val="0"/>
      <w:divBdr>
        <w:top w:val="none" w:sz="0" w:space="0" w:color="auto"/>
        <w:left w:val="none" w:sz="0" w:space="0" w:color="auto"/>
        <w:bottom w:val="none" w:sz="0" w:space="0" w:color="auto"/>
        <w:right w:val="none" w:sz="0" w:space="0" w:color="auto"/>
      </w:divBdr>
    </w:div>
    <w:div w:id="979117308">
      <w:bodyDiv w:val="1"/>
      <w:marLeft w:val="0"/>
      <w:marRight w:val="0"/>
      <w:marTop w:val="0"/>
      <w:marBottom w:val="0"/>
      <w:divBdr>
        <w:top w:val="none" w:sz="0" w:space="0" w:color="auto"/>
        <w:left w:val="none" w:sz="0" w:space="0" w:color="auto"/>
        <w:bottom w:val="none" w:sz="0" w:space="0" w:color="auto"/>
        <w:right w:val="none" w:sz="0" w:space="0" w:color="auto"/>
      </w:divBdr>
    </w:div>
    <w:div w:id="1676036573">
      <w:bodyDiv w:val="1"/>
      <w:marLeft w:val="0"/>
      <w:marRight w:val="0"/>
      <w:marTop w:val="0"/>
      <w:marBottom w:val="0"/>
      <w:divBdr>
        <w:top w:val="none" w:sz="0" w:space="0" w:color="auto"/>
        <w:left w:val="none" w:sz="0" w:space="0" w:color="auto"/>
        <w:bottom w:val="none" w:sz="0" w:space="0" w:color="auto"/>
        <w:right w:val="none" w:sz="0" w:space="0" w:color="auto"/>
      </w:divBdr>
    </w:div>
    <w:div w:id="1945720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Harper, Michael</cp:lastModifiedBy>
  <cp:revision>8</cp:revision>
  <dcterms:created xsi:type="dcterms:W3CDTF">2018-03-12T05:08:00Z</dcterms:created>
  <dcterms:modified xsi:type="dcterms:W3CDTF">2019-09-06T04:28:00Z</dcterms:modified>
</cp:coreProperties>
</file>