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1F6BF" w14:textId="77777777" w:rsidR="001E395C" w:rsidRPr="007A1C94" w:rsidRDefault="005D59A1" w:rsidP="00E2514F">
      <w:pPr>
        <w:shd w:val="clear" w:color="auto" w:fill="FFFFFF"/>
        <w:ind w:left="1440" w:right="1440"/>
        <w:jc w:val="center"/>
        <w:rPr>
          <w:sz w:val="32"/>
          <w:szCs w:val="22"/>
        </w:rPr>
      </w:pPr>
      <w:r w:rsidRPr="007A1C94">
        <w:rPr>
          <w:b/>
          <w:bCs/>
          <w:sz w:val="32"/>
          <w:szCs w:val="22"/>
          <w:lang w:val="it-IT"/>
        </w:rPr>
        <w:t xml:space="preserve">STATES </w:t>
      </w:r>
      <w:r w:rsidRPr="007A1C94">
        <w:rPr>
          <w:b/>
          <w:bCs/>
          <w:sz w:val="32"/>
          <w:szCs w:val="22"/>
        </w:rPr>
        <w:t>GRANTS (HOUSING ASSISTANCE) ACT 1977</w:t>
      </w:r>
    </w:p>
    <w:p w14:paraId="74E3F1E6" w14:textId="77777777" w:rsidR="001E395C" w:rsidRPr="007A1C94" w:rsidRDefault="005D59A1" w:rsidP="007A1C94">
      <w:pPr>
        <w:shd w:val="clear" w:color="auto" w:fill="FFFFFF"/>
        <w:spacing w:before="240" w:after="360"/>
        <w:jc w:val="center"/>
        <w:rPr>
          <w:sz w:val="28"/>
          <w:szCs w:val="22"/>
        </w:rPr>
      </w:pPr>
      <w:r w:rsidRPr="007A1C94">
        <w:rPr>
          <w:b/>
          <w:bCs/>
          <w:sz w:val="28"/>
          <w:szCs w:val="22"/>
        </w:rPr>
        <w:t>No. 110 of 1977</w:t>
      </w:r>
    </w:p>
    <w:p w14:paraId="67C3EFB3" w14:textId="77777777" w:rsidR="001E395C" w:rsidRPr="007574A2" w:rsidRDefault="005D59A1" w:rsidP="007574A2">
      <w:pPr>
        <w:shd w:val="clear" w:color="auto" w:fill="FFFFFF"/>
        <w:jc w:val="both"/>
        <w:rPr>
          <w:sz w:val="24"/>
          <w:szCs w:val="22"/>
        </w:rPr>
      </w:pPr>
      <w:r w:rsidRPr="007574A2">
        <w:rPr>
          <w:sz w:val="24"/>
          <w:szCs w:val="22"/>
        </w:rPr>
        <w:t xml:space="preserve">An Act to authorize advances to the States of financial assistance in </w:t>
      </w:r>
      <w:proofErr w:type="spellStart"/>
      <w:r w:rsidRPr="007574A2">
        <w:rPr>
          <w:sz w:val="24"/>
          <w:szCs w:val="22"/>
        </w:rPr>
        <w:t>connexion</w:t>
      </w:r>
      <w:proofErr w:type="spellEnd"/>
      <w:r w:rsidRPr="007574A2">
        <w:rPr>
          <w:sz w:val="24"/>
          <w:szCs w:val="22"/>
        </w:rPr>
        <w:t xml:space="preserve"> with housing and to authorize the borrowing of certain moneys by the Commonwealth.</w:t>
      </w:r>
    </w:p>
    <w:p w14:paraId="62CF9CA3" w14:textId="77777777" w:rsidR="001E395C" w:rsidRPr="007574A2" w:rsidRDefault="005D59A1" w:rsidP="007A1C94">
      <w:pPr>
        <w:shd w:val="clear" w:color="auto" w:fill="FFFFFF"/>
        <w:spacing w:before="360" w:after="240"/>
        <w:ind w:firstLine="432"/>
        <w:jc w:val="both"/>
        <w:rPr>
          <w:sz w:val="24"/>
          <w:szCs w:val="22"/>
        </w:rPr>
      </w:pPr>
      <w:r w:rsidRPr="007574A2">
        <w:rPr>
          <w:sz w:val="24"/>
          <w:szCs w:val="22"/>
        </w:rPr>
        <w:t>BE IT ENACTED by the Queen, and the Senate and House of Representatives of the Commonwealth of Australia, as follows:</w:t>
      </w:r>
    </w:p>
    <w:p w14:paraId="51B907A9" w14:textId="77777777" w:rsidR="001E395C" w:rsidRPr="007A1C94" w:rsidRDefault="005D59A1" w:rsidP="007A1C94">
      <w:pPr>
        <w:shd w:val="clear" w:color="auto" w:fill="FFFFFF"/>
        <w:spacing w:before="120" w:after="60"/>
        <w:jc w:val="both"/>
        <w:rPr>
          <w:b/>
          <w:szCs w:val="22"/>
        </w:rPr>
      </w:pPr>
      <w:r w:rsidRPr="007A1C94">
        <w:rPr>
          <w:b/>
          <w:szCs w:val="22"/>
        </w:rPr>
        <w:t>Short title</w:t>
      </w:r>
    </w:p>
    <w:p w14:paraId="4267AE31" w14:textId="505743E9" w:rsidR="001E395C" w:rsidRPr="007574A2" w:rsidRDefault="005D59A1" w:rsidP="007A1C94">
      <w:pPr>
        <w:shd w:val="clear" w:color="auto" w:fill="FFFFFF"/>
        <w:spacing w:after="60"/>
        <w:ind w:firstLine="432"/>
        <w:jc w:val="both"/>
        <w:rPr>
          <w:sz w:val="24"/>
          <w:szCs w:val="22"/>
        </w:rPr>
      </w:pPr>
      <w:r w:rsidRPr="007A1C94">
        <w:rPr>
          <w:b/>
          <w:sz w:val="24"/>
          <w:szCs w:val="22"/>
        </w:rPr>
        <w:t>1.</w:t>
      </w:r>
      <w:r w:rsidRPr="007574A2">
        <w:rPr>
          <w:sz w:val="24"/>
          <w:szCs w:val="22"/>
        </w:rPr>
        <w:t xml:space="preserve"> This Act may be cited as the </w:t>
      </w:r>
      <w:r w:rsidRPr="007574A2">
        <w:rPr>
          <w:i/>
          <w:iCs/>
          <w:sz w:val="24"/>
          <w:szCs w:val="22"/>
        </w:rPr>
        <w:t xml:space="preserve">States Grants </w:t>
      </w:r>
      <w:r w:rsidR="00C649A7" w:rsidRPr="007574A2">
        <w:rPr>
          <w:iCs/>
          <w:sz w:val="24"/>
          <w:szCs w:val="22"/>
        </w:rPr>
        <w:t>(</w:t>
      </w:r>
      <w:r w:rsidRPr="007574A2">
        <w:rPr>
          <w:i/>
          <w:iCs/>
          <w:sz w:val="24"/>
          <w:szCs w:val="22"/>
        </w:rPr>
        <w:t>Housing Assistance</w:t>
      </w:r>
      <w:r w:rsidR="00C649A7" w:rsidRPr="007574A2">
        <w:rPr>
          <w:iCs/>
          <w:sz w:val="24"/>
          <w:szCs w:val="22"/>
        </w:rPr>
        <w:t>)</w:t>
      </w:r>
      <w:r w:rsidRPr="007574A2">
        <w:rPr>
          <w:i/>
          <w:iCs/>
          <w:sz w:val="24"/>
          <w:szCs w:val="22"/>
        </w:rPr>
        <w:t xml:space="preserve"> Act </w:t>
      </w:r>
      <w:r w:rsidRPr="007574A2">
        <w:rPr>
          <w:sz w:val="24"/>
          <w:szCs w:val="22"/>
        </w:rPr>
        <w:t>1977.</w:t>
      </w:r>
    </w:p>
    <w:p w14:paraId="1E9278CD" w14:textId="77777777" w:rsidR="001E395C" w:rsidRPr="007A1C94" w:rsidRDefault="005D59A1" w:rsidP="007A1C94">
      <w:pPr>
        <w:shd w:val="clear" w:color="auto" w:fill="FFFFFF"/>
        <w:spacing w:before="120" w:after="60"/>
        <w:jc w:val="both"/>
        <w:rPr>
          <w:b/>
          <w:szCs w:val="22"/>
        </w:rPr>
      </w:pPr>
      <w:r w:rsidRPr="007A1C94">
        <w:rPr>
          <w:b/>
          <w:szCs w:val="22"/>
        </w:rPr>
        <w:t>Commencement</w:t>
      </w:r>
    </w:p>
    <w:p w14:paraId="743112A2" w14:textId="3ED52A3F" w:rsidR="001E395C" w:rsidRPr="007574A2" w:rsidRDefault="005D59A1" w:rsidP="007A1C94">
      <w:pPr>
        <w:shd w:val="clear" w:color="auto" w:fill="FFFFFF"/>
        <w:spacing w:after="60"/>
        <w:ind w:firstLine="432"/>
        <w:jc w:val="both"/>
        <w:rPr>
          <w:sz w:val="24"/>
          <w:szCs w:val="22"/>
        </w:rPr>
      </w:pPr>
      <w:r w:rsidRPr="007A1C94">
        <w:rPr>
          <w:b/>
          <w:sz w:val="24"/>
          <w:szCs w:val="22"/>
        </w:rPr>
        <w:t>2.</w:t>
      </w:r>
      <w:r w:rsidRPr="007574A2">
        <w:rPr>
          <w:sz w:val="24"/>
          <w:szCs w:val="22"/>
        </w:rPr>
        <w:t xml:space="preserve"> This Act shall come into operation on the day on which it receives the Royal Assent.</w:t>
      </w:r>
    </w:p>
    <w:p w14:paraId="19A4B99B" w14:textId="77777777" w:rsidR="001E395C" w:rsidRPr="007A1C94" w:rsidRDefault="005D59A1" w:rsidP="007A1C94">
      <w:pPr>
        <w:shd w:val="clear" w:color="auto" w:fill="FFFFFF"/>
        <w:spacing w:before="120" w:after="60"/>
        <w:jc w:val="both"/>
        <w:rPr>
          <w:b/>
          <w:szCs w:val="22"/>
        </w:rPr>
      </w:pPr>
      <w:r w:rsidRPr="007A1C94">
        <w:rPr>
          <w:b/>
          <w:szCs w:val="22"/>
        </w:rPr>
        <w:t>Repeal</w:t>
      </w:r>
    </w:p>
    <w:p w14:paraId="5F712063" w14:textId="77777777" w:rsidR="001E395C" w:rsidRPr="007574A2" w:rsidRDefault="005D59A1" w:rsidP="007A1C94">
      <w:pPr>
        <w:shd w:val="clear" w:color="auto" w:fill="FFFFFF"/>
        <w:spacing w:after="60"/>
        <w:ind w:firstLine="432"/>
        <w:jc w:val="both"/>
        <w:rPr>
          <w:sz w:val="24"/>
          <w:szCs w:val="22"/>
        </w:rPr>
      </w:pPr>
      <w:r w:rsidRPr="007A1C94">
        <w:rPr>
          <w:b/>
          <w:sz w:val="24"/>
          <w:szCs w:val="22"/>
        </w:rPr>
        <w:t>3.</w:t>
      </w:r>
      <w:r w:rsidRPr="007574A2">
        <w:rPr>
          <w:sz w:val="24"/>
          <w:szCs w:val="22"/>
        </w:rPr>
        <w:t xml:space="preserve"> The </w:t>
      </w:r>
      <w:r w:rsidRPr="007574A2">
        <w:rPr>
          <w:i/>
          <w:iCs/>
          <w:sz w:val="24"/>
          <w:szCs w:val="22"/>
        </w:rPr>
        <w:t xml:space="preserve">States Grants </w:t>
      </w:r>
      <w:r w:rsidR="00C649A7" w:rsidRPr="007574A2">
        <w:rPr>
          <w:iCs/>
          <w:sz w:val="24"/>
          <w:szCs w:val="22"/>
        </w:rPr>
        <w:t>(</w:t>
      </w:r>
      <w:r w:rsidRPr="007574A2">
        <w:rPr>
          <w:i/>
          <w:iCs/>
          <w:sz w:val="24"/>
          <w:szCs w:val="22"/>
        </w:rPr>
        <w:t>Housing Assistance</w:t>
      </w:r>
      <w:r w:rsidR="00C649A7" w:rsidRPr="007574A2">
        <w:rPr>
          <w:iCs/>
          <w:sz w:val="24"/>
          <w:szCs w:val="22"/>
        </w:rPr>
        <w:t>)</w:t>
      </w:r>
      <w:r w:rsidRPr="007574A2">
        <w:rPr>
          <w:i/>
          <w:iCs/>
          <w:sz w:val="24"/>
          <w:szCs w:val="22"/>
        </w:rPr>
        <w:t xml:space="preserve"> Act </w:t>
      </w:r>
      <w:r w:rsidR="00C649A7" w:rsidRPr="007574A2">
        <w:rPr>
          <w:iCs/>
          <w:sz w:val="24"/>
          <w:szCs w:val="22"/>
        </w:rPr>
        <w:t>(</w:t>
      </w:r>
      <w:r w:rsidRPr="007574A2">
        <w:rPr>
          <w:i/>
          <w:iCs/>
          <w:sz w:val="24"/>
          <w:szCs w:val="22"/>
        </w:rPr>
        <w:t xml:space="preserve">No. </w:t>
      </w:r>
      <w:r w:rsidRPr="007574A2">
        <w:rPr>
          <w:sz w:val="24"/>
          <w:szCs w:val="22"/>
        </w:rPr>
        <w:t>2)</w:t>
      </w:r>
      <w:r w:rsidR="00C649A7" w:rsidRPr="007574A2">
        <w:rPr>
          <w:sz w:val="24"/>
          <w:szCs w:val="22"/>
        </w:rPr>
        <w:t xml:space="preserve"> </w:t>
      </w:r>
      <w:r w:rsidRPr="007574A2">
        <w:rPr>
          <w:sz w:val="24"/>
          <w:szCs w:val="22"/>
        </w:rPr>
        <w:t>1976 is repealed.</w:t>
      </w:r>
    </w:p>
    <w:p w14:paraId="11F44ED5" w14:textId="77777777" w:rsidR="001E395C" w:rsidRPr="007A1C94" w:rsidRDefault="005D59A1" w:rsidP="007A1C94">
      <w:pPr>
        <w:shd w:val="clear" w:color="auto" w:fill="FFFFFF"/>
        <w:spacing w:before="120" w:after="60"/>
        <w:jc w:val="both"/>
        <w:rPr>
          <w:b/>
          <w:szCs w:val="22"/>
        </w:rPr>
      </w:pPr>
      <w:r w:rsidRPr="007A1C94">
        <w:rPr>
          <w:b/>
          <w:szCs w:val="22"/>
        </w:rPr>
        <w:t>Interpretation</w:t>
      </w:r>
    </w:p>
    <w:p w14:paraId="64810530" w14:textId="77777777" w:rsidR="001E395C" w:rsidRPr="007574A2" w:rsidRDefault="005D59A1" w:rsidP="007A1C94">
      <w:pPr>
        <w:shd w:val="clear" w:color="auto" w:fill="FFFFFF"/>
        <w:spacing w:after="60"/>
        <w:ind w:firstLine="432"/>
        <w:jc w:val="both"/>
        <w:rPr>
          <w:sz w:val="24"/>
          <w:szCs w:val="22"/>
        </w:rPr>
      </w:pPr>
      <w:r w:rsidRPr="007A1C94">
        <w:rPr>
          <w:b/>
          <w:sz w:val="24"/>
          <w:szCs w:val="22"/>
        </w:rPr>
        <w:t>4.</w:t>
      </w:r>
      <w:r w:rsidRPr="007574A2">
        <w:rPr>
          <w:sz w:val="24"/>
          <w:szCs w:val="22"/>
        </w:rPr>
        <w:t xml:space="preserve"> In this Act</w:t>
      </w:r>
      <w:r w:rsidRPr="007574A2">
        <w:rPr>
          <w:rFonts w:eastAsia="Times New Roman"/>
          <w:sz w:val="24"/>
          <w:szCs w:val="22"/>
        </w:rPr>
        <w:t>—</w:t>
      </w:r>
    </w:p>
    <w:p w14:paraId="44B0EB0A" w14:textId="77777777" w:rsidR="001E395C" w:rsidRPr="007574A2" w:rsidRDefault="00C649A7" w:rsidP="007A1C94">
      <w:pPr>
        <w:shd w:val="clear" w:color="auto" w:fill="FFFFFF"/>
        <w:spacing w:after="60"/>
        <w:ind w:left="864" w:hanging="432"/>
        <w:jc w:val="both"/>
        <w:rPr>
          <w:sz w:val="24"/>
          <w:szCs w:val="22"/>
        </w:rPr>
      </w:pPr>
      <w:r w:rsidRPr="007574A2">
        <w:rPr>
          <w:sz w:val="24"/>
          <w:szCs w:val="22"/>
        </w:rPr>
        <w:t>“</w:t>
      </w:r>
      <w:r w:rsidR="005D59A1" w:rsidRPr="007574A2">
        <w:rPr>
          <w:sz w:val="24"/>
          <w:szCs w:val="22"/>
        </w:rPr>
        <w:t>Housing Agreement</w:t>
      </w:r>
      <w:r w:rsidRPr="007574A2">
        <w:rPr>
          <w:sz w:val="24"/>
          <w:szCs w:val="22"/>
        </w:rPr>
        <w:t>”</w:t>
      </w:r>
      <w:r w:rsidR="005D59A1" w:rsidRPr="007574A2">
        <w:rPr>
          <w:sz w:val="24"/>
          <w:szCs w:val="22"/>
        </w:rPr>
        <w:t>, in relation to a State, means</w:t>
      </w:r>
      <w:r w:rsidR="005D59A1" w:rsidRPr="007574A2">
        <w:rPr>
          <w:rFonts w:eastAsia="Times New Roman"/>
          <w:sz w:val="24"/>
          <w:szCs w:val="22"/>
        </w:rPr>
        <w:t>—</w:t>
      </w:r>
    </w:p>
    <w:p w14:paraId="5235A7FD" w14:textId="77777777" w:rsidR="001E395C" w:rsidRPr="007574A2" w:rsidRDefault="005D59A1" w:rsidP="007A1C94">
      <w:pPr>
        <w:shd w:val="clear" w:color="auto" w:fill="FFFFFF"/>
        <w:ind w:left="1584" w:hanging="432"/>
        <w:jc w:val="both"/>
        <w:rPr>
          <w:sz w:val="24"/>
          <w:szCs w:val="22"/>
        </w:rPr>
      </w:pPr>
      <w:r w:rsidRPr="007574A2">
        <w:rPr>
          <w:sz w:val="24"/>
          <w:szCs w:val="22"/>
        </w:rPr>
        <w:t>(a)</w:t>
      </w:r>
      <w:r w:rsidR="00C649A7" w:rsidRPr="007574A2">
        <w:rPr>
          <w:sz w:val="24"/>
          <w:szCs w:val="22"/>
        </w:rPr>
        <w:t xml:space="preserve"> </w:t>
      </w:r>
      <w:r w:rsidRPr="007574A2">
        <w:rPr>
          <w:sz w:val="24"/>
          <w:szCs w:val="22"/>
        </w:rPr>
        <w:t xml:space="preserve">the agreement with that State executed in pursuance of the </w:t>
      </w:r>
      <w:r w:rsidRPr="007574A2">
        <w:rPr>
          <w:i/>
          <w:iCs/>
          <w:sz w:val="24"/>
          <w:szCs w:val="22"/>
        </w:rPr>
        <w:t xml:space="preserve">Housing Agreement Act </w:t>
      </w:r>
      <w:r w:rsidRPr="007574A2">
        <w:rPr>
          <w:sz w:val="24"/>
          <w:szCs w:val="22"/>
        </w:rPr>
        <w:t xml:space="preserve">1973, as amended by the agreement with that State executed in pursuance of the </w:t>
      </w:r>
      <w:r w:rsidRPr="007574A2">
        <w:rPr>
          <w:i/>
          <w:iCs/>
          <w:sz w:val="24"/>
          <w:szCs w:val="22"/>
        </w:rPr>
        <w:t xml:space="preserve">Housing Agreement Act </w:t>
      </w:r>
      <w:r w:rsidRPr="007574A2">
        <w:rPr>
          <w:sz w:val="24"/>
          <w:szCs w:val="22"/>
        </w:rPr>
        <w:t>1974; or</w:t>
      </w:r>
    </w:p>
    <w:p w14:paraId="6F7A6814" w14:textId="77777777" w:rsidR="001E395C" w:rsidRPr="007574A2" w:rsidRDefault="005D59A1" w:rsidP="007A1C94">
      <w:pPr>
        <w:shd w:val="clear" w:color="auto" w:fill="FFFFFF"/>
        <w:ind w:left="1584" w:hanging="432"/>
        <w:jc w:val="both"/>
        <w:rPr>
          <w:sz w:val="24"/>
          <w:szCs w:val="22"/>
        </w:rPr>
      </w:pPr>
      <w:r w:rsidRPr="007574A2">
        <w:rPr>
          <w:sz w:val="24"/>
          <w:szCs w:val="22"/>
        </w:rPr>
        <w:t>(b)</w:t>
      </w:r>
      <w:r w:rsidR="00C649A7" w:rsidRPr="007574A2">
        <w:rPr>
          <w:sz w:val="24"/>
          <w:szCs w:val="22"/>
        </w:rPr>
        <w:t xml:space="preserve"> </w:t>
      </w:r>
      <w:r w:rsidRPr="007574A2">
        <w:rPr>
          <w:sz w:val="24"/>
          <w:szCs w:val="22"/>
        </w:rPr>
        <w:t>if that agreement is subsequently amended by an agreement or agreements the execution of which is authorized or approved by another Act</w:t>
      </w:r>
      <w:r w:rsidRPr="007574A2">
        <w:rPr>
          <w:rFonts w:eastAsia="Times New Roman"/>
          <w:sz w:val="24"/>
          <w:szCs w:val="22"/>
        </w:rPr>
        <w:t>—that agreement as so amended;</w:t>
      </w:r>
    </w:p>
    <w:p w14:paraId="45F7B8EF" w14:textId="4A2529B2" w:rsidR="001E395C" w:rsidRPr="007574A2" w:rsidRDefault="00C649A7" w:rsidP="007A1C94">
      <w:pPr>
        <w:shd w:val="clear" w:color="auto" w:fill="FFFFFF"/>
        <w:spacing w:after="60"/>
        <w:ind w:left="864" w:hanging="432"/>
        <w:jc w:val="both"/>
        <w:rPr>
          <w:sz w:val="24"/>
          <w:szCs w:val="22"/>
        </w:rPr>
      </w:pPr>
      <w:r w:rsidRPr="007574A2">
        <w:rPr>
          <w:sz w:val="24"/>
          <w:szCs w:val="22"/>
        </w:rPr>
        <w:t>“</w:t>
      </w:r>
      <w:r w:rsidR="005D59A1" w:rsidRPr="007574A2">
        <w:rPr>
          <w:sz w:val="24"/>
          <w:szCs w:val="22"/>
        </w:rPr>
        <w:t>repealed Act</w:t>
      </w:r>
      <w:r w:rsidRPr="007574A2">
        <w:rPr>
          <w:sz w:val="24"/>
          <w:szCs w:val="22"/>
        </w:rPr>
        <w:t>”</w:t>
      </w:r>
      <w:r w:rsidR="005D59A1" w:rsidRPr="007574A2">
        <w:rPr>
          <w:sz w:val="24"/>
          <w:szCs w:val="22"/>
        </w:rPr>
        <w:t xml:space="preserve"> means the </w:t>
      </w:r>
      <w:r w:rsidR="005D59A1" w:rsidRPr="007574A2">
        <w:rPr>
          <w:i/>
          <w:iCs/>
          <w:sz w:val="24"/>
          <w:szCs w:val="22"/>
        </w:rPr>
        <w:t xml:space="preserve">States Grants </w:t>
      </w:r>
      <w:r w:rsidRPr="007574A2">
        <w:rPr>
          <w:iCs/>
          <w:sz w:val="24"/>
          <w:szCs w:val="22"/>
        </w:rPr>
        <w:t>(</w:t>
      </w:r>
      <w:r w:rsidR="005D59A1" w:rsidRPr="007574A2">
        <w:rPr>
          <w:i/>
          <w:iCs/>
          <w:sz w:val="24"/>
          <w:szCs w:val="22"/>
        </w:rPr>
        <w:t>Housing Assistance</w:t>
      </w:r>
      <w:r w:rsidRPr="007574A2">
        <w:rPr>
          <w:iCs/>
          <w:sz w:val="24"/>
          <w:szCs w:val="22"/>
        </w:rPr>
        <w:t>)</w:t>
      </w:r>
      <w:r w:rsidR="005D59A1" w:rsidRPr="007574A2">
        <w:rPr>
          <w:i/>
          <w:iCs/>
          <w:sz w:val="24"/>
          <w:szCs w:val="22"/>
        </w:rPr>
        <w:t xml:space="preserve"> Act </w:t>
      </w:r>
      <w:r w:rsidRPr="007574A2">
        <w:rPr>
          <w:iCs/>
          <w:sz w:val="24"/>
          <w:szCs w:val="22"/>
        </w:rPr>
        <w:t>(</w:t>
      </w:r>
      <w:r w:rsidR="005D59A1" w:rsidRPr="007574A2">
        <w:rPr>
          <w:i/>
          <w:iCs/>
          <w:sz w:val="24"/>
          <w:szCs w:val="22"/>
        </w:rPr>
        <w:t xml:space="preserve">No. </w:t>
      </w:r>
      <w:r w:rsidR="005D59A1" w:rsidRPr="008A6532">
        <w:rPr>
          <w:iCs/>
          <w:sz w:val="24"/>
          <w:szCs w:val="22"/>
        </w:rPr>
        <w:t>2</w:t>
      </w:r>
      <w:r w:rsidRPr="007574A2">
        <w:rPr>
          <w:iCs/>
          <w:sz w:val="24"/>
          <w:szCs w:val="22"/>
        </w:rPr>
        <w:t>)</w:t>
      </w:r>
      <w:r w:rsidR="005D59A1" w:rsidRPr="007574A2">
        <w:rPr>
          <w:i/>
          <w:iCs/>
          <w:sz w:val="24"/>
          <w:szCs w:val="22"/>
        </w:rPr>
        <w:t xml:space="preserve"> </w:t>
      </w:r>
      <w:r w:rsidR="005D59A1" w:rsidRPr="007574A2">
        <w:rPr>
          <w:sz w:val="24"/>
          <w:szCs w:val="22"/>
        </w:rPr>
        <w:t>1976.</w:t>
      </w:r>
    </w:p>
    <w:p w14:paraId="4B7E716E" w14:textId="77777777" w:rsidR="001E395C" w:rsidRPr="007A1C94" w:rsidRDefault="005D59A1" w:rsidP="007A1C94">
      <w:pPr>
        <w:shd w:val="clear" w:color="auto" w:fill="FFFFFF"/>
        <w:spacing w:before="120" w:after="60"/>
        <w:jc w:val="both"/>
        <w:rPr>
          <w:b/>
          <w:szCs w:val="22"/>
        </w:rPr>
      </w:pPr>
      <w:r w:rsidRPr="007A1C94">
        <w:rPr>
          <w:b/>
          <w:szCs w:val="22"/>
        </w:rPr>
        <w:t>Advances to States</w:t>
      </w:r>
    </w:p>
    <w:p w14:paraId="4CD2632D" w14:textId="77777777" w:rsidR="001E395C" w:rsidRPr="007574A2" w:rsidRDefault="005D59A1" w:rsidP="007A1C94">
      <w:pPr>
        <w:shd w:val="clear" w:color="auto" w:fill="FFFFFF"/>
        <w:spacing w:after="60"/>
        <w:ind w:firstLine="432"/>
        <w:jc w:val="both"/>
        <w:rPr>
          <w:sz w:val="24"/>
          <w:szCs w:val="22"/>
        </w:rPr>
      </w:pPr>
      <w:r w:rsidRPr="007A1C94">
        <w:rPr>
          <w:b/>
          <w:sz w:val="24"/>
          <w:szCs w:val="22"/>
        </w:rPr>
        <w:t>5.</w:t>
      </w:r>
      <w:r w:rsidRPr="007574A2">
        <w:rPr>
          <w:sz w:val="24"/>
          <w:szCs w:val="22"/>
        </w:rPr>
        <w:t xml:space="preserve"> The Treasurer may, during the period commencing on the date of commencement of this Act and ending immediately before 1 July 1978, make advances to a State, in accordance with the Housing Agreement with that State, of amounts not exceeding in the aggregate the amount specified in Column 1 of the Schedule opposite to the name </w:t>
      </w:r>
      <w:r w:rsidRPr="007574A2">
        <w:rPr>
          <w:sz w:val="24"/>
          <w:szCs w:val="22"/>
          <w:lang w:val="de-DE"/>
        </w:rPr>
        <w:t xml:space="preserve">of that </w:t>
      </w:r>
      <w:r w:rsidRPr="007574A2">
        <w:rPr>
          <w:sz w:val="24"/>
          <w:szCs w:val="22"/>
        </w:rPr>
        <w:t>State.</w:t>
      </w:r>
    </w:p>
    <w:p w14:paraId="3E338380" w14:textId="77777777" w:rsidR="001E395C" w:rsidRPr="007A1C94" w:rsidRDefault="005D59A1" w:rsidP="007A1C94">
      <w:pPr>
        <w:shd w:val="clear" w:color="auto" w:fill="FFFFFF"/>
        <w:spacing w:before="120" w:after="60"/>
        <w:jc w:val="both"/>
        <w:rPr>
          <w:b/>
          <w:szCs w:val="22"/>
        </w:rPr>
      </w:pPr>
      <w:r w:rsidRPr="007A1C94">
        <w:rPr>
          <w:b/>
          <w:szCs w:val="22"/>
        </w:rPr>
        <w:t>Authority to borrow</w:t>
      </w:r>
    </w:p>
    <w:p w14:paraId="4EEDE29E" w14:textId="068E04BE" w:rsidR="001E395C" w:rsidRPr="007574A2" w:rsidRDefault="005D59A1" w:rsidP="008A6532">
      <w:pPr>
        <w:shd w:val="clear" w:color="auto" w:fill="FFFFFF"/>
        <w:spacing w:after="60"/>
        <w:ind w:firstLine="432"/>
        <w:jc w:val="both"/>
        <w:rPr>
          <w:sz w:val="24"/>
          <w:szCs w:val="22"/>
        </w:rPr>
      </w:pPr>
      <w:r w:rsidRPr="007A1C94">
        <w:rPr>
          <w:b/>
          <w:sz w:val="24"/>
          <w:szCs w:val="22"/>
        </w:rPr>
        <w:t>6.</w:t>
      </w:r>
      <w:r w:rsidRPr="007574A2">
        <w:rPr>
          <w:sz w:val="24"/>
          <w:szCs w:val="22"/>
        </w:rPr>
        <w:t xml:space="preserve"> (1) Subject to sub-section (2), the Treasurer may, during the period commencing on the date of commencement of this Act and ending immediately before 1 January 1979, in accordance with the provisions of the </w:t>
      </w:r>
      <w:r w:rsidRPr="007574A2">
        <w:rPr>
          <w:i/>
          <w:iCs/>
          <w:sz w:val="24"/>
          <w:szCs w:val="22"/>
        </w:rPr>
        <w:t xml:space="preserve">Commonwealth Inscribed Stock Act </w:t>
      </w:r>
      <w:r w:rsidRPr="007574A2">
        <w:rPr>
          <w:sz w:val="24"/>
          <w:szCs w:val="22"/>
        </w:rPr>
        <w:t>1911, or in accordance</w:t>
      </w:r>
      <w:r w:rsidR="008A6532">
        <w:rPr>
          <w:sz w:val="24"/>
          <w:szCs w:val="22"/>
        </w:rPr>
        <w:t xml:space="preserve"> </w:t>
      </w:r>
      <w:r w:rsidRPr="007574A2">
        <w:rPr>
          <w:sz w:val="24"/>
          <w:szCs w:val="22"/>
        </w:rPr>
        <w:t>with the provisions of an Act authorizing the issue of Treasury Bills, borrow moneys not exceeding in the aggregate the sum of</w:t>
      </w:r>
      <w:r w:rsidRPr="007574A2">
        <w:rPr>
          <w:rFonts w:eastAsia="Times New Roman"/>
          <w:sz w:val="24"/>
          <w:szCs w:val="22"/>
        </w:rPr>
        <w:t>—</w:t>
      </w:r>
    </w:p>
    <w:p w14:paraId="171BA7E9" w14:textId="77777777" w:rsidR="001E395C" w:rsidRPr="007574A2" w:rsidRDefault="005D59A1" w:rsidP="007A1C94">
      <w:pPr>
        <w:shd w:val="clear" w:color="auto" w:fill="FFFFFF"/>
        <w:spacing w:after="60"/>
        <w:ind w:left="864" w:hanging="432"/>
        <w:jc w:val="both"/>
        <w:rPr>
          <w:sz w:val="24"/>
          <w:szCs w:val="22"/>
        </w:rPr>
      </w:pPr>
      <w:r w:rsidRPr="007574A2">
        <w:rPr>
          <w:sz w:val="24"/>
          <w:szCs w:val="22"/>
        </w:rPr>
        <w:t>(a)</w:t>
      </w:r>
      <w:r w:rsidR="00C649A7" w:rsidRPr="007574A2">
        <w:rPr>
          <w:sz w:val="24"/>
          <w:szCs w:val="22"/>
        </w:rPr>
        <w:t xml:space="preserve"> </w:t>
      </w:r>
      <w:r w:rsidRPr="007574A2">
        <w:rPr>
          <w:sz w:val="24"/>
          <w:szCs w:val="22"/>
        </w:rPr>
        <w:t>the total amount of advances that may be made to the States under this Act; and</w:t>
      </w:r>
    </w:p>
    <w:p w14:paraId="1B054753" w14:textId="77777777" w:rsidR="001E395C" w:rsidRPr="007574A2" w:rsidRDefault="005D59A1" w:rsidP="007A1C94">
      <w:pPr>
        <w:shd w:val="clear" w:color="auto" w:fill="FFFFFF"/>
        <w:spacing w:after="60"/>
        <w:ind w:left="864" w:hanging="432"/>
        <w:jc w:val="both"/>
        <w:rPr>
          <w:sz w:val="24"/>
          <w:szCs w:val="22"/>
        </w:rPr>
      </w:pPr>
      <w:r w:rsidRPr="007574A2">
        <w:rPr>
          <w:sz w:val="24"/>
          <w:szCs w:val="22"/>
        </w:rPr>
        <w:t>(b)</w:t>
      </w:r>
      <w:r w:rsidR="00C649A7" w:rsidRPr="007574A2">
        <w:rPr>
          <w:sz w:val="24"/>
          <w:szCs w:val="22"/>
        </w:rPr>
        <w:t xml:space="preserve"> </w:t>
      </w:r>
      <w:r w:rsidRPr="007574A2">
        <w:rPr>
          <w:sz w:val="24"/>
          <w:szCs w:val="22"/>
        </w:rPr>
        <w:t>the expenses of borrowing.</w:t>
      </w:r>
    </w:p>
    <w:p w14:paraId="348DFF0A" w14:textId="77777777" w:rsidR="001E395C" w:rsidRPr="007574A2" w:rsidRDefault="005D59A1" w:rsidP="007A1C94">
      <w:pPr>
        <w:shd w:val="clear" w:color="auto" w:fill="FFFFFF"/>
        <w:spacing w:after="60"/>
        <w:ind w:firstLine="432"/>
        <w:jc w:val="both"/>
        <w:rPr>
          <w:sz w:val="24"/>
          <w:szCs w:val="22"/>
        </w:rPr>
      </w:pPr>
      <w:r w:rsidRPr="007574A2">
        <w:rPr>
          <w:sz w:val="24"/>
          <w:szCs w:val="22"/>
        </w:rPr>
        <w:t xml:space="preserve">(2) The aggregate amount of moneys that may be borrowed under sub-section (1) of this section is reduced by the sum of any amounts borrowed by the Treasurer in accordance with section 6 of the repealed Act for the purpose of making payments to the States in accordance with section 8 </w:t>
      </w:r>
      <w:r w:rsidRPr="007574A2">
        <w:rPr>
          <w:sz w:val="24"/>
          <w:szCs w:val="22"/>
          <w:lang w:val="de-DE"/>
        </w:rPr>
        <w:t xml:space="preserve">of that </w:t>
      </w:r>
      <w:r w:rsidRPr="007574A2">
        <w:rPr>
          <w:sz w:val="24"/>
          <w:szCs w:val="22"/>
        </w:rPr>
        <w:t>Act.</w:t>
      </w:r>
    </w:p>
    <w:p w14:paraId="467DEBD6" w14:textId="77777777" w:rsidR="001E395C" w:rsidRPr="007A1C94" w:rsidRDefault="005D59A1" w:rsidP="007A1C94">
      <w:pPr>
        <w:shd w:val="clear" w:color="auto" w:fill="FFFFFF"/>
        <w:spacing w:before="120" w:after="60"/>
        <w:jc w:val="both"/>
        <w:rPr>
          <w:b/>
          <w:szCs w:val="22"/>
        </w:rPr>
      </w:pPr>
      <w:r w:rsidRPr="007A1C94">
        <w:rPr>
          <w:b/>
          <w:szCs w:val="22"/>
        </w:rPr>
        <w:t>Advances made before commencement of Act</w:t>
      </w:r>
    </w:p>
    <w:p w14:paraId="67CD5C56" w14:textId="77777777" w:rsidR="001E395C" w:rsidRPr="007574A2" w:rsidRDefault="005D59A1" w:rsidP="007A1C94">
      <w:pPr>
        <w:shd w:val="clear" w:color="auto" w:fill="FFFFFF"/>
        <w:spacing w:after="60"/>
        <w:ind w:firstLine="432"/>
        <w:jc w:val="both"/>
        <w:rPr>
          <w:sz w:val="24"/>
          <w:szCs w:val="22"/>
        </w:rPr>
      </w:pPr>
      <w:r w:rsidRPr="007A1C94">
        <w:rPr>
          <w:b/>
          <w:sz w:val="24"/>
          <w:szCs w:val="22"/>
        </w:rPr>
        <w:t>7.</w:t>
      </w:r>
      <w:r w:rsidRPr="007574A2">
        <w:rPr>
          <w:sz w:val="24"/>
          <w:szCs w:val="22"/>
        </w:rPr>
        <w:t xml:space="preserve"> (1) An advance that was made to a State under section 8 of the repealed Act before the commencement of this Act shall be deemed to have been an advance made to that State under section 5 of this Act.</w:t>
      </w:r>
    </w:p>
    <w:p w14:paraId="4C5C4926" w14:textId="77777777" w:rsidR="001E395C" w:rsidRPr="007574A2" w:rsidRDefault="005D59A1" w:rsidP="007A1C94">
      <w:pPr>
        <w:shd w:val="clear" w:color="auto" w:fill="FFFFFF"/>
        <w:spacing w:after="60"/>
        <w:ind w:firstLine="432"/>
        <w:jc w:val="both"/>
        <w:rPr>
          <w:sz w:val="24"/>
          <w:szCs w:val="22"/>
        </w:rPr>
      </w:pPr>
      <w:r w:rsidRPr="007574A2">
        <w:rPr>
          <w:sz w:val="24"/>
          <w:szCs w:val="22"/>
        </w:rPr>
        <w:t xml:space="preserve">(2) An advance that was made to a State under section 5 of the </w:t>
      </w:r>
      <w:r w:rsidRPr="007574A2">
        <w:rPr>
          <w:i/>
          <w:iCs/>
          <w:sz w:val="24"/>
          <w:szCs w:val="22"/>
        </w:rPr>
        <w:t xml:space="preserve">Financial Agreement Act </w:t>
      </w:r>
      <w:r w:rsidRPr="007574A2">
        <w:rPr>
          <w:sz w:val="24"/>
          <w:szCs w:val="22"/>
        </w:rPr>
        <w:t>1928 on or after 1 July 1977, and before the commencement of this Act, shall, if the Treasurer, with the concurrence of that State, so determines, be deemed to have been an advance made to that State under section 5 of this Act.</w:t>
      </w:r>
    </w:p>
    <w:p w14:paraId="0B6F24F4" w14:textId="77777777" w:rsidR="001E395C" w:rsidRPr="007A1C94" w:rsidRDefault="005D59A1" w:rsidP="007A1C94">
      <w:pPr>
        <w:shd w:val="clear" w:color="auto" w:fill="FFFFFF"/>
        <w:spacing w:before="120" w:after="60"/>
        <w:jc w:val="both"/>
        <w:rPr>
          <w:b/>
          <w:szCs w:val="22"/>
        </w:rPr>
      </w:pPr>
      <w:r w:rsidRPr="007A1C94">
        <w:rPr>
          <w:b/>
          <w:szCs w:val="22"/>
        </w:rPr>
        <w:t>Advances to States for year 1978-79</w:t>
      </w:r>
    </w:p>
    <w:p w14:paraId="41E95891" w14:textId="77777777" w:rsidR="001E395C" w:rsidRPr="007574A2" w:rsidRDefault="005D59A1" w:rsidP="007A1C94">
      <w:pPr>
        <w:shd w:val="clear" w:color="auto" w:fill="FFFFFF"/>
        <w:spacing w:after="60"/>
        <w:ind w:firstLine="432"/>
        <w:jc w:val="both"/>
        <w:rPr>
          <w:sz w:val="24"/>
          <w:szCs w:val="22"/>
        </w:rPr>
      </w:pPr>
      <w:r w:rsidRPr="007A1C94">
        <w:rPr>
          <w:b/>
          <w:sz w:val="24"/>
          <w:szCs w:val="22"/>
        </w:rPr>
        <w:t>8.</w:t>
      </w:r>
      <w:r w:rsidRPr="007574A2">
        <w:rPr>
          <w:sz w:val="24"/>
          <w:szCs w:val="22"/>
        </w:rPr>
        <w:t xml:space="preserve"> The Treasurer may, during the period of 6 months commencing on 1 July 1978, make advances to a State, on such terms and conditions as he determines, of amounts not exceeding in the aggregate the amount specified in Column 2 of the Schedule opposite to the name </w:t>
      </w:r>
      <w:r w:rsidRPr="007574A2">
        <w:rPr>
          <w:sz w:val="24"/>
          <w:szCs w:val="22"/>
          <w:lang w:val="de-DE"/>
        </w:rPr>
        <w:t xml:space="preserve">of that </w:t>
      </w:r>
      <w:r w:rsidRPr="007574A2">
        <w:rPr>
          <w:sz w:val="24"/>
          <w:szCs w:val="22"/>
        </w:rPr>
        <w:t>State.</w:t>
      </w:r>
    </w:p>
    <w:p w14:paraId="2FF787CC" w14:textId="77777777" w:rsidR="001E395C" w:rsidRPr="007A1C94" w:rsidRDefault="005D59A1" w:rsidP="007A1C94">
      <w:pPr>
        <w:shd w:val="clear" w:color="auto" w:fill="FFFFFF"/>
        <w:spacing w:before="120" w:after="60"/>
        <w:jc w:val="both"/>
        <w:rPr>
          <w:b/>
          <w:szCs w:val="22"/>
        </w:rPr>
      </w:pPr>
      <w:r w:rsidRPr="007A1C94">
        <w:rPr>
          <w:b/>
          <w:szCs w:val="22"/>
        </w:rPr>
        <w:t>Advances to be made out of Consolidated Revenue Fund or Loan Fund</w:t>
      </w:r>
    </w:p>
    <w:p w14:paraId="46215DC6" w14:textId="77777777" w:rsidR="001E395C" w:rsidRPr="007574A2" w:rsidRDefault="005D59A1" w:rsidP="007A1C94">
      <w:pPr>
        <w:shd w:val="clear" w:color="auto" w:fill="FFFFFF"/>
        <w:spacing w:after="60"/>
        <w:ind w:firstLine="432"/>
        <w:jc w:val="both"/>
        <w:rPr>
          <w:sz w:val="24"/>
          <w:szCs w:val="22"/>
        </w:rPr>
      </w:pPr>
      <w:r w:rsidRPr="007A1C94">
        <w:rPr>
          <w:b/>
          <w:sz w:val="24"/>
          <w:szCs w:val="22"/>
        </w:rPr>
        <w:t>9.</w:t>
      </w:r>
      <w:r w:rsidRPr="007574A2">
        <w:rPr>
          <w:sz w:val="24"/>
          <w:szCs w:val="22"/>
        </w:rPr>
        <w:t xml:space="preserve"> Advances to a State under section 5 or 8 may be made out of the Consolidated Revenue Fund or the Loan Fund.</w:t>
      </w:r>
    </w:p>
    <w:p w14:paraId="09174568" w14:textId="77777777" w:rsidR="001E395C" w:rsidRPr="007A1C94" w:rsidRDefault="005D59A1" w:rsidP="007A1C94">
      <w:pPr>
        <w:shd w:val="clear" w:color="auto" w:fill="FFFFFF"/>
        <w:spacing w:before="120" w:after="60"/>
        <w:jc w:val="both"/>
        <w:rPr>
          <w:b/>
          <w:szCs w:val="22"/>
        </w:rPr>
      </w:pPr>
      <w:r w:rsidRPr="007A1C94">
        <w:rPr>
          <w:b/>
          <w:szCs w:val="22"/>
        </w:rPr>
        <w:t>Application of moneys borrowed</w:t>
      </w:r>
    </w:p>
    <w:p w14:paraId="5CCE5D67" w14:textId="77777777" w:rsidR="001E395C" w:rsidRPr="007574A2" w:rsidRDefault="005D59A1" w:rsidP="007A1C94">
      <w:pPr>
        <w:shd w:val="clear" w:color="auto" w:fill="FFFFFF"/>
        <w:spacing w:after="60"/>
        <w:ind w:firstLine="432"/>
        <w:jc w:val="both"/>
        <w:rPr>
          <w:sz w:val="24"/>
          <w:szCs w:val="22"/>
        </w:rPr>
      </w:pPr>
      <w:r w:rsidRPr="007A1C94">
        <w:rPr>
          <w:b/>
          <w:sz w:val="24"/>
          <w:szCs w:val="22"/>
        </w:rPr>
        <w:t>10.</w:t>
      </w:r>
      <w:r w:rsidRPr="007574A2">
        <w:rPr>
          <w:sz w:val="24"/>
          <w:szCs w:val="22"/>
        </w:rPr>
        <w:t xml:space="preserve"> Moneys borrowed under section 6 of this Act, and moneys borrowed under section 6 of the repealed Act and not applied before the commencement of this Act, shall be issued and applied only for the expenses of borrowing, for the purpose of making advances to the States in accordance with section 5 or 8 of this Act and for the purpose of making payments to the Consolidated Revenue Fund in accordance with section 11 of this Act.</w:t>
      </w:r>
    </w:p>
    <w:p w14:paraId="73E22237" w14:textId="77777777" w:rsidR="001E395C" w:rsidRPr="007A1C94" w:rsidRDefault="005D59A1" w:rsidP="007A1C94">
      <w:pPr>
        <w:shd w:val="clear" w:color="auto" w:fill="FFFFFF"/>
        <w:spacing w:before="120" w:after="60"/>
        <w:jc w:val="both"/>
        <w:rPr>
          <w:b/>
          <w:szCs w:val="22"/>
        </w:rPr>
      </w:pPr>
      <w:r w:rsidRPr="007A1C94">
        <w:rPr>
          <w:b/>
          <w:szCs w:val="22"/>
        </w:rPr>
        <w:t>Reimbursement of Consolidated Revenue Fund from Loan Fund</w:t>
      </w:r>
    </w:p>
    <w:p w14:paraId="4547841A" w14:textId="77777777" w:rsidR="001E395C" w:rsidRPr="007574A2" w:rsidRDefault="005D59A1" w:rsidP="007A1C94">
      <w:pPr>
        <w:shd w:val="clear" w:color="auto" w:fill="FFFFFF"/>
        <w:spacing w:after="60"/>
        <w:ind w:firstLine="432"/>
        <w:jc w:val="both"/>
        <w:rPr>
          <w:sz w:val="24"/>
          <w:szCs w:val="22"/>
        </w:rPr>
      </w:pPr>
      <w:r w:rsidRPr="007A1C94">
        <w:rPr>
          <w:b/>
          <w:sz w:val="24"/>
          <w:szCs w:val="22"/>
        </w:rPr>
        <w:t>11.</w:t>
      </w:r>
      <w:r w:rsidRPr="007574A2">
        <w:rPr>
          <w:sz w:val="24"/>
          <w:szCs w:val="22"/>
        </w:rPr>
        <w:t xml:space="preserve"> (1) Where an amount has been paid out of the Consolidated Revenue Fund under this Act or under the repealed Act, the Treasurer may authorize the payment to that Fund, out of the Loan Fund, of an amount not exceeding the amount so paid.</w:t>
      </w:r>
    </w:p>
    <w:p w14:paraId="1AC2C1F4" w14:textId="5E0C38D4" w:rsidR="001E395C" w:rsidRPr="007574A2" w:rsidRDefault="005D59A1" w:rsidP="008A6532">
      <w:pPr>
        <w:shd w:val="clear" w:color="auto" w:fill="FFFFFF"/>
        <w:spacing w:after="60"/>
        <w:ind w:firstLine="432"/>
        <w:jc w:val="both"/>
        <w:rPr>
          <w:sz w:val="24"/>
          <w:szCs w:val="22"/>
        </w:rPr>
      </w:pPr>
      <w:r w:rsidRPr="007574A2">
        <w:rPr>
          <w:sz w:val="24"/>
          <w:szCs w:val="22"/>
        </w:rPr>
        <w:t xml:space="preserve">(2) In any statement prepared by the Treasurer under section 49 or 50 of the </w:t>
      </w:r>
      <w:r w:rsidRPr="007574A2">
        <w:rPr>
          <w:i/>
          <w:iCs/>
          <w:sz w:val="24"/>
          <w:szCs w:val="22"/>
        </w:rPr>
        <w:t xml:space="preserve">Audit Act </w:t>
      </w:r>
      <w:r w:rsidRPr="007574A2">
        <w:rPr>
          <w:sz w:val="24"/>
          <w:szCs w:val="22"/>
        </w:rPr>
        <w:t xml:space="preserve">1901, amounts paid to the Consolidated Revenue Fund under sub-section (1) of this section or under sub-section 11(1) of the repealed Act shall not be shown as receipts </w:t>
      </w:r>
      <w:r w:rsidRPr="007574A2">
        <w:rPr>
          <w:sz w:val="24"/>
          <w:szCs w:val="22"/>
          <w:lang w:val="de-DE"/>
        </w:rPr>
        <w:t xml:space="preserve">of that </w:t>
      </w:r>
      <w:r w:rsidRPr="007574A2">
        <w:rPr>
          <w:sz w:val="24"/>
          <w:szCs w:val="22"/>
        </w:rPr>
        <w:t>Fund but shall be</w:t>
      </w:r>
      <w:r w:rsidR="008A6532">
        <w:rPr>
          <w:sz w:val="24"/>
          <w:szCs w:val="22"/>
        </w:rPr>
        <w:t xml:space="preserve"> </w:t>
      </w:r>
      <w:r w:rsidRPr="007574A2">
        <w:rPr>
          <w:sz w:val="24"/>
          <w:szCs w:val="22"/>
        </w:rPr>
        <w:t>shown as having reduced the total of the amounts expended from that Fund under this Act or the repealed Act, as the case may be.</w:t>
      </w:r>
    </w:p>
    <w:p w14:paraId="3C976011" w14:textId="77777777" w:rsidR="001E395C" w:rsidRPr="007574A2" w:rsidRDefault="005D59A1" w:rsidP="007A1C94">
      <w:pPr>
        <w:shd w:val="clear" w:color="auto" w:fill="FFFFFF"/>
        <w:spacing w:after="60"/>
        <w:ind w:firstLine="432"/>
        <w:jc w:val="both"/>
        <w:rPr>
          <w:sz w:val="24"/>
          <w:szCs w:val="22"/>
        </w:rPr>
      </w:pPr>
      <w:r w:rsidRPr="007574A2">
        <w:rPr>
          <w:sz w:val="24"/>
          <w:szCs w:val="22"/>
        </w:rPr>
        <w:t xml:space="preserve">(3) Where there has been a payment from the Loan Fund to the Consolidated Revenue Fund under sub-section (1) in respect of an amount paid out of the Consolidated Revenue Fund under this Act or the repealed Act, the amount so paid out of the Consolidated Revenue Fund shall, for the purposes of sections 9 and 10 of the </w:t>
      </w:r>
      <w:r w:rsidRPr="007574A2">
        <w:rPr>
          <w:i/>
          <w:iCs/>
          <w:sz w:val="24"/>
          <w:szCs w:val="22"/>
        </w:rPr>
        <w:t xml:space="preserve">National Debt Sinking Fund Act </w:t>
      </w:r>
      <w:r w:rsidRPr="007574A2">
        <w:rPr>
          <w:sz w:val="24"/>
          <w:szCs w:val="22"/>
        </w:rPr>
        <w:t>1966, be deemed to have been paid out of the Loan Fund.</w:t>
      </w:r>
    </w:p>
    <w:p w14:paraId="164D4F62" w14:textId="77777777" w:rsidR="001E395C" w:rsidRPr="007A1C94" w:rsidRDefault="005D59A1" w:rsidP="007A1C94">
      <w:pPr>
        <w:shd w:val="clear" w:color="auto" w:fill="FFFFFF"/>
        <w:spacing w:before="120" w:after="60"/>
        <w:jc w:val="both"/>
        <w:rPr>
          <w:b/>
          <w:szCs w:val="22"/>
        </w:rPr>
      </w:pPr>
      <w:r w:rsidRPr="007A1C94">
        <w:rPr>
          <w:b/>
          <w:szCs w:val="22"/>
        </w:rPr>
        <w:t>Appropriation</w:t>
      </w:r>
    </w:p>
    <w:p w14:paraId="2EEB28F6" w14:textId="77777777" w:rsidR="001E395C" w:rsidRDefault="005D59A1" w:rsidP="007A1C94">
      <w:pPr>
        <w:shd w:val="clear" w:color="auto" w:fill="FFFFFF"/>
        <w:spacing w:after="60"/>
        <w:ind w:firstLine="432"/>
        <w:jc w:val="both"/>
        <w:rPr>
          <w:sz w:val="24"/>
          <w:szCs w:val="22"/>
        </w:rPr>
      </w:pPr>
      <w:r w:rsidRPr="007A1C94">
        <w:rPr>
          <w:b/>
          <w:sz w:val="24"/>
          <w:szCs w:val="22"/>
        </w:rPr>
        <w:t>12.</w:t>
      </w:r>
      <w:r w:rsidRPr="007574A2">
        <w:rPr>
          <w:sz w:val="24"/>
          <w:szCs w:val="22"/>
        </w:rPr>
        <w:t xml:space="preserve"> The</w:t>
      </w:r>
      <w:r w:rsidR="00C649A7" w:rsidRPr="007574A2">
        <w:rPr>
          <w:sz w:val="24"/>
          <w:szCs w:val="22"/>
        </w:rPr>
        <w:t xml:space="preserve"> </w:t>
      </w:r>
      <w:r w:rsidRPr="007574A2">
        <w:rPr>
          <w:sz w:val="24"/>
          <w:szCs w:val="22"/>
        </w:rPr>
        <w:t>Consolidated</w:t>
      </w:r>
      <w:r w:rsidR="00C649A7" w:rsidRPr="007574A2">
        <w:rPr>
          <w:sz w:val="24"/>
          <w:szCs w:val="22"/>
        </w:rPr>
        <w:t xml:space="preserve"> </w:t>
      </w:r>
      <w:r w:rsidRPr="007574A2">
        <w:rPr>
          <w:sz w:val="24"/>
          <w:szCs w:val="22"/>
        </w:rPr>
        <w:t>Revenue Fund</w:t>
      </w:r>
      <w:r w:rsidR="00C649A7" w:rsidRPr="007574A2">
        <w:rPr>
          <w:sz w:val="24"/>
          <w:szCs w:val="22"/>
        </w:rPr>
        <w:t xml:space="preserve"> </w:t>
      </w:r>
      <w:r w:rsidRPr="007574A2">
        <w:rPr>
          <w:sz w:val="24"/>
          <w:szCs w:val="22"/>
        </w:rPr>
        <w:t>and</w:t>
      </w:r>
      <w:r w:rsidR="00C649A7" w:rsidRPr="007574A2">
        <w:rPr>
          <w:sz w:val="24"/>
          <w:szCs w:val="22"/>
        </w:rPr>
        <w:t xml:space="preserve"> </w:t>
      </w:r>
      <w:r w:rsidRPr="007574A2">
        <w:rPr>
          <w:sz w:val="24"/>
          <w:szCs w:val="22"/>
        </w:rPr>
        <w:t>the Loan Fund are appropriated as necessary for the purposes of this Act.</w:t>
      </w:r>
    </w:p>
    <w:p w14:paraId="0E8F2E5A" w14:textId="77777777" w:rsidR="00CF1362" w:rsidRPr="007574A2" w:rsidRDefault="00CF1362" w:rsidP="00605CDD">
      <w:pPr>
        <w:shd w:val="clear" w:color="auto" w:fill="FFFFFF"/>
        <w:spacing w:after="120"/>
        <w:ind w:left="3600" w:firstLine="720"/>
        <w:jc w:val="center"/>
        <w:rPr>
          <w:sz w:val="24"/>
          <w:szCs w:val="22"/>
        </w:rPr>
      </w:pPr>
      <w:r w:rsidRPr="007574A2">
        <w:rPr>
          <w:sz w:val="24"/>
          <w:szCs w:val="22"/>
        </w:rPr>
        <w:t>SCHEDULE</w:t>
      </w:r>
      <w:r>
        <w:rPr>
          <w:sz w:val="24"/>
          <w:szCs w:val="22"/>
        </w:rPr>
        <w:tab/>
      </w:r>
      <w:r w:rsidR="00605CDD">
        <w:rPr>
          <w:sz w:val="24"/>
          <w:szCs w:val="22"/>
        </w:rPr>
        <w:tab/>
      </w:r>
      <w:r w:rsidR="00605CDD">
        <w:rPr>
          <w:sz w:val="24"/>
          <w:szCs w:val="22"/>
        </w:rPr>
        <w:tab/>
      </w:r>
      <w:r w:rsidR="00605CDD">
        <w:rPr>
          <w:sz w:val="24"/>
          <w:szCs w:val="22"/>
        </w:rPr>
        <w:tab/>
      </w:r>
      <w:r w:rsidRPr="007574A2">
        <w:rPr>
          <w:sz w:val="24"/>
          <w:szCs w:val="22"/>
        </w:rPr>
        <w:t>Sections 5 and 8</w:t>
      </w:r>
    </w:p>
    <w:tbl>
      <w:tblPr>
        <w:tblW w:w="5000" w:type="pct"/>
        <w:jc w:val="center"/>
        <w:tblLayout w:type="fixed"/>
        <w:tblCellMar>
          <w:left w:w="40" w:type="dxa"/>
          <w:right w:w="40" w:type="dxa"/>
        </w:tblCellMar>
        <w:tblLook w:val="0000" w:firstRow="0" w:lastRow="0" w:firstColumn="0" w:lastColumn="0" w:noHBand="0" w:noVBand="0"/>
      </w:tblPr>
      <w:tblGrid>
        <w:gridCol w:w="5620"/>
        <w:gridCol w:w="2250"/>
        <w:gridCol w:w="1959"/>
      </w:tblGrid>
      <w:tr w:rsidR="001E395C" w:rsidRPr="007574A2" w14:paraId="4B77F1F1" w14:textId="77777777" w:rsidTr="00E73994">
        <w:trPr>
          <w:trHeight w:val="20"/>
          <w:jc w:val="center"/>
        </w:trPr>
        <w:tc>
          <w:tcPr>
            <w:tcW w:w="5620" w:type="dxa"/>
            <w:tcBorders>
              <w:top w:val="single" w:sz="6" w:space="0" w:color="auto"/>
              <w:left w:val="nil"/>
              <w:bottom w:val="nil"/>
              <w:right w:val="nil"/>
            </w:tcBorders>
            <w:shd w:val="clear" w:color="auto" w:fill="FFFFFF"/>
          </w:tcPr>
          <w:p w14:paraId="25F1E307" w14:textId="77777777" w:rsidR="001E395C" w:rsidRPr="007574A2" w:rsidRDefault="001E395C" w:rsidP="007574A2">
            <w:pPr>
              <w:shd w:val="clear" w:color="auto" w:fill="FFFFFF"/>
              <w:jc w:val="both"/>
              <w:rPr>
                <w:sz w:val="24"/>
                <w:szCs w:val="22"/>
              </w:rPr>
            </w:pPr>
          </w:p>
        </w:tc>
        <w:tc>
          <w:tcPr>
            <w:tcW w:w="2250" w:type="dxa"/>
            <w:tcBorders>
              <w:top w:val="single" w:sz="6" w:space="0" w:color="auto"/>
              <w:left w:val="nil"/>
              <w:bottom w:val="nil"/>
              <w:right w:val="nil"/>
            </w:tcBorders>
            <w:shd w:val="clear" w:color="auto" w:fill="FFFFFF"/>
            <w:vAlign w:val="center"/>
          </w:tcPr>
          <w:p w14:paraId="4B9F3D16" w14:textId="77777777" w:rsidR="001E395C" w:rsidRPr="007574A2" w:rsidRDefault="005D59A1" w:rsidP="00E73994">
            <w:pPr>
              <w:shd w:val="clear" w:color="auto" w:fill="FFFFFF"/>
              <w:jc w:val="center"/>
              <w:rPr>
                <w:sz w:val="24"/>
                <w:szCs w:val="22"/>
              </w:rPr>
            </w:pPr>
            <w:r w:rsidRPr="007574A2">
              <w:rPr>
                <w:sz w:val="24"/>
                <w:szCs w:val="22"/>
              </w:rPr>
              <w:t>Column 1</w:t>
            </w:r>
          </w:p>
        </w:tc>
        <w:tc>
          <w:tcPr>
            <w:tcW w:w="1959" w:type="dxa"/>
            <w:tcBorders>
              <w:top w:val="single" w:sz="6" w:space="0" w:color="auto"/>
              <w:left w:val="nil"/>
              <w:bottom w:val="nil"/>
              <w:right w:val="nil"/>
            </w:tcBorders>
            <w:shd w:val="clear" w:color="auto" w:fill="FFFFFF"/>
            <w:vAlign w:val="center"/>
          </w:tcPr>
          <w:p w14:paraId="36F76204" w14:textId="77777777" w:rsidR="001E395C" w:rsidRPr="007574A2" w:rsidRDefault="005D59A1" w:rsidP="00E73994">
            <w:pPr>
              <w:shd w:val="clear" w:color="auto" w:fill="FFFFFF"/>
              <w:jc w:val="center"/>
              <w:rPr>
                <w:sz w:val="24"/>
                <w:szCs w:val="22"/>
              </w:rPr>
            </w:pPr>
            <w:r w:rsidRPr="007574A2">
              <w:rPr>
                <w:sz w:val="24"/>
                <w:szCs w:val="22"/>
              </w:rPr>
              <w:t>Column 2</w:t>
            </w:r>
          </w:p>
        </w:tc>
      </w:tr>
      <w:tr w:rsidR="001E395C" w:rsidRPr="007574A2" w14:paraId="6E3D443E" w14:textId="77777777" w:rsidTr="00E73994">
        <w:trPr>
          <w:trHeight w:val="20"/>
          <w:jc w:val="center"/>
        </w:trPr>
        <w:tc>
          <w:tcPr>
            <w:tcW w:w="5620" w:type="dxa"/>
            <w:tcBorders>
              <w:top w:val="nil"/>
              <w:left w:val="nil"/>
              <w:bottom w:val="single" w:sz="4" w:space="0" w:color="auto"/>
              <w:right w:val="nil"/>
            </w:tcBorders>
            <w:shd w:val="clear" w:color="auto" w:fill="FFFFFF"/>
          </w:tcPr>
          <w:p w14:paraId="5389971F" w14:textId="77777777" w:rsidR="001E395C" w:rsidRPr="007574A2" w:rsidRDefault="001E395C" w:rsidP="007574A2">
            <w:pPr>
              <w:shd w:val="clear" w:color="auto" w:fill="FFFFFF"/>
              <w:jc w:val="both"/>
              <w:rPr>
                <w:sz w:val="24"/>
                <w:szCs w:val="22"/>
              </w:rPr>
            </w:pPr>
          </w:p>
        </w:tc>
        <w:tc>
          <w:tcPr>
            <w:tcW w:w="2250" w:type="dxa"/>
            <w:tcBorders>
              <w:top w:val="nil"/>
              <w:left w:val="nil"/>
              <w:bottom w:val="single" w:sz="4" w:space="0" w:color="auto"/>
              <w:right w:val="nil"/>
            </w:tcBorders>
            <w:shd w:val="clear" w:color="auto" w:fill="FFFFFF"/>
            <w:vAlign w:val="center"/>
          </w:tcPr>
          <w:p w14:paraId="607761AB" w14:textId="77777777" w:rsidR="001E395C" w:rsidRPr="007574A2" w:rsidRDefault="005D59A1" w:rsidP="00E73994">
            <w:pPr>
              <w:shd w:val="clear" w:color="auto" w:fill="FFFFFF"/>
              <w:jc w:val="center"/>
              <w:rPr>
                <w:sz w:val="24"/>
                <w:szCs w:val="22"/>
              </w:rPr>
            </w:pPr>
            <w:r w:rsidRPr="007574A2">
              <w:rPr>
                <w:sz w:val="24"/>
                <w:szCs w:val="22"/>
              </w:rPr>
              <w:t>1977-78</w:t>
            </w:r>
          </w:p>
        </w:tc>
        <w:tc>
          <w:tcPr>
            <w:tcW w:w="1959" w:type="dxa"/>
            <w:tcBorders>
              <w:top w:val="nil"/>
              <w:left w:val="nil"/>
              <w:bottom w:val="single" w:sz="4" w:space="0" w:color="auto"/>
              <w:right w:val="nil"/>
            </w:tcBorders>
            <w:shd w:val="clear" w:color="auto" w:fill="FFFFFF"/>
            <w:vAlign w:val="center"/>
          </w:tcPr>
          <w:p w14:paraId="5EEABC0E" w14:textId="77777777" w:rsidR="001E395C" w:rsidRPr="007574A2" w:rsidRDefault="005D59A1" w:rsidP="00E73994">
            <w:pPr>
              <w:shd w:val="clear" w:color="auto" w:fill="FFFFFF"/>
              <w:jc w:val="center"/>
              <w:rPr>
                <w:sz w:val="24"/>
                <w:szCs w:val="22"/>
              </w:rPr>
            </w:pPr>
            <w:r w:rsidRPr="007574A2">
              <w:rPr>
                <w:sz w:val="24"/>
                <w:szCs w:val="22"/>
              </w:rPr>
              <w:t>1978-79</w:t>
            </w:r>
          </w:p>
        </w:tc>
      </w:tr>
      <w:tr w:rsidR="001E395C" w:rsidRPr="007574A2" w14:paraId="15A82E47" w14:textId="77777777" w:rsidTr="00E73994">
        <w:trPr>
          <w:trHeight w:val="20"/>
          <w:jc w:val="center"/>
        </w:trPr>
        <w:tc>
          <w:tcPr>
            <w:tcW w:w="5620" w:type="dxa"/>
            <w:tcBorders>
              <w:top w:val="single" w:sz="4" w:space="0" w:color="auto"/>
            </w:tcBorders>
            <w:shd w:val="clear" w:color="auto" w:fill="FFFFFF"/>
          </w:tcPr>
          <w:p w14:paraId="3F6FF296" w14:textId="77777777" w:rsidR="001E395C" w:rsidRPr="007574A2" w:rsidRDefault="001E395C" w:rsidP="007574A2">
            <w:pPr>
              <w:shd w:val="clear" w:color="auto" w:fill="FFFFFF"/>
              <w:jc w:val="both"/>
              <w:rPr>
                <w:sz w:val="24"/>
                <w:szCs w:val="22"/>
              </w:rPr>
            </w:pPr>
          </w:p>
        </w:tc>
        <w:tc>
          <w:tcPr>
            <w:tcW w:w="2250" w:type="dxa"/>
            <w:tcBorders>
              <w:top w:val="single" w:sz="4" w:space="0" w:color="auto"/>
            </w:tcBorders>
            <w:shd w:val="clear" w:color="auto" w:fill="FFFFFF"/>
            <w:vAlign w:val="center"/>
          </w:tcPr>
          <w:p w14:paraId="44BA4C45" w14:textId="77777777" w:rsidR="001E395C" w:rsidRPr="007574A2" w:rsidRDefault="005D59A1" w:rsidP="00E73994">
            <w:pPr>
              <w:shd w:val="clear" w:color="auto" w:fill="FFFFFF"/>
              <w:jc w:val="center"/>
              <w:rPr>
                <w:sz w:val="24"/>
                <w:szCs w:val="22"/>
              </w:rPr>
            </w:pPr>
            <w:r w:rsidRPr="007574A2">
              <w:rPr>
                <w:sz w:val="24"/>
                <w:szCs w:val="22"/>
              </w:rPr>
              <w:t>$</w:t>
            </w:r>
          </w:p>
        </w:tc>
        <w:tc>
          <w:tcPr>
            <w:tcW w:w="1959" w:type="dxa"/>
            <w:tcBorders>
              <w:top w:val="single" w:sz="4" w:space="0" w:color="auto"/>
              <w:left w:val="nil"/>
              <w:bottom w:val="nil"/>
              <w:right w:val="nil"/>
            </w:tcBorders>
            <w:shd w:val="clear" w:color="auto" w:fill="FFFFFF"/>
            <w:vAlign w:val="center"/>
          </w:tcPr>
          <w:p w14:paraId="3A0CBC7F" w14:textId="77777777" w:rsidR="001E395C" w:rsidRPr="007574A2" w:rsidRDefault="005D59A1" w:rsidP="00E73994">
            <w:pPr>
              <w:shd w:val="clear" w:color="auto" w:fill="FFFFFF"/>
              <w:jc w:val="center"/>
              <w:rPr>
                <w:sz w:val="24"/>
                <w:szCs w:val="22"/>
              </w:rPr>
            </w:pPr>
            <w:r w:rsidRPr="007574A2">
              <w:rPr>
                <w:sz w:val="24"/>
                <w:szCs w:val="22"/>
              </w:rPr>
              <w:t>$</w:t>
            </w:r>
          </w:p>
        </w:tc>
      </w:tr>
      <w:tr w:rsidR="001E395C" w:rsidRPr="007574A2" w14:paraId="3FE7AB25" w14:textId="77777777" w:rsidTr="00E73994">
        <w:trPr>
          <w:trHeight w:val="20"/>
          <w:jc w:val="center"/>
        </w:trPr>
        <w:tc>
          <w:tcPr>
            <w:tcW w:w="5620" w:type="dxa"/>
            <w:shd w:val="clear" w:color="auto" w:fill="FFFFFF"/>
          </w:tcPr>
          <w:p w14:paraId="700420F9" w14:textId="77777777" w:rsidR="001E395C" w:rsidRPr="007574A2" w:rsidRDefault="005D59A1" w:rsidP="00E73994">
            <w:pPr>
              <w:shd w:val="clear" w:color="auto" w:fill="FFFFFF"/>
              <w:tabs>
                <w:tab w:val="left" w:leader="dot" w:pos="5328"/>
              </w:tabs>
              <w:jc w:val="both"/>
              <w:rPr>
                <w:sz w:val="24"/>
                <w:szCs w:val="22"/>
              </w:rPr>
            </w:pPr>
            <w:r w:rsidRPr="007574A2">
              <w:rPr>
                <w:sz w:val="24"/>
                <w:szCs w:val="22"/>
              </w:rPr>
              <w:t>New South Wales</w:t>
            </w:r>
            <w:r w:rsidR="00E73994">
              <w:rPr>
                <w:sz w:val="24"/>
                <w:szCs w:val="22"/>
              </w:rPr>
              <w:tab/>
            </w:r>
          </w:p>
        </w:tc>
        <w:tc>
          <w:tcPr>
            <w:tcW w:w="2250" w:type="dxa"/>
            <w:shd w:val="clear" w:color="auto" w:fill="FFFFFF"/>
          </w:tcPr>
          <w:p w14:paraId="6971DFB9" w14:textId="77777777" w:rsidR="001E395C" w:rsidRPr="007574A2" w:rsidRDefault="005D59A1" w:rsidP="00E73994">
            <w:pPr>
              <w:shd w:val="clear" w:color="auto" w:fill="FFFFFF"/>
              <w:ind w:right="144"/>
              <w:jc w:val="right"/>
              <w:rPr>
                <w:sz w:val="24"/>
                <w:szCs w:val="22"/>
              </w:rPr>
            </w:pPr>
            <w:r w:rsidRPr="007574A2">
              <w:rPr>
                <w:sz w:val="24"/>
                <w:szCs w:val="22"/>
              </w:rPr>
              <w:t>128,011,000</w:t>
            </w:r>
          </w:p>
        </w:tc>
        <w:tc>
          <w:tcPr>
            <w:tcW w:w="1959" w:type="dxa"/>
            <w:tcBorders>
              <w:top w:val="nil"/>
              <w:left w:val="nil"/>
              <w:bottom w:val="nil"/>
              <w:right w:val="nil"/>
            </w:tcBorders>
            <w:shd w:val="clear" w:color="auto" w:fill="FFFFFF"/>
          </w:tcPr>
          <w:p w14:paraId="50A0B25E" w14:textId="77777777" w:rsidR="001E395C" w:rsidRPr="007574A2" w:rsidRDefault="005D59A1" w:rsidP="00E73994">
            <w:pPr>
              <w:shd w:val="clear" w:color="auto" w:fill="FFFFFF"/>
              <w:ind w:right="144"/>
              <w:jc w:val="right"/>
              <w:rPr>
                <w:sz w:val="24"/>
                <w:szCs w:val="22"/>
              </w:rPr>
            </w:pPr>
            <w:r w:rsidRPr="007574A2">
              <w:rPr>
                <w:sz w:val="24"/>
                <w:szCs w:val="22"/>
              </w:rPr>
              <w:t>64,005,500</w:t>
            </w:r>
          </w:p>
        </w:tc>
      </w:tr>
      <w:tr w:rsidR="001E395C" w:rsidRPr="007574A2" w14:paraId="5F5E78D2" w14:textId="77777777" w:rsidTr="00E73994">
        <w:trPr>
          <w:trHeight w:val="20"/>
          <w:jc w:val="center"/>
        </w:trPr>
        <w:tc>
          <w:tcPr>
            <w:tcW w:w="5620" w:type="dxa"/>
            <w:shd w:val="clear" w:color="auto" w:fill="FFFFFF"/>
          </w:tcPr>
          <w:p w14:paraId="359D92F8" w14:textId="77777777" w:rsidR="001E395C" w:rsidRPr="007574A2" w:rsidRDefault="005D59A1" w:rsidP="00E73994">
            <w:pPr>
              <w:shd w:val="clear" w:color="auto" w:fill="FFFFFF"/>
              <w:tabs>
                <w:tab w:val="left" w:leader="dot" w:pos="5328"/>
              </w:tabs>
              <w:jc w:val="both"/>
              <w:rPr>
                <w:sz w:val="24"/>
                <w:szCs w:val="22"/>
              </w:rPr>
            </w:pPr>
            <w:r w:rsidRPr="007574A2">
              <w:rPr>
                <w:sz w:val="24"/>
                <w:szCs w:val="22"/>
              </w:rPr>
              <w:t>Victoria</w:t>
            </w:r>
            <w:r w:rsidR="00E73994">
              <w:rPr>
                <w:sz w:val="24"/>
                <w:szCs w:val="22"/>
              </w:rPr>
              <w:tab/>
            </w:r>
          </w:p>
        </w:tc>
        <w:tc>
          <w:tcPr>
            <w:tcW w:w="2250" w:type="dxa"/>
            <w:shd w:val="clear" w:color="auto" w:fill="FFFFFF"/>
          </w:tcPr>
          <w:p w14:paraId="791BF67A" w14:textId="77777777" w:rsidR="001E395C" w:rsidRPr="007574A2" w:rsidRDefault="005D59A1" w:rsidP="00E73994">
            <w:pPr>
              <w:shd w:val="clear" w:color="auto" w:fill="FFFFFF"/>
              <w:ind w:right="144"/>
              <w:jc w:val="right"/>
              <w:rPr>
                <w:sz w:val="24"/>
                <w:szCs w:val="22"/>
              </w:rPr>
            </w:pPr>
            <w:r w:rsidRPr="007574A2">
              <w:rPr>
                <w:sz w:val="24"/>
                <w:szCs w:val="22"/>
              </w:rPr>
              <w:t>101,759,000</w:t>
            </w:r>
          </w:p>
        </w:tc>
        <w:tc>
          <w:tcPr>
            <w:tcW w:w="1959" w:type="dxa"/>
            <w:tcBorders>
              <w:top w:val="nil"/>
              <w:left w:val="nil"/>
              <w:bottom w:val="nil"/>
              <w:right w:val="nil"/>
            </w:tcBorders>
            <w:shd w:val="clear" w:color="auto" w:fill="FFFFFF"/>
          </w:tcPr>
          <w:p w14:paraId="40CBA3FA" w14:textId="77777777" w:rsidR="001E395C" w:rsidRPr="007574A2" w:rsidRDefault="005D59A1" w:rsidP="00E73994">
            <w:pPr>
              <w:shd w:val="clear" w:color="auto" w:fill="FFFFFF"/>
              <w:ind w:right="144"/>
              <w:jc w:val="right"/>
              <w:rPr>
                <w:sz w:val="24"/>
                <w:szCs w:val="22"/>
              </w:rPr>
            </w:pPr>
            <w:r w:rsidRPr="007574A2">
              <w:rPr>
                <w:sz w:val="24"/>
                <w:szCs w:val="22"/>
              </w:rPr>
              <w:t>50,879,500</w:t>
            </w:r>
          </w:p>
        </w:tc>
      </w:tr>
      <w:tr w:rsidR="001E395C" w:rsidRPr="007574A2" w14:paraId="064F7B9D" w14:textId="77777777" w:rsidTr="00E73994">
        <w:trPr>
          <w:trHeight w:val="20"/>
          <w:jc w:val="center"/>
        </w:trPr>
        <w:tc>
          <w:tcPr>
            <w:tcW w:w="5620" w:type="dxa"/>
            <w:shd w:val="clear" w:color="auto" w:fill="FFFFFF"/>
          </w:tcPr>
          <w:p w14:paraId="464E09AC" w14:textId="77777777" w:rsidR="001E395C" w:rsidRPr="007574A2" w:rsidRDefault="005D59A1" w:rsidP="00E73994">
            <w:pPr>
              <w:shd w:val="clear" w:color="auto" w:fill="FFFFFF"/>
              <w:tabs>
                <w:tab w:val="left" w:leader="dot" w:pos="5328"/>
              </w:tabs>
              <w:jc w:val="both"/>
              <w:rPr>
                <w:sz w:val="24"/>
                <w:szCs w:val="22"/>
              </w:rPr>
            </w:pPr>
            <w:r w:rsidRPr="007574A2">
              <w:rPr>
                <w:sz w:val="24"/>
                <w:szCs w:val="22"/>
              </w:rPr>
              <w:t>Queensland</w:t>
            </w:r>
            <w:r w:rsidR="00E73994">
              <w:rPr>
                <w:sz w:val="24"/>
                <w:szCs w:val="22"/>
              </w:rPr>
              <w:tab/>
            </w:r>
          </w:p>
        </w:tc>
        <w:tc>
          <w:tcPr>
            <w:tcW w:w="2250" w:type="dxa"/>
            <w:shd w:val="clear" w:color="auto" w:fill="FFFFFF"/>
          </w:tcPr>
          <w:p w14:paraId="3AD5EF37" w14:textId="77777777" w:rsidR="001E395C" w:rsidRPr="007574A2" w:rsidRDefault="005D59A1" w:rsidP="00E73994">
            <w:pPr>
              <w:shd w:val="clear" w:color="auto" w:fill="FFFFFF"/>
              <w:ind w:right="144"/>
              <w:jc w:val="right"/>
              <w:rPr>
                <w:sz w:val="24"/>
                <w:szCs w:val="22"/>
              </w:rPr>
            </w:pPr>
            <w:r w:rsidRPr="007574A2">
              <w:rPr>
                <w:sz w:val="24"/>
                <w:szCs w:val="22"/>
              </w:rPr>
              <w:t>39,810,000</w:t>
            </w:r>
          </w:p>
        </w:tc>
        <w:tc>
          <w:tcPr>
            <w:tcW w:w="1959" w:type="dxa"/>
            <w:tcBorders>
              <w:top w:val="nil"/>
              <w:left w:val="nil"/>
              <w:bottom w:val="nil"/>
              <w:right w:val="nil"/>
            </w:tcBorders>
            <w:shd w:val="clear" w:color="auto" w:fill="FFFFFF"/>
          </w:tcPr>
          <w:p w14:paraId="3C46E1C1" w14:textId="77777777" w:rsidR="001E395C" w:rsidRPr="007574A2" w:rsidRDefault="005D59A1" w:rsidP="00E73994">
            <w:pPr>
              <w:shd w:val="clear" w:color="auto" w:fill="FFFFFF"/>
              <w:ind w:right="144"/>
              <w:jc w:val="right"/>
              <w:rPr>
                <w:sz w:val="24"/>
                <w:szCs w:val="22"/>
              </w:rPr>
            </w:pPr>
            <w:r w:rsidRPr="007574A2">
              <w:rPr>
                <w:sz w:val="24"/>
                <w:szCs w:val="22"/>
              </w:rPr>
              <w:t>19,905,000</w:t>
            </w:r>
          </w:p>
        </w:tc>
      </w:tr>
      <w:tr w:rsidR="001E395C" w:rsidRPr="007574A2" w14:paraId="73DBF1BD" w14:textId="77777777" w:rsidTr="00E73994">
        <w:trPr>
          <w:trHeight w:val="20"/>
          <w:jc w:val="center"/>
        </w:trPr>
        <w:tc>
          <w:tcPr>
            <w:tcW w:w="5620" w:type="dxa"/>
            <w:shd w:val="clear" w:color="auto" w:fill="FFFFFF"/>
          </w:tcPr>
          <w:p w14:paraId="3245E8FD" w14:textId="77777777" w:rsidR="001E395C" w:rsidRPr="007574A2" w:rsidRDefault="005D59A1" w:rsidP="00E73994">
            <w:pPr>
              <w:shd w:val="clear" w:color="auto" w:fill="FFFFFF"/>
              <w:tabs>
                <w:tab w:val="left" w:leader="dot" w:pos="5328"/>
              </w:tabs>
              <w:jc w:val="both"/>
              <w:rPr>
                <w:sz w:val="24"/>
                <w:szCs w:val="22"/>
              </w:rPr>
            </w:pPr>
            <w:r w:rsidRPr="007574A2">
              <w:rPr>
                <w:sz w:val="24"/>
                <w:szCs w:val="22"/>
              </w:rPr>
              <w:t>South Australia</w:t>
            </w:r>
            <w:r w:rsidR="00E73994">
              <w:rPr>
                <w:sz w:val="24"/>
                <w:szCs w:val="22"/>
              </w:rPr>
              <w:tab/>
            </w:r>
          </w:p>
        </w:tc>
        <w:tc>
          <w:tcPr>
            <w:tcW w:w="2250" w:type="dxa"/>
            <w:shd w:val="clear" w:color="auto" w:fill="FFFFFF"/>
          </w:tcPr>
          <w:p w14:paraId="3F07F92B" w14:textId="77777777" w:rsidR="001E395C" w:rsidRPr="007574A2" w:rsidRDefault="005D59A1" w:rsidP="00E73994">
            <w:pPr>
              <w:shd w:val="clear" w:color="auto" w:fill="FFFFFF"/>
              <w:ind w:right="144"/>
              <w:jc w:val="right"/>
              <w:rPr>
                <w:sz w:val="24"/>
                <w:szCs w:val="22"/>
              </w:rPr>
            </w:pPr>
            <w:r w:rsidRPr="007574A2">
              <w:rPr>
                <w:sz w:val="24"/>
                <w:szCs w:val="22"/>
              </w:rPr>
              <w:t>58,460,000</w:t>
            </w:r>
          </w:p>
        </w:tc>
        <w:tc>
          <w:tcPr>
            <w:tcW w:w="1959" w:type="dxa"/>
            <w:tcBorders>
              <w:top w:val="nil"/>
              <w:left w:val="nil"/>
              <w:bottom w:val="nil"/>
              <w:right w:val="nil"/>
            </w:tcBorders>
            <w:shd w:val="clear" w:color="auto" w:fill="FFFFFF"/>
          </w:tcPr>
          <w:p w14:paraId="2FEEB67F" w14:textId="77777777" w:rsidR="001E395C" w:rsidRPr="007574A2" w:rsidRDefault="005D59A1" w:rsidP="00E73994">
            <w:pPr>
              <w:shd w:val="clear" w:color="auto" w:fill="FFFFFF"/>
              <w:ind w:right="144"/>
              <w:jc w:val="right"/>
              <w:rPr>
                <w:sz w:val="24"/>
                <w:szCs w:val="22"/>
              </w:rPr>
            </w:pPr>
            <w:r w:rsidRPr="007574A2">
              <w:rPr>
                <w:sz w:val="24"/>
                <w:szCs w:val="22"/>
              </w:rPr>
              <w:t>29,230,000</w:t>
            </w:r>
          </w:p>
        </w:tc>
      </w:tr>
      <w:tr w:rsidR="001E395C" w:rsidRPr="007574A2" w14:paraId="3BCE07B1" w14:textId="77777777" w:rsidTr="00E73994">
        <w:trPr>
          <w:trHeight w:val="20"/>
          <w:jc w:val="center"/>
        </w:trPr>
        <w:tc>
          <w:tcPr>
            <w:tcW w:w="5620" w:type="dxa"/>
            <w:shd w:val="clear" w:color="auto" w:fill="FFFFFF"/>
          </w:tcPr>
          <w:p w14:paraId="57D5C410" w14:textId="77777777" w:rsidR="001E395C" w:rsidRPr="007574A2" w:rsidRDefault="005D59A1" w:rsidP="00E73994">
            <w:pPr>
              <w:shd w:val="clear" w:color="auto" w:fill="FFFFFF"/>
              <w:tabs>
                <w:tab w:val="left" w:leader="dot" w:pos="5328"/>
              </w:tabs>
              <w:jc w:val="both"/>
              <w:rPr>
                <w:sz w:val="24"/>
                <w:szCs w:val="22"/>
              </w:rPr>
            </w:pPr>
            <w:r w:rsidRPr="007574A2">
              <w:rPr>
                <w:sz w:val="24"/>
                <w:szCs w:val="22"/>
              </w:rPr>
              <w:t>Western Australia</w:t>
            </w:r>
            <w:r w:rsidR="00E73994">
              <w:rPr>
                <w:sz w:val="24"/>
                <w:szCs w:val="22"/>
              </w:rPr>
              <w:tab/>
            </w:r>
          </w:p>
        </w:tc>
        <w:tc>
          <w:tcPr>
            <w:tcW w:w="2250" w:type="dxa"/>
            <w:shd w:val="clear" w:color="auto" w:fill="FFFFFF"/>
          </w:tcPr>
          <w:p w14:paraId="3ECF82F0" w14:textId="77777777" w:rsidR="001E395C" w:rsidRPr="007574A2" w:rsidRDefault="005D59A1" w:rsidP="00E73994">
            <w:pPr>
              <w:shd w:val="clear" w:color="auto" w:fill="FFFFFF"/>
              <w:ind w:right="144"/>
              <w:jc w:val="right"/>
              <w:rPr>
                <w:sz w:val="24"/>
                <w:szCs w:val="22"/>
              </w:rPr>
            </w:pPr>
            <w:r w:rsidRPr="007574A2">
              <w:rPr>
                <w:sz w:val="24"/>
                <w:szCs w:val="22"/>
              </w:rPr>
              <w:t>36,740,000</w:t>
            </w:r>
          </w:p>
        </w:tc>
        <w:tc>
          <w:tcPr>
            <w:tcW w:w="1959" w:type="dxa"/>
            <w:tcBorders>
              <w:top w:val="nil"/>
              <w:left w:val="nil"/>
              <w:bottom w:val="nil"/>
              <w:right w:val="nil"/>
            </w:tcBorders>
            <w:shd w:val="clear" w:color="auto" w:fill="FFFFFF"/>
          </w:tcPr>
          <w:p w14:paraId="39DF04F5" w14:textId="77777777" w:rsidR="001E395C" w:rsidRPr="007574A2" w:rsidRDefault="005D59A1" w:rsidP="00E73994">
            <w:pPr>
              <w:shd w:val="clear" w:color="auto" w:fill="FFFFFF"/>
              <w:ind w:right="144"/>
              <w:jc w:val="right"/>
              <w:rPr>
                <w:sz w:val="24"/>
                <w:szCs w:val="22"/>
              </w:rPr>
            </w:pPr>
            <w:r w:rsidRPr="007574A2">
              <w:rPr>
                <w:sz w:val="24"/>
                <w:szCs w:val="22"/>
              </w:rPr>
              <w:t>18,370,000</w:t>
            </w:r>
          </w:p>
        </w:tc>
      </w:tr>
      <w:tr w:rsidR="001E395C" w:rsidRPr="007574A2" w14:paraId="1A592311" w14:textId="77777777" w:rsidTr="00E73994">
        <w:trPr>
          <w:trHeight w:val="20"/>
          <w:jc w:val="center"/>
        </w:trPr>
        <w:tc>
          <w:tcPr>
            <w:tcW w:w="5620" w:type="dxa"/>
            <w:shd w:val="clear" w:color="auto" w:fill="FFFFFF"/>
          </w:tcPr>
          <w:p w14:paraId="6A09DF39" w14:textId="77777777" w:rsidR="001E395C" w:rsidRPr="007574A2" w:rsidRDefault="005D59A1" w:rsidP="00E73994">
            <w:pPr>
              <w:shd w:val="clear" w:color="auto" w:fill="FFFFFF"/>
              <w:tabs>
                <w:tab w:val="left" w:leader="dot" w:pos="5328"/>
              </w:tabs>
              <w:jc w:val="both"/>
              <w:rPr>
                <w:sz w:val="24"/>
                <w:szCs w:val="22"/>
              </w:rPr>
            </w:pPr>
            <w:r w:rsidRPr="007574A2">
              <w:rPr>
                <w:sz w:val="24"/>
                <w:szCs w:val="22"/>
              </w:rPr>
              <w:t>Tasmania</w:t>
            </w:r>
            <w:r w:rsidR="00E73994">
              <w:rPr>
                <w:sz w:val="24"/>
                <w:szCs w:val="22"/>
              </w:rPr>
              <w:tab/>
            </w:r>
          </w:p>
        </w:tc>
        <w:tc>
          <w:tcPr>
            <w:tcW w:w="2250" w:type="dxa"/>
            <w:tcBorders>
              <w:bottom w:val="single" w:sz="4" w:space="0" w:color="auto"/>
            </w:tcBorders>
            <w:shd w:val="clear" w:color="auto" w:fill="FFFFFF"/>
          </w:tcPr>
          <w:p w14:paraId="17C58A51" w14:textId="77777777" w:rsidR="001E395C" w:rsidRPr="007574A2" w:rsidRDefault="005D59A1" w:rsidP="00E73994">
            <w:pPr>
              <w:shd w:val="clear" w:color="auto" w:fill="FFFFFF"/>
              <w:ind w:right="144"/>
              <w:jc w:val="right"/>
              <w:rPr>
                <w:sz w:val="24"/>
                <w:szCs w:val="22"/>
              </w:rPr>
            </w:pPr>
            <w:r w:rsidRPr="007574A2">
              <w:rPr>
                <w:sz w:val="24"/>
                <w:szCs w:val="22"/>
              </w:rPr>
              <w:t>25,220,000</w:t>
            </w:r>
          </w:p>
        </w:tc>
        <w:tc>
          <w:tcPr>
            <w:tcW w:w="1959" w:type="dxa"/>
            <w:tcBorders>
              <w:top w:val="nil"/>
              <w:left w:val="nil"/>
              <w:bottom w:val="single" w:sz="6" w:space="0" w:color="auto"/>
              <w:right w:val="nil"/>
            </w:tcBorders>
            <w:shd w:val="clear" w:color="auto" w:fill="FFFFFF"/>
          </w:tcPr>
          <w:p w14:paraId="1057FB87" w14:textId="77777777" w:rsidR="001E395C" w:rsidRPr="007574A2" w:rsidRDefault="005D59A1" w:rsidP="00E73994">
            <w:pPr>
              <w:shd w:val="clear" w:color="auto" w:fill="FFFFFF"/>
              <w:ind w:right="144"/>
              <w:jc w:val="right"/>
              <w:rPr>
                <w:sz w:val="24"/>
                <w:szCs w:val="22"/>
              </w:rPr>
            </w:pPr>
            <w:r w:rsidRPr="007574A2">
              <w:rPr>
                <w:sz w:val="24"/>
                <w:szCs w:val="22"/>
              </w:rPr>
              <w:t>12,610,000</w:t>
            </w:r>
          </w:p>
        </w:tc>
      </w:tr>
      <w:tr w:rsidR="001E395C" w:rsidRPr="007574A2" w14:paraId="53942C96" w14:textId="77777777" w:rsidTr="00E73994">
        <w:trPr>
          <w:trHeight w:val="20"/>
          <w:jc w:val="center"/>
        </w:trPr>
        <w:tc>
          <w:tcPr>
            <w:tcW w:w="5620" w:type="dxa"/>
            <w:tcBorders>
              <w:left w:val="nil"/>
              <w:bottom w:val="single" w:sz="6" w:space="0" w:color="auto"/>
              <w:right w:val="nil"/>
            </w:tcBorders>
            <w:shd w:val="clear" w:color="auto" w:fill="FFFFFF"/>
          </w:tcPr>
          <w:p w14:paraId="68A2FF6A" w14:textId="77777777" w:rsidR="001E395C" w:rsidRPr="007574A2" w:rsidRDefault="001E395C" w:rsidP="007574A2">
            <w:pPr>
              <w:shd w:val="clear" w:color="auto" w:fill="FFFFFF"/>
              <w:jc w:val="both"/>
              <w:rPr>
                <w:sz w:val="24"/>
                <w:szCs w:val="22"/>
              </w:rPr>
            </w:pPr>
          </w:p>
        </w:tc>
        <w:tc>
          <w:tcPr>
            <w:tcW w:w="2250" w:type="dxa"/>
            <w:tcBorders>
              <w:top w:val="single" w:sz="4" w:space="0" w:color="auto"/>
              <w:left w:val="nil"/>
              <w:bottom w:val="single" w:sz="6" w:space="0" w:color="auto"/>
              <w:right w:val="nil"/>
            </w:tcBorders>
            <w:shd w:val="clear" w:color="auto" w:fill="FFFFFF"/>
          </w:tcPr>
          <w:p w14:paraId="502D8735" w14:textId="77777777" w:rsidR="001E395C" w:rsidRPr="007574A2" w:rsidRDefault="005D59A1" w:rsidP="00E73994">
            <w:pPr>
              <w:shd w:val="clear" w:color="auto" w:fill="FFFFFF"/>
              <w:ind w:right="144"/>
              <w:jc w:val="right"/>
              <w:rPr>
                <w:sz w:val="24"/>
                <w:szCs w:val="22"/>
              </w:rPr>
            </w:pPr>
            <w:r w:rsidRPr="007574A2">
              <w:rPr>
                <w:sz w:val="24"/>
                <w:szCs w:val="22"/>
              </w:rPr>
              <w:t>390,000,000</w:t>
            </w:r>
          </w:p>
        </w:tc>
        <w:tc>
          <w:tcPr>
            <w:tcW w:w="1959" w:type="dxa"/>
            <w:tcBorders>
              <w:top w:val="single" w:sz="6" w:space="0" w:color="auto"/>
              <w:left w:val="nil"/>
              <w:bottom w:val="single" w:sz="6" w:space="0" w:color="auto"/>
              <w:right w:val="nil"/>
            </w:tcBorders>
            <w:shd w:val="clear" w:color="auto" w:fill="FFFFFF"/>
          </w:tcPr>
          <w:p w14:paraId="7DA8E633" w14:textId="77777777" w:rsidR="001E395C" w:rsidRPr="007574A2" w:rsidRDefault="005D59A1" w:rsidP="00E73994">
            <w:pPr>
              <w:shd w:val="clear" w:color="auto" w:fill="FFFFFF"/>
              <w:ind w:right="144"/>
              <w:jc w:val="right"/>
              <w:rPr>
                <w:sz w:val="24"/>
                <w:szCs w:val="22"/>
              </w:rPr>
            </w:pPr>
            <w:r w:rsidRPr="007574A2">
              <w:rPr>
                <w:sz w:val="24"/>
                <w:szCs w:val="22"/>
              </w:rPr>
              <w:t>195,000,000</w:t>
            </w:r>
          </w:p>
        </w:tc>
      </w:tr>
    </w:tbl>
    <w:p w14:paraId="0C9E658A" w14:textId="731EC621" w:rsidR="005D59A1" w:rsidRPr="008A6532" w:rsidRDefault="00DB530A" w:rsidP="008A6532">
      <w:pPr>
        <w:shd w:val="clear" w:color="auto" w:fill="FFFFFF"/>
        <w:spacing w:before="720" w:after="120"/>
        <w:jc w:val="center"/>
        <w:rPr>
          <w:b/>
          <w:sz w:val="24"/>
          <w:szCs w:val="22"/>
        </w:rPr>
      </w:pPr>
      <w:r>
        <w:rPr>
          <w:b/>
          <w:noProof/>
          <w:sz w:val="24"/>
          <w:szCs w:val="22"/>
          <w:lang w:val="en-AU" w:eastAsia="en-AU"/>
        </w:rPr>
        <mc:AlternateContent>
          <mc:Choice Requires="wps">
            <w:drawing>
              <wp:anchor distT="0" distB="0" distL="114300" distR="114300" simplePos="0" relativeHeight="251659264" behindDoc="0" locked="0" layoutInCell="1" allowOverlap="1" wp14:anchorId="33AA0A84" wp14:editId="1D624A50">
                <wp:simplePos x="0" y="0"/>
                <wp:positionH relativeFrom="column">
                  <wp:posOffset>-47626</wp:posOffset>
                </wp:positionH>
                <wp:positionV relativeFrom="paragraph">
                  <wp:posOffset>171450</wp:posOffset>
                </wp:positionV>
                <wp:extent cx="6429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06898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13.5pt" to="50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" strokecolor="black [3040]"/>
            </w:pict>
          </mc:Fallback>
        </mc:AlternateContent>
      </w:r>
      <w:bookmarkStart w:id="0" w:name="_GoBack"/>
      <w:bookmarkEnd w:id="0"/>
    </w:p>
    <w:sectPr w:rsidR="005D59A1" w:rsidRPr="008A6532" w:rsidSect="000357EF">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2AD1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2AD125" w16cid:durableId="1F66FD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35098" w14:textId="77777777" w:rsidR="001D76F0" w:rsidRDefault="001D76F0" w:rsidP="000357EF">
      <w:r>
        <w:separator/>
      </w:r>
    </w:p>
  </w:endnote>
  <w:endnote w:type="continuationSeparator" w:id="0">
    <w:p w14:paraId="1C72ED20" w14:textId="77777777" w:rsidR="001D76F0" w:rsidRDefault="001D76F0" w:rsidP="0003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AC447" w14:textId="77777777" w:rsidR="001D76F0" w:rsidRDefault="001D76F0" w:rsidP="000357EF">
      <w:r>
        <w:separator/>
      </w:r>
    </w:p>
  </w:footnote>
  <w:footnote w:type="continuationSeparator" w:id="0">
    <w:p w14:paraId="1D92AEFC" w14:textId="77777777" w:rsidR="001D76F0" w:rsidRDefault="001D76F0" w:rsidP="00035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220F5" w14:textId="77777777" w:rsidR="000357EF" w:rsidRPr="00AE1375" w:rsidRDefault="000357EF" w:rsidP="00AE1375">
    <w:pPr>
      <w:widowControl/>
      <w:tabs>
        <w:tab w:val="left" w:pos="3870"/>
        <w:tab w:val="left" w:pos="9000"/>
      </w:tabs>
      <w:rPr>
        <w:rFonts w:cs="Georgia"/>
        <w:sz w:val="24"/>
        <w:szCs w:val="24"/>
      </w:rPr>
    </w:pPr>
    <w:r w:rsidRPr="000357EF">
      <w:rPr>
        <w:rFonts w:cs="Georgia"/>
        <w:sz w:val="24"/>
        <w:szCs w:val="24"/>
      </w:rPr>
      <w:t>No. 110</w:t>
    </w:r>
    <w:r w:rsidRPr="000357EF">
      <w:rPr>
        <w:rFonts w:cs="Georgia"/>
        <w:sz w:val="24"/>
        <w:szCs w:val="24"/>
      </w:rPr>
      <w:tab/>
    </w:r>
    <w:r>
      <w:rPr>
        <w:rFonts w:cs="Georgia"/>
        <w:i/>
        <w:sz w:val="24"/>
        <w:szCs w:val="24"/>
      </w:rPr>
      <w:t>S</w:t>
    </w:r>
    <w:r w:rsidRPr="000357EF">
      <w:rPr>
        <w:rFonts w:cs="Georgia"/>
        <w:i/>
        <w:sz w:val="24"/>
        <w:szCs w:val="24"/>
      </w:rPr>
      <w:t xml:space="preserve">tates </w:t>
    </w:r>
    <w:r>
      <w:rPr>
        <w:rFonts w:cs="Georgia"/>
        <w:i/>
        <w:sz w:val="24"/>
        <w:szCs w:val="24"/>
      </w:rPr>
      <w:t>G</w:t>
    </w:r>
    <w:r w:rsidRPr="000357EF">
      <w:rPr>
        <w:rFonts w:cs="Georgia"/>
        <w:i/>
        <w:sz w:val="24"/>
        <w:szCs w:val="24"/>
      </w:rPr>
      <w:t>rants (</w:t>
    </w:r>
    <w:r>
      <w:rPr>
        <w:rFonts w:cs="Georgia"/>
        <w:i/>
        <w:sz w:val="24"/>
        <w:szCs w:val="24"/>
      </w:rPr>
      <w:t>H</w:t>
    </w:r>
    <w:r w:rsidRPr="000357EF">
      <w:rPr>
        <w:rFonts w:cs="Georgia"/>
        <w:i/>
        <w:sz w:val="24"/>
        <w:szCs w:val="24"/>
      </w:rPr>
      <w:t xml:space="preserve">ousing </w:t>
    </w:r>
    <w:r>
      <w:rPr>
        <w:rFonts w:cs="Georgia"/>
        <w:i/>
        <w:sz w:val="24"/>
        <w:szCs w:val="24"/>
      </w:rPr>
      <w:t>A</w:t>
    </w:r>
    <w:r w:rsidRPr="000357EF">
      <w:rPr>
        <w:rFonts w:cs="Georgia"/>
        <w:i/>
        <w:sz w:val="24"/>
        <w:szCs w:val="24"/>
      </w:rPr>
      <w:t>ssistance)</w:t>
    </w:r>
    <w:r>
      <w:rPr>
        <w:rFonts w:cs="Georgia"/>
        <w:sz w:val="24"/>
        <w:szCs w:val="24"/>
      </w:rPr>
      <w:tab/>
    </w:r>
    <w:r w:rsidRPr="000357EF">
      <w:rPr>
        <w:rFonts w:cs="Georgia"/>
        <w:sz w:val="24"/>
        <w:szCs w:val="24"/>
      </w:rPr>
      <w:t>1977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CE796" w14:textId="77777777" w:rsidR="000357EF" w:rsidRDefault="00AE1375">
    <w:pPr>
      <w:pStyle w:val="Header"/>
    </w:pPr>
    <w:r w:rsidRPr="000357EF">
      <w:rPr>
        <w:rFonts w:cs="Georgia"/>
        <w:sz w:val="24"/>
        <w:szCs w:val="24"/>
      </w:rPr>
      <w:t>1977</w:t>
    </w:r>
    <w:r w:rsidRPr="000357EF">
      <w:rPr>
        <w:rFonts w:cs="Georgia"/>
        <w:sz w:val="24"/>
        <w:szCs w:val="24"/>
      </w:rPr>
      <w:tab/>
    </w:r>
    <w:r>
      <w:rPr>
        <w:rFonts w:cs="Georgia"/>
        <w:i/>
        <w:sz w:val="24"/>
        <w:szCs w:val="24"/>
      </w:rPr>
      <w:t>S</w:t>
    </w:r>
    <w:r w:rsidRPr="000357EF">
      <w:rPr>
        <w:rFonts w:cs="Georgia"/>
        <w:i/>
        <w:sz w:val="24"/>
        <w:szCs w:val="24"/>
      </w:rPr>
      <w:t xml:space="preserve">tates </w:t>
    </w:r>
    <w:r>
      <w:rPr>
        <w:rFonts w:cs="Georgia"/>
        <w:i/>
        <w:sz w:val="24"/>
        <w:szCs w:val="24"/>
      </w:rPr>
      <w:t>G</w:t>
    </w:r>
    <w:r w:rsidRPr="000357EF">
      <w:rPr>
        <w:rFonts w:cs="Georgia"/>
        <w:i/>
        <w:sz w:val="24"/>
        <w:szCs w:val="24"/>
      </w:rPr>
      <w:t>rants (</w:t>
    </w:r>
    <w:r>
      <w:rPr>
        <w:rFonts w:cs="Georgia"/>
        <w:i/>
        <w:sz w:val="24"/>
        <w:szCs w:val="24"/>
      </w:rPr>
      <w:t>H</w:t>
    </w:r>
    <w:r w:rsidRPr="000357EF">
      <w:rPr>
        <w:rFonts w:cs="Georgia"/>
        <w:i/>
        <w:sz w:val="24"/>
        <w:szCs w:val="24"/>
      </w:rPr>
      <w:t xml:space="preserve">ousing </w:t>
    </w:r>
    <w:r>
      <w:rPr>
        <w:rFonts w:cs="Georgia"/>
        <w:i/>
        <w:sz w:val="24"/>
        <w:szCs w:val="24"/>
      </w:rPr>
      <w:t>A</w:t>
    </w:r>
    <w:r w:rsidRPr="000357EF">
      <w:rPr>
        <w:rFonts w:cs="Georgia"/>
        <w:i/>
        <w:sz w:val="24"/>
        <w:szCs w:val="24"/>
      </w:rPr>
      <w:t>ssistance)</w:t>
    </w:r>
    <w:r>
      <w:rPr>
        <w:rFonts w:cs="Georgia"/>
        <w:sz w:val="24"/>
        <w:szCs w:val="24"/>
      </w:rPr>
      <w:tab/>
    </w:r>
    <w:r w:rsidRPr="000357EF">
      <w:rPr>
        <w:rFonts w:cs="Georgia"/>
        <w:sz w:val="24"/>
        <w:szCs w:val="24"/>
      </w:rPr>
      <w:t>No. 110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A7"/>
    <w:rsid w:val="000357EF"/>
    <w:rsid w:val="001C1AE0"/>
    <w:rsid w:val="001D76F0"/>
    <w:rsid w:val="001E395C"/>
    <w:rsid w:val="002B7E82"/>
    <w:rsid w:val="002C632B"/>
    <w:rsid w:val="003626A7"/>
    <w:rsid w:val="004D61AC"/>
    <w:rsid w:val="00552412"/>
    <w:rsid w:val="005D59A1"/>
    <w:rsid w:val="005F6EF4"/>
    <w:rsid w:val="00605CDD"/>
    <w:rsid w:val="00657648"/>
    <w:rsid w:val="007574A2"/>
    <w:rsid w:val="007A1C94"/>
    <w:rsid w:val="008A6532"/>
    <w:rsid w:val="009B2B39"/>
    <w:rsid w:val="00A73F25"/>
    <w:rsid w:val="00AE1375"/>
    <w:rsid w:val="00C40DE2"/>
    <w:rsid w:val="00C649A7"/>
    <w:rsid w:val="00CF1362"/>
    <w:rsid w:val="00D020C8"/>
    <w:rsid w:val="00D52176"/>
    <w:rsid w:val="00DB530A"/>
    <w:rsid w:val="00E2514F"/>
    <w:rsid w:val="00E7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FD168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7EF"/>
    <w:pPr>
      <w:tabs>
        <w:tab w:val="center" w:pos="4680"/>
        <w:tab w:val="right" w:pos="9360"/>
      </w:tabs>
    </w:pPr>
  </w:style>
  <w:style w:type="character" w:customStyle="1" w:styleId="HeaderChar">
    <w:name w:val="Header Char"/>
    <w:basedOn w:val="DefaultParagraphFont"/>
    <w:link w:val="Header"/>
    <w:uiPriority w:val="99"/>
    <w:rsid w:val="000357EF"/>
    <w:rPr>
      <w:rFonts w:ascii="Times New Roman" w:hAnsi="Times New Roman" w:cs="Times New Roman"/>
      <w:sz w:val="20"/>
      <w:szCs w:val="20"/>
    </w:rPr>
  </w:style>
  <w:style w:type="paragraph" w:styleId="Footer">
    <w:name w:val="footer"/>
    <w:basedOn w:val="Normal"/>
    <w:link w:val="FooterChar"/>
    <w:uiPriority w:val="99"/>
    <w:unhideWhenUsed/>
    <w:rsid w:val="000357EF"/>
    <w:pPr>
      <w:tabs>
        <w:tab w:val="center" w:pos="4680"/>
        <w:tab w:val="right" w:pos="9360"/>
      </w:tabs>
    </w:pPr>
  </w:style>
  <w:style w:type="character" w:customStyle="1" w:styleId="FooterChar">
    <w:name w:val="Footer Char"/>
    <w:basedOn w:val="DefaultParagraphFont"/>
    <w:link w:val="Footer"/>
    <w:uiPriority w:val="99"/>
    <w:rsid w:val="000357EF"/>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5F6EF4"/>
    <w:rPr>
      <w:sz w:val="16"/>
      <w:szCs w:val="16"/>
    </w:rPr>
  </w:style>
  <w:style w:type="paragraph" w:styleId="CommentText">
    <w:name w:val="annotation text"/>
    <w:basedOn w:val="Normal"/>
    <w:link w:val="CommentTextChar"/>
    <w:uiPriority w:val="99"/>
    <w:semiHidden/>
    <w:unhideWhenUsed/>
    <w:rsid w:val="005F6EF4"/>
  </w:style>
  <w:style w:type="character" w:customStyle="1" w:styleId="CommentTextChar">
    <w:name w:val="Comment Text Char"/>
    <w:basedOn w:val="DefaultParagraphFont"/>
    <w:link w:val="CommentText"/>
    <w:uiPriority w:val="99"/>
    <w:semiHidden/>
    <w:rsid w:val="005F6EF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6EF4"/>
    <w:rPr>
      <w:b/>
      <w:bCs/>
    </w:rPr>
  </w:style>
  <w:style w:type="character" w:customStyle="1" w:styleId="CommentSubjectChar">
    <w:name w:val="Comment Subject Char"/>
    <w:basedOn w:val="CommentTextChar"/>
    <w:link w:val="CommentSubject"/>
    <w:uiPriority w:val="99"/>
    <w:semiHidden/>
    <w:rsid w:val="005F6EF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F6E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EF4"/>
    <w:rPr>
      <w:rFonts w:ascii="Segoe UI" w:hAnsi="Segoe UI" w:cs="Segoe UI"/>
      <w:sz w:val="18"/>
      <w:szCs w:val="18"/>
    </w:rPr>
  </w:style>
  <w:style w:type="paragraph" w:styleId="Revision">
    <w:name w:val="Revision"/>
    <w:hidden/>
    <w:uiPriority w:val="99"/>
    <w:semiHidden/>
    <w:rsid w:val="008A6532"/>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7EF"/>
    <w:pPr>
      <w:tabs>
        <w:tab w:val="center" w:pos="4680"/>
        <w:tab w:val="right" w:pos="9360"/>
      </w:tabs>
    </w:pPr>
  </w:style>
  <w:style w:type="character" w:customStyle="1" w:styleId="HeaderChar">
    <w:name w:val="Header Char"/>
    <w:basedOn w:val="DefaultParagraphFont"/>
    <w:link w:val="Header"/>
    <w:uiPriority w:val="99"/>
    <w:rsid w:val="000357EF"/>
    <w:rPr>
      <w:rFonts w:ascii="Times New Roman" w:hAnsi="Times New Roman" w:cs="Times New Roman"/>
      <w:sz w:val="20"/>
      <w:szCs w:val="20"/>
    </w:rPr>
  </w:style>
  <w:style w:type="paragraph" w:styleId="Footer">
    <w:name w:val="footer"/>
    <w:basedOn w:val="Normal"/>
    <w:link w:val="FooterChar"/>
    <w:uiPriority w:val="99"/>
    <w:unhideWhenUsed/>
    <w:rsid w:val="000357EF"/>
    <w:pPr>
      <w:tabs>
        <w:tab w:val="center" w:pos="4680"/>
        <w:tab w:val="right" w:pos="9360"/>
      </w:tabs>
    </w:pPr>
  </w:style>
  <w:style w:type="character" w:customStyle="1" w:styleId="FooterChar">
    <w:name w:val="Footer Char"/>
    <w:basedOn w:val="DefaultParagraphFont"/>
    <w:link w:val="Footer"/>
    <w:uiPriority w:val="99"/>
    <w:rsid w:val="000357EF"/>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5F6EF4"/>
    <w:rPr>
      <w:sz w:val="16"/>
      <w:szCs w:val="16"/>
    </w:rPr>
  </w:style>
  <w:style w:type="paragraph" w:styleId="CommentText">
    <w:name w:val="annotation text"/>
    <w:basedOn w:val="Normal"/>
    <w:link w:val="CommentTextChar"/>
    <w:uiPriority w:val="99"/>
    <w:semiHidden/>
    <w:unhideWhenUsed/>
    <w:rsid w:val="005F6EF4"/>
  </w:style>
  <w:style w:type="character" w:customStyle="1" w:styleId="CommentTextChar">
    <w:name w:val="Comment Text Char"/>
    <w:basedOn w:val="DefaultParagraphFont"/>
    <w:link w:val="CommentText"/>
    <w:uiPriority w:val="99"/>
    <w:semiHidden/>
    <w:rsid w:val="005F6EF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6EF4"/>
    <w:rPr>
      <w:b/>
      <w:bCs/>
    </w:rPr>
  </w:style>
  <w:style w:type="character" w:customStyle="1" w:styleId="CommentSubjectChar">
    <w:name w:val="Comment Subject Char"/>
    <w:basedOn w:val="CommentTextChar"/>
    <w:link w:val="CommentSubject"/>
    <w:uiPriority w:val="99"/>
    <w:semiHidden/>
    <w:rsid w:val="005F6EF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F6E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EF4"/>
    <w:rPr>
      <w:rFonts w:ascii="Segoe UI" w:hAnsi="Segoe UI" w:cs="Segoe UI"/>
      <w:sz w:val="18"/>
      <w:szCs w:val="18"/>
    </w:rPr>
  </w:style>
  <w:style w:type="paragraph" w:styleId="Revision">
    <w:name w:val="Revision"/>
    <w:hidden/>
    <w:uiPriority w:val="99"/>
    <w:semiHidden/>
    <w:rsid w:val="008A6532"/>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939</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INVTG</dc:creator>
  <cp:keywords/>
  <dc:description/>
  <cp:lastModifiedBy>Harper, Michael</cp:lastModifiedBy>
  <cp:revision>3</cp:revision>
  <dcterms:created xsi:type="dcterms:W3CDTF">2018-10-09T00:15:00Z</dcterms:created>
  <dcterms:modified xsi:type="dcterms:W3CDTF">2019-09-02T03:49:00Z</dcterms:modified>
</cp:coreProperties>
</file>