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B9" w:rsidRPr="002A61FA" w:rsidRDefault="00D02B1B" w:rsidP="002A61FA">
      <w:pPr>
        <w:jc w:val="center"/>
        <w:rPr>
          <w:rFonts w:ascii="Times New Roman" w:hAnsi="Times New Roman" w:cs="Times New Roman"/>
          <w:sz w:val="32"/>
        </w:rPr>
      </w:pPr>
      <w:bookmarkStart w:id="0" w:name="bookmark0"/>
      <w:bookmarkStart w:id="1" w:name="_GoBack"/>
      <w:bookmarkEnd w:id="1"/>
      <w:r w:rsidRPr="002A61FA">
        <w:rPr>
          <w:rFonts w:ascii="Times New Roman" w:hAnsi="Times New Roman" w:cs="Times New Roman"/>
          <w:b/>
          <w:bCs/>
          <w:sz w:val="32"/>
        </w:rPr>
        <w:t>DEFENCE AMENDMENT ACT (No. 2) 1977</w:t>
      </w:r>
      <w:bookmarkEnd w:id="0"/>
    </w:p>
    <w:p w:rsidR="00CE20B9" w:rsidRPr="0083557B" w:rsidRDefault="00D02B1B" w:rsidP="002A61FA">
      <w:pPr>
        <w:shd w:val="clear" w:color="auto" w:fill="FFFFFF"/>
        <w:autoSpaceDE w:val="0"/>
        <w:autoSpaceDN w:val="0"/>
        <w:adjustRightInd w:val="0"/>
        <w:spacing w:before="360" w:after="360"/>
        <w:jc w:val="center"/>
        <w:rPr>
          <w:rFonts w:ascii="Times New Roman" w:hAnsi="Times New Roman" w:cs="Times New Roman"/>
          <w:sz w:val="28"/>
        </w:rPr>
      </w:pPr>
      <w:r w:rsidRPr="0083557B">
        <w:rPr>
          <w:rFonts w:ascii="Times New Roman" w:hAnsi="Times New Roman" w:cs="Times New Roman"/>
          <w:b/>
          <w:bCs/>
          <w:sz w:val="28"/>
        </w:rPr>
        <w:t>No. 20 of 1977</w:t>
      </w:r>
    </w:p>
    <w:p w:rsidR="00CE20B9" w:rsidRPr="002A61FA" w:rsidRDefault="00D02B1B" w:rsidP="002A61FA">
      <w:pPr>
        <w:shd w:val="clear" w:color="auto" w:fill="FFFFFF"/>
        <w:autoSpaceDE w:val="0"/>
        <w:autoSpaceDN w:val="0"/>
        <w:adjustRightInd w:val="0"/>
        <w:spacing w:after="400"/>
        <w:jc w:val="both"/>
        <w:rPr>
          <w:rFonts w:ascii="Times New Roman" w:hAnsi="Times New Roman" w:cs="Times New Roman"/>
        </w:rPr>
      </w:pPr>
      <w:r w:rsidRPr="002A61FA">
        <w:rPr>
          <w:rFonts w:ascii="Times New Roman" w:hAnsi="Times New Roman" w:cs="Times New Roman"/>
        </w:rPr>
        <w:t>An Act to amend sections 80</w:t>
      </w:r>
      <w:r w:rsidRPr="002A61FA">
        <w:rPr>
          <w:rFonts w:ascii="Times New Roman" w:hAnsi="Times New Roman" w:cs="Times New Roman"/>
          <w:smallCaps/>
        </w:rPr>
        <w:t>b</w:t>
      </w:r>
      <w:r w:rsidRPr="002A61FA">
        <w:rPr>
          <w:rFonts w:ascii="Times New Roman" w:hAnsi="Times New Roman" w:cs="Times New Roman"/>
        </w:rPr>
        <w:t xml:space="preserve"> and 83 of the </w:t>
      </w:r>
      <w:r w:rsidRPr="002A61FA">
        <w:rPr>
          <w:rFonts w:ascii="Times New Roman" w:hAnsi="Times New Roman" w:cs="Times New Roman"/>
          <w:i/>
          <w:iCs/>
        </w:rPr>
        <w:t>Defence Act</w:t>
      </w:r>
      <w:r w:rsidRPr="002A61FA">
        <w:rPr>
          <w:rFonts w:ascii="Times New Roman" w:hAnsi="Times New Roman" w:cs="Times New Roman"/>
        </w:rPr>
        <w:t xml:space="preserve"> 1903.</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BE IT ENACTED by the Queen, and the Senate and House of Representatives of the Commonwealth of Australia, as follows:—</w:t>
      </w:r>
    </w:p>
    <w:p w:rsidR="00CE20B9" w:rsidRPr="002A61FA" w:rsidRDefault="00D02B1B" w:rsidP="002A61FA">
      <w:pPr>
        <w:spacing w:before="120" w:after="60"/>
        <w:jc w:val="both"/>
        <w:rPr>
          <w:rFonts w:ascii="Times New Roman" w:hAnsi="Times New Roman" w:cs="Times New Roman"/>
          <w:b/>
          <w:sz w:val="20"/>
        </w:rPr>
      </w:pPr>
      <w:r w:rsidRPr="002A61FA">
        <w:rPr>
          <w:rFonts w:ascii="Times New Roman" w:hAnsi="Times New Roman" w:cs="Times New Roman"/>
          <w:b/>
          <w:sz w:val="20"/>
        </w:rPr>
        <w:t>Short title, &amp;c.</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b/>
          <w:bCs/>
        </w:rPr>
        <w:t>1.</w:t>
      </w:r>
      <w:r w:rsidRPr="002A61FA">
        <w:rPr>
          <w:rFonts w:ascii="Times New Roman" w:hAnsi="Times New Roman" w:cs="Times New Roman"/>
        </w:rPr>
        <w:t xml:space="preserve"> (1) This Act may be cited as the </w:t>
      </w:r>
      <w:r w:rsidRPr="002A61FA">
        <w:rPr>
          <w:rFonts w:ascii="Times New Roman" w:hAnsi="Times New Roman" w:cs="Times New Roman"/>
          <w:i/>
          <w:iCs/>
        </w:rPr>
        <w:t xml:space="preserve">Defence Amendment Act </w:t>
      </w:r>
      <w:r w:rsidRPr="002A61FA">
        <w:rPr>
          <w:rFonts w:ascii="Times New Roman" w:hAnsi="Times New Roman" w:cs="Times New Roman"/>
        </w:rPr>
        <w:t>(</w:t>
      </w:r>
      <w:r w:rsidRPr="002A61FA">
        <w:rPr>
          <w:rFonts w:ascii="Times New Roman" w:hAnsi="Times New Roman" w:cs="Times New Roman"/>
          <w:i/>
          <w:iCs/>
        </w:rPr>
        <w:t>No.</w:t>
      </w:r>
      <w:r w:rsidRPr="002A61FA">
        <w:rPr>
          <w:rFonts w:ascii="Times New Roman" w:hAnsi="Times New Roman" w:cs="Times New Roman"/>
        </w:rPr>
        <w:t xml:space="preserve"> 2) 1977.</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 xml:space="preserve">(2) The </w:t>
      </w:r>
      <w:proofErr w:type="spellStart"/>
      <w:r w:rsidRPr="002A61FA">
        <w:rPr>
          <w:rFonts w:ascii="Times New Roman" w:hAnsi="Times New Roman" w:cs="Times New Roman"/>
          <w:i/>
          <w:iCs/>
        </w:rPr>
        <w:t>Defence</w:t>
      </w:r>
      <w:proofErr w:type="spellEnd"/>
      <w:r w:rsidRPr="002A61FA">
        <w:rPr>
          <w:rFonts w:ascii="Times New Roman" w:hAnsi="Times New Roman" w:cs="Times New Roman"/>
          <w:i/>
          <w:iCs/>
        </w:rPr>
        <w:t xml:space="preserve"> Act</w:t>
      </w:r>
      <w:r w:rsidRPr="002A61FA">
        <w:rPr>
          <w:rFonts w:ascii="Times New Roman" w:hAnsi="Times New Roman" w:cs="Times New Roman"/>
        </w:rPr>
        <w:t xml:space="preserve"> 1903 is in this Act referred to as the Principal Act.</w:t>
      </w:r>
    </w:p>
    <w:p w:rsidR="00CE20B9" w:rsidRPr="002A61FA" w:rsidRDefault="00D02B1B" w:rsidP="002A61FA">
      <w:pPr>
        <w:spacing w:before="120" w:after="60"/>
        <w:jc w:val="both"/>
        <w:rPr>
          <w:rFonts w:ascii="Times New Roman" w:hAnsi="Times New Roman" w:cs="Times New Roman"/>
          <w:b/>
          <w:sz w:val="20"/>
        </w:rPr>
      </w:pPr>
      <w:r w:rsidRPr="002A61FA">
        <w:rPr>
          <w:rFonts w:ascii="Times New Roman" w:hAnsi="Times New Roman" w:cs="Times New Roman"/>
          <w:b/>
          <w:sz w:val="20"/>
        </w:rPr>
        <w:t>Commencement</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b/>
          <w:bCs/>
        </w:rPr>
        <w:t>2.</w:t>
      </w:r>
      <w:r w:rsidR="005F0AB2" w:rsidRPr="002A61FA">
        <w:rPr>
          <w:rFonts w:ascii="Times New Roman" w:hAnsi="Times New Roman" w:cs="Times New Roman"/>
        </w:rPr>
        <w:t xml:space="preserve"> </w:t>
      </w:r>
      <w:r w:rsidRPr="002A61FA">
        <w:rPr>
          <w:rFonts w:ascii="Times New Roman" w:hAnsi="Times New Roman" w:cs="Times New Roman"/>
        </w:rPr>
        <w:t>This Act shall come into operation on the day on which it receives the Royal Assent.</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b/>
          <w:bCs/>
        </w:rPr>
        <w:t>3.</w:t>
      </w:r>
      <w:r w:rsidR="005F0AB2" w:rsidRPr="002A61FA">
        <w:rPr>
          <w:rFonts w:ascii="Times New Roman" w:hAnsi="Times New Roman" w:cs="Times New Roman"/>
        </w:rPr>
        <w:t xml:space="preserve"> </w:t>
      </w:r>
      <w:r w:rsidRPr="002A61FA">
        <w:rPr>
          <w:rFonts w:ascii="Times New Roman" w:hAnsi="Times New Roman" w:cs="Times New Roman"/>
        </w:rPr>
        <w:t>Section 80</w:t>
      </w:r>
      <w:r w:rsidRPr="002A61FA">
        <w:rPr>
          <w:rFonts w:ascii="Times New Roman" w:hAnsi="Times New Roman" w:cs="Times New Roman"/>
          <w:smallCaps/>
        </w:rPr>
        <w:t>b</w:t>
      </w:r>
      <w:r w:rsidRPr="002A61FA">
        <w:rPr>
          <w:rFonts w:ascii="Times New Roman" w:hAnsi="Times New Roman" w:cs="Times New Roman"/>
        </w:rPr>
        <w:t xml:space="preserve"> of the Principal Act is repealed and the following section substituted:—</w:t>
      </w:r>
    </w:p>
    <w:p w:rsidR="00CE20B9" w:rsidRPr="002A61FA" w:rsidRDefault="00D02B1B" w:rsidP="002A61FA">
      <w:pPr>
        <w:spacing w:before="120" w:after="60"/>
        <w:jc w:val="both"/>
        <w:rPr>
          <w:rFonts w:ascii="Times New Roman" w:hAnsi="Times New Roman" w:cs="Times New Roman"/>
          <w:b/>
          <w:sz w:val="20"/>
        </w:rPr>
      </w:pPr>
      <w:r w:rsidRPr="002A61FA">
        <w:rPr>
          <w:rFonts w:ascii="Times New Roman" w:hAnsi="Times New Roman" w:cs="Times New Roman"/>
          <w:b/>
          <w:sz w:val="20"/>
        </w:rPr>
        <w:t>Improper use of service decorations.</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smallCaps/>
        </w:rPr>
        <w:t>“80b.</w:t>
      </w:r>
      <w:r w:rsidRPr="002A61FA">
        <w:rPr>
          <w:rFonts w:ascii="Times New Roman" w:hAnsi="Times New Roman" w:cs="Times New Roman"/>
        </w:rPr>
        <w:t xml:space="preserve"> (1) Subject to this section, a person shall not wear a service decoration unless he is the person upon whom the decoration was conferred.</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“(2) Where the person upon whom a service decoration was conferred has died, it is not an offence against sub-section (1) for a member of the family of that person to wear the service decoration if the member of the family does not represent himself as being the person upon whom the decoration was conferred.</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“(3) It is not an offence against sub-section (1) for a person to wear a service decoration in the course of a dramatic or other visual representation (including such a representation to be televised) or in the making of a cinematograph film.</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“(4) A person shall not falsely represent himself as being the person upon whom a service decoration has been conferred.</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“(5) A person shall not deface or destroy, by melting or otherwise, a service decoration.</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rPr>
        <w:t>Penalty: $100.”.</w:t>
      </w:r>
    </w:p>
    <w:p w:rsidR="00CE20B9" w:rsidRPr="002A61FA" w:rsidRDefault="00D02B1B" w:rsidP="002A61FA">
      <w:pPr>
        <w:spacing w:before="120" w:after="60"/>
        <w:jc w:val="both"/>
        <w:rPr>
          <w:rFonts w:ascii="Times New Roman" w:hAnsi="Times New Roman" w:cs="Times New Roman"/>
          <w:b/>
          <w:sz w:val="20"/>
        </w:rPr>
      </w:pPr>
      <w:r w:rsidRPr="002A61FA">
        <w:rPr>
          <w:rFonts w:ascii="Times New Roman" w:hAnsi="Times New Roman" w:cs="Times New Roman"/>
          <w:b/>
          <w:sz w:val="20"/>
        </w:rPr>
        <w:t>Unauthorized use, possession or supply of uniforms and emblems.</w:t>
      </w:r>
    </w:p>
    <w:p w:rsidR="00CE20B9" w:rsidRPr="002A61FA" w:rsidRDefault="00D02B1B" w:rsidP="002A61FA">
      <w:pPr>
        <w:spacing w:after="60"/>
        <w:ind w:firstLine="432"/>
        <w:jc w:val="both"/>
        <w:rPr>
          <w:rFonts w:ascii="Times New Roman" w:hAnsi="Times New Roman" w:cs="Times New Roman"/>
        </w:rPr>
      </w:pPr>
      <w:r w:rsidRPr="002A61FA">
        <w:rPr>
          <w:rFonts w:ascii="Times New Roman" w:hAnsi="Times New Roman" w:cs="Times New Roman"/>
          <w:b/>
          <w:bCs/>
        </w:rPr>
        <w:t>4.</w:t>
      </w:r>
      <w:r w:rsidR="005F0AB2" w:rsidRPr="002A61FA">
        <w:rPr>
          <w:rFonts w:ascii="Times New Roman" w:hAnsi="Times New Roman" w:cs="Times New Roman"/>
          <w:b/>
          <w:bCs/>
        </w:rPr>
        <w:t xml:space="preserve"> </w:t>
      </w:r>
      <w:r w:rsidRPr="002A61FA">
        <w:rPr>
          <w:rFonts w:ascii="Times New Roman" w:hAnsi="Times New Roman" w:cs="Times New Roman"/>
        </w:rPr>
        <w:t>Section 83 of the Principal Act is amended by omitting sub-section (5) and substituting the following sub-section:—</w:t>
      </w:r>
    </w:p>
    <w:p w:rsidR="00CE20B9" w:rsidRPr="002A61FA" w:rsidRDefault="00D02B1B" w:rsidP="00833269">
      <w:pPr>
        <w:spacing w:after="60"/>
        <w:ind w:firstLine="432"/>
        <w:jc w:val="both"/>
        <w:rPr>
          <w:rFonts w:ascii="Times New Roman" w:hAnsi="Times New Roman" w:cs="Times New Roman"/>
        </w:rPr>
      </w:pPr>
      <w:r w:rsidRPr="002A61FA">
        <w:rPr>
          <w:rFonts w:ascii="Times New Roman" w:hAnsi="Times New Roman" w:cs="Times New Roman"/>
        </w:rPr>
        <w:t>“(5) It is not an offence against this section for a person to wear a uniform or emblem to which this section applies in the course of a dramatic or other visual representation (including such a representation to be televised) or in the making of a cinematograph film.”.</w:t>
      </w:r>
    </w:p>
    <w:sectPr w:rsidR="00CE20B9" w:rsidRPr="002A61FA" w:rsidSect="002A61FA">
      <w:headerReference w:type="even" r:id="rId7"/>
      <w:type w:val="continuous"/>
      <w:pgSz w:w="11909" w:h="18000"/>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EE5" w:rsidRDefault="00855EE5" w:rsidP="00CE20B9">
      <w:r>
        <w:separator/>
      </w:r>
    </w:p>
  </w:endnote>
  <w:endnote w:type="continuationSeparator" w:id="0">
    <w:p w:rsidR="00855EE5" w:rsidRDefault="00855EE5" w:rsidP="00CE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EE5" w:rsidRDefault="00855EE5"/>
  </w:footnote>
  <w:footnote w:type="continuationSeparator" w:id="0">
    <w:p w:rsidR="00855EE5" w:rsidRDefault="00855E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FA" w:rsidRPr="00F7370A" w:rsidRDefault="002A61FA" w:rsidP="002A61FA">
    <w:pPr>
      <w:pStyle w:val="Header"/>
      <w:tabs>
        <w:tab w:val="clear" w:pos="4680"/>
        <w:tab w:val="clear" w:pos="9360"/>
        <w:tab w:val="center" w:pos="5040"/>
        <w:tab w:val="right" w:pos="9630"/>
      </w:tabs>
      <w:rPr>
        <w:sz w:val="22"/>
      </w:rPr>
    </w:pPr>
    <w:r w:rsidRPr="00F7370A">
      <w:rPr>
        <w:rFonts w:ascii="Times New Roman" w:hAnsi="Times New Roman" w:cs="Times New Roman"/>
        <w:sz w:val="22"/>
      </w:rPr>
      <w:t>No. 20</w:t>
    </w:r>
    <w:r w:rsidRPr="00F7370A">
      <w:rPr>
        <w:rFonts w:ascii="Times New Roman" w:hAnsi="Times New Roman" w:cs="Times New Roman"/>
        <w:sz w:val="22"/>
      </w:rPr>
      <w:tab/>
    </w:r>
    <w:r w:rsidRPr="00F7370A">
      <w:rPr>
        <w:rFonts w:ascii="Times New Roman" w:hAnsi="Times New Roman" w:cs="Times New Roman"/>
        <w:i/>
        <w:iCs/>
        <w:sz w:val="22"/>
      </w:rPr>
      <w:t xml:space="preserve">Defence Amendment </w:t>
    </w:r>
    <w:r w:rsidRPr="00F7370A">
      <w:rPr>
        <w:rFonts w:ascii="Times New Roman" w:hAnsi="Times New Roman" w:cs="Times New Roman"/>
        <w:sz w:val="22"/>
      </w:rPr>
      <w:t>(</w:t>
    </w:r>
    <w:r w:rsidRPr="00F7370A">
      <w:rPr>
        <w:rFonts w:ascii="Times New Roman" w:hAnsi="Times New Roman" w:cs="Times New Roman"/>
        <w:i/>
        <w:iCs/>
        <w:sz w:val="22"/>
      </w:rPr>
      <w:t xml:space="preserve">No. </w:t>
    </w:r>
    <w:r w:rsidRPr="00F7370A">
      <w:rPr>
        <w:rFonts w:ascii="Times New Roman" w:hAnsi="Times New Roman" w:cs="Times New Roman"/>
        <w:sz w:val="22"/>
      </w:rPr>
      <w:t>2)</w:t>
    </w:r>
    <w:r w:rsidRPr="00F7370A">
      <w:rPr>
        <w:rFonts w:ascii="Times New Roman" w:hAnsi="Times New Roman" w:cs="Times New Roman"/>
        <w:sz w:val="22"/>
      </w:rPr>
      <w:tab/>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B9"/>
    <w:rsid w:val="002A61FA"/>
    <w:rsid w:val="005F0AB2"/>
    <w:rsid w:val="005F30EB"/>
    <w:rsid w:val="006918D3"/>
    <w:rsid w:val="00733796"/>
    <w:rsid w:val="00784010"/>
    <w:rsid w:val="00833269"/>
    <w:rsid w:val="0083557B"/>
    <w:rsid w:val="00855EE5"/>
    <w:rsid w:val="00876F57"/>
    <w:rsid w:val="00973582"/>
    <w:rsid w:val="00CE20B9"/>
    <w:rsid w:val="00D02B1B"/>
    <w:rsid w:val="00DB58DC"/>
    <w:rsid w:val="00F7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20B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20B9"/>
    <w:rPr>
      <w:color w:val="0066CC"/>
      <w:u w:val="single"/>
    </w:rPr>
  </w:style>
  <w:style w:type="paragraph" w:styleId="Header">
    <w:name w:val="header"/>
    <w:basedOn w:val="Normal"/>
    <w:link w:val="HeaderChar"/>
    <w:uiPriority w:val="99"/>
    <w:unhideWhenUsed/>
    <w:rsid w:val="002A61FA"/>
    <w:pPr>
      <w:tabs>
        <w:tab w:val="center" w:pos="4680"/>
        <w:tab w:val="right" w:pos="9360"/>
      </w:tabs>
    </w:pPr>
  </w:style>
  <w:style w:type="character" w:customStyle="1" w:styleId="HeaderChar">
    <w:name w:val="Header Char"/>
    <w:basedOn w:val="DefaultParagraphFont"/>
    <w:link w:val="Header"/>
    <w:uiPriority w:val="99"/>
    <w:rsid w:val="002A61FA"/>
    <w:rPr>
      <w:color w:val="000000"/>
    </w:rPr>
  </w:style>
  <w:style w:type="paragraph" w:styleId="Footer">
    <w:name w:val="footer"/>
    <w:basedOn w:val="Normal"/>
    <w:link w:val="FooterChar"/>
    <w:uiPriority w:val="99"/>
    <w:unhideWhenUsed/>
    <w:rsid w:val="002A61FA"/>
    <w:pPr>
      <w:tabs>
        <w:tab w:val="center" w:pos="4680"/>
        <w:tab w:val="right" w:pos="9360"/>
      </w:tabs>
    </w:pPr>
  </w:style>
  <w:style w:type="character" w:customStyle="1" w:styleId="FooterChar">
    <w:name w:val="Footer Char"/>
    <w:basedOn w:val="DefaultParagraphFont"/>
    <w:link w:val="Footer"/>
    <w:uiPriority w:val="99"/>
    <w:rsid w:val="002A61FA"/>
    <w:rPr>
      <w:color w:val="000000"/>
    </w:rPr>
  </w:style>
  <w:style w:type="paragraph" w:styleId="BalloonText">
    <w:name w:val="Balloon Text"/>
    <w:basedOn w:val="Normal"/>
    <w:link w:val="BalloonTextChar"/>
    <w:uiPriority w:val="99"/>
    <w:semiHidden/>
    <w:unhideWhenUsed/>
    <w:rsid w:val="002A61FA"/>
    <w:rPr>
      <w:rFonts w:ascii="Tahoma" w:hAnsi="Tahoma" w:cs="Tahoma"/>
      <w:sz w:val="16"/>
      <w:szCs w:val="16"/>
    </w:rPr>
  </w:style>
  <w:style w:type="character" w:customStyle="1" w:styleId="BalloonTextChar">
    <w:name w:val="Balloon Text Char"/>
    <w:basedOn w:val="DefaultParagraphFont"/>
    <w:link w:val="BalloonText"/>
    <w:uiPriority w:val="99"/>
    <w:semiHidden/>
    <w:rsid w:val="002A61F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20B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20B9"/>
    <w:rPr>
      <w:color w:val="0066CC"/>
      <w:u w:val="single"/>
    </w:rPr>
  </w:style>
  <w:style w:type="paragraph" w:styleId="Header">
    <w:name w:val="header"/>
    <w:basedOn w:val="Normal"/>
    <w:link w:val="HeaderChar"/>
    <w:uiPriority w:val="99"/>
    <w:unhideWhenUsed/>
    <w:rsid w:val="002A61FA"/>
    <w:pPr>
      <w:tabs>
        <w:tab w:val="center" w:pos="4680"/>
        <w:tab w:val="right" w:pos="9360"/>
      </w:tabs>
    </w:pPr>
  </w:style>
  <w:style w:type="character" w:customStyle="1" w:styleId="HeaderChar">
    <w:name w:val="Header Char"/>
    <w:basedOn w:val="DefaultParagraphFont"/>
    <w:link w:val="Header"/>
    <w:uiPriority w:val="99"/>
    <w:rsid w:val="002A61FA"/>
    <w:rPr>
      <w:color w:val="000000"/>
    </w:rPr>
  </w:style>
  <w:style w:type="paragraph" w:styleId="Footer">
    <w:name w:val="footer"/>
    <w:basedOn w:val="Normal"/>
    <w:link w:val="FooterChar"/>
    <w:uiPriority w:val="99"/>
    <w:unhideWhenUsed/>
    <w:rsid w:val="002A61FA"/>
    <w:pPr>
      <w:tabs>
        <w:tab w:val="center" w:pos="4680"/>
        <w:tab w:val="right" w:pos="9360"/>
      </w:tabs>
    </w:pPr>
  </w:style>
  <w:style w:type="character" w:customStyle="1" w:styleId="FooterChar">
    <w:name w:val="Footer Char"/>
    <w:basedOn w:val="DefaultParagraphFont"/>
    <w:link w:val="Footer"/>
    <w:uiPriority w:val="99"/>
    <w:rsid w:val="002A61FA"/>
    <w:rPr>
      <w:color w:val="000000"/>
    </w:rPr>
  </w:style>
  <w:style w:type="paragraph" w:styleId="BalloonText">
    <w:name w:val="Balloon Text"/>
    <w:basedOn w:val="Normal"/>
    <w:link w:val="BalloonTextChar"/>
    <w:uiPriority w:val="99"/>
    <w:semiHidden/>
    <w:unhideWhenUsed/>
    <w:rsid w:val="002A61FA"/>
    <w:rPr>
      <w:rFonts w:ascii="Tahoma" w:hAnsi="Tahoma" w:cs="Tahoma"/>
      <w:sz w:val="16"/>
      <w:szCs w:val="16"/>
    </w:rPr>
  </w:style>
  <w:style w:type="character" w:customStyle="1" w:styleId="BalloonTextChar">
    <w:name w:val="Balloon Text Char"/>
    <w:basedOn w:val="DefaultParagraphFont"/>
    <w:link w:val="BalloonText"/>
    <w:uiPriority w:val="99"/>
    <w:semiHidden/>
    <w:rsid w:val="002A61F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Harper, Michael</cp:lastModifiedBy>
  <cp:revision>1</cp:revision>
  <dcterms:created xsi:type="dcterms:W3CDTF">2018-03-07T04:42:00Z</dcterms:created>
  <dcterms:modified xsi:type="dcterms:W3CDTF">2019-08-25T22:24:00Z</dcterms:modified>
</cp:coreProperties>
</file>