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FA479F" w14:textId="77777777" w:rsidR="00517DDC" w:rsidRPr="006F5399" w:rsidRDefault="00223009" w:rsidP="006E0CF9">
      <w:pPr>
        <w:shd w:val="clear" w:color="auto" w:fill="FFFFFF"/>
        <w:spacing w:before="60" w:after="120"/>
        <w:jc w:val="center"/>
        <w:rPr>
          <w:sz w:val="32"/>
          <w:szCs w:val="24"/>
        </w:rPr>
      </w:pPr>
      <w:r w:rsidRPr="006F5399">
        <w:rPr>
          <w:b/>
          <w:bCs/>
          <w:sz w:val="32"/>
          <w:szCs w:val="24"/>
          <w:lang w:val="fr-FR"/>
        </w:rPr>
        <w:t xml:space="preserve">CRIMES </w:t>
      </w:r>
      <w:r w:rsidRPr="006F5399">
        <w:rPr>
          <w:b/>
          <w:bCs/>
          <w:sz w:val="32"/>
          <w:szCs w:val="24"/>
        </w:rPr>
        <w:t>(AIRCRAFT) AMENDMENT ACT 1976</w:t>
      </w:r>
    </w:p>
    <w:p w14:paraId="689A7B39" w14:textId="77777777" w:rsidR="00517DDC" w:rsidRPr="006E0CF9" w:rsidRDefault="00223009" w:rsidP="006E0CF9">
      <w:pPr>
        <w:shd w:val="clear" w:color="auto" w:fill="FFFFFF"/>
        <w:spacing w:before="120" w:after="120"/>
        <w:jc w:val="center"/>
        <w:rPr>
          <w:sz w:val="28"/>
          <w:szCs w:val="24"/>
        </w:rPr>
      </w:pPr>
      <w:r w:rsidRPr="006E0CF9">
        <w:rPr>
          <w:b/>
          <w:bCs/>
          <w:sz w:val="28"/>
          <w:szCs w:val="24"/>
        </w:rPr>
        <w:t>No. 7 of 1977</w:t>
      </w:r>
    </w:p>
    <w:p w14:paraId="09761918" w14:textId="77777777" w:rsidR="00517DDC" w:rsidRPr="008B585C" w:rsidRDefault="00223009" w:rsidP="006E0CF9">
      <w:pPr>
        <w:shd w:val="clear" w:color="auto" w:fill="FFFFFF"/>
        <w:spacing w:before="360" w:after="360"/>
        <w:jc w:val="center"/>
        <w:rPr>
          <w:sz w:val="24"/>
          <w:szCs w:val="24"/>
        </w:rPr>
      </w:pPr>
      <w:r w:rsidRPr="008B585C">
        <w:rPr>
          <w:sz w:val="24"/>
          <w:szCs w:val="24"/>
        </w:rPr>
        <w:t xml:space="preserve">An Act to amend the </w:t>
      </w:r>
      <w:r w:rsidRPr="008B585C">
        <w:rPr>
          <w:i/>
          <w:iCs/>
          <w:sz w:val="24"/>
          <w:szCs w:val="24"/>
        </w:rPr>
        <w:t xml:space="preserve">Crimes (Aircraft) Act </w:t>
      </w:r>
      <w:r w:rsidRPr="008B585C">
        <w:rPr>
          <w:sz w:val="24"/>
          <w:szCs w:val="24"/>
        </w:rPr>
        <w:t>1963-1973.</w:t>
      </w:r>
    </w:p>
    <w:p w14:paraId="12AD69F7" w14:textId="77777777" w:rsidR="00517DDC" w:rsidRPr="008B585C" w:rsidRDefault="00223009" w:rsidP="006E0CF9">
      <w:pPr>
        <w:shd w:val="clear" w:color="auto" w:fill="FFFFFF"/>
        <w:spacing w:after="60"/>
        <w:ind w:firstLine="288"/>
        <w:jc w:val="both"/>
        <w:rPr>
          <w:sz w:val="24"/>
          <w:szCs w:val="24"/>
        </w:rPr>
      </w:pPr>
      <w:r w:rsidRPr="008B585C">
        <w:rPr>
          <w:sz w:val="24"/>
          <w:szCs w:val="24"/>
        </w:rPr>
        <w:t>BE IT ENACTED by the Queen, and the Senate and House of Representatives of the Commonwealth of Australia, as follows:</w:t>
      </w:r>
      <w:r w:rsidRPr="008B585C">
        <w:rPr>
          <w:rFonts w:eastAsia="Times New Roman"/>
          <w:sz w:val="24"/>
          <w:szCs w:val="24"/>
        </w:rPr>
        <w:t>—</w:t>
      </w:r>
    </w:p>
    <w:p w14:paraId="21C6DDB5" w14:textId="77777777" w:rsidR="00517DDC" w:rsidRPr="006E0CF9" w:rsidRDefault="00223009" w:rsidP="006E0CF9">
      <w:pPr>
        <w:shd w:val="clear" w:color="auto" w:fill="FFFFFF"/>
        <w:spacing w:before="120" w:after="60"/>
        <w:jc w:val="both"/>
        <w:rPr>
          <w:b/>
          <w:szCs w:val="24"/>
        </w:rPr>
      </w:pPr>
      <w:r w:rsidRPr="006E0CF9">
        <w:rPr>
          <w:b/>
          <w:szCs w:val="24"/>
        </w:rPr>
        <w:t>Short title and citation.</w:t>
      </w:r>
    </w:p>
    <w:p w14:paraId="65342C56" w14:textId="424D0B73" w:rsidR="00517DDC" w:rsidRPr="008B585C" w:rsidRDefault="00223009" w:rsidP="006E0CF9">
      <w:pPr>
        <w:shd w:val="clear" w:color="auto" w:fill="FFFFFF"/>
        <w:spacing w:before="60" w:after="60"/>
        <w:ind w:firstLine="288"/>
        <w:jc w:val="both"/>
        <w:rPr>
          <w:sz w:val="24"/>
          <w:szCs w:val="24"/>
        </w:rPr>
      </w:pPr>
      <w:r w:rsidRPr="006E0CF9">
        <w:rPr>
          <w:b/>
          <w:sz w:val="24"/>
          <w:szCs w:val="24"/>
        </w:rPr>
        <w:t>1.</w:t>
      </w:r>
      <w:r w:rsidR="006E0CF9">
        <w:rPr>
          <w:sz w:val="24"/>
          <w:szCs w:val="24"/>
        </w:rPr>
        <w:t xml:space="preserve"> </w:t>
      </w:r>
      <w:r w:rsidRPr="008B585C">
        <w:rPr>
          <w:sz w:val="24"/>
          <w:szCs w:val="24"/>
        </w:rPr>
        <w:t xml:space="preserve">(1) This Act may be cited as the </w:t>
      </w:r>
      <w:r w:rsidRPr="008B585C">
        <w:rPr>
          <w:i/>
          <w:iCs/>
          <w:sz w:val="24"/>
          <w:szCs w:val="24"/>
        </w:rPr>
        <w:t xml:space="preserve">Crimes (Aircraft) Amendment Act </w:t>
      </w:r>
      <w:r w:rsidRPr="008B585C">
        <w:rPr>
          <w:sz w:val="24"/>
          <w:szCs w:val="24"/>
        </w:rPr>
        <w:t>1976.</w:t>
      </w:r>
    </w:p>
    <w:p w14:paraId="1D95D94E" w14:textId="2AE8DC02" w:rsidR="00517DDC" w:rsidRPr="008B585C" w:rsidRDefault="00223009" w:rsidP="006E0CF9">
      <w:pPr>
        <w:shd w:val="clear" w:color="auto" w:fill="FFFFFF"/>
        <w:spacing w:before="60" w:after="60"/>
        <w:ind w:firstLine="288"/>
        <w:jc w:val="both"/>
        <w:rPr>
          <w:sz w:val="24"/>
          <w:szCs w:val="24"/>
        </w:rPr>
      </w:pPr>
      <w:r w:rsidRPr="008B585C">
        <w:rPr>
          <w:sz w:val="24"/>
          <w:szCs w:val="24"/>
        </w:rPr>
        <w:t xml:space="preserve">(2) The </w:t>
      </w:r>
      <w:r w:rsidRPr="008B585C">
        <w:rPr>
          <w:i/>
          <w:iCs/>
          <w:sz w:val="24"/>
          <w:szCs w:val="24"/>
        </w:rPr>
        <w:t xml:space="preserve">Crimes (Aircraft) Act </w:t>
      </w:r>
      <w:r w:rsidRPr="008B585C">
        <w:rPr>
          <w:sz w:val="24"/>
          <w:szCs w:val="24"/>
        </w:rPr>
        <w:t xml:space="preserve">1963-1973, as amended by this Act, may be cited as the </w:t>
      </w:r>
      <w:r w:rsidRPr="008B585C">
        <w:rPr>
          <w:i/>
          <w:iCs/>
          <w:sz w:val="24"/>
          <w:szCs w:val="24"/>
        </w:rPr>
        <w:t xml:space="preserve">Crimes (Aircraft) Act </w:t>
      </w:r>
      <w:r w:rsidRPr="008B585C">
        <w:rPr>
          <w:sz w:val="24"/>
          <w:szCs w:val="24"/>
        </w:rPr>
        <w:t>1963-1976.</w:t>
      </w:r>
    </w:p>
    <w:p w14:paraId="18BE34B1" w14:textId="77777777" w:rsidR="00517DDC" w:rsidRPr="006E0CF9" w:rsidRDefault="00223009" w:rsidP="006E0CF9">
      <w:pPr>
        <w:shd w:val="clear" w:color="auto" w:fill="FFFFFF"/>
        <w:spacing w:before="120" w:after="60"/>
        <w:jc w:val="both"/>
        <w:rPr>
          <w:b/>
          <w:szCs w:val="24"/>
        </w:rPr>
      </w:pPr>
      <w:r w:rsidRPr="006E0CF9">
        <w:rPr>
          <w:b/>
          <w:szCs w:val="24"/>
        </w:rPr>
        <w:t>Commencement.</w:t>
      </w:r>
    </w:p>
    <w:p w14:paraId="53F83C59" w14:textId="20BD02A3" w:rsidR="00517DDC" w:rsidRPr="008B585C" w:rsidRDefault="00223009" w:rsidP="006E0CF9">
      <w:pPr>
        <w:shd w:val="clear" w:color="auto" w:fill="FFFFFF"/>
        <w:spacing w:before="60" w:after="60"/>
        <w:ind w:firstLine="288"/>
        <w:jc w:val="both"/>
        <w:rPr>
          <w:sz w:val="24"/>
          <w:szCs w:val="24"/>
        </w:rPr>
      </w:pPr>
      <w:r w:rsidRPr="006E0CF9">
        <w:rPr>
          <w:b/>
          <w:sz w:val="24"/>
          <w:szCs w:val="24"/>
        </w:rPr>
        <w:t>2.</w:t>
      </w:r>
      <w:r w:rsidR="001E2BB6" w:rsidRPr="008B585C">
        <w:rPr>
          <w:sz w:val="24"/>
          <w:szCs w:val="24"/>
        </w:rPr>
        <w:t xml:space="preserve"> </w:t>
      </w:r>
      <w:r w:rsidRPr="008B585C">
        <w:rPr>
          <w:sz w:val="24"/>
          <w:szCs w:val="24"/>
        </w:rPr>
        <w:t>This Act shall come into operation on the day on which it receives the Royal Assent.</w:t>
      </w:r>
    </w:p>
    <w:p w14:paraId="752FF832" w14:textId="77777777" w:rsidR="00517DDC" w:rsidRPr="008B585C" w:rsidRDefault="00223009" w:rsidP="006E0CF9">
      <w:pPr>
        <w:shd w:val="clear" w:color="auto" w:fill="FFFFFF"/>
        <w:spacing w:before="60" w:after="60"/>
        <w:ind w:firstLine="288"/>
        <w:jc w:val="both"/>
        <w:rPr>
          <w:sz w:val="24"/>
          <w:szCs w:val="24"/>
        </w:rPr>
      </w:pPr>
      <w:r w:rsidRPr="006E0CF9">
        <w:rPr>
          <w:b/>
          <w:sz w:val="24"/>
          <w:szCs w:val="24"/>
        </w:rPr>
        <w:t>3.</w:t>
      </w:r>
      <w:r w:rsidR="001E2BB6" w:rsidRPr="008B585C">
        <w:rPr>
          <w:sz w:val="24"/>
          <w:szCs w:val="24"/>
        </w:rPr>
        <w:t xml:space="preserve"> </w:t>
      </w:r>
      <w:r w:rsidRPr="008B585C">
        <w:rPr>
          <w:sz w:val="24"/>
          <w:szCs w:val="24"/>
        </w:rPr>
        <w:t xml:space="preserve">After section 22 of the </w:t>
      </w:r>
      <w:r w:rsidRPr="008B585C">
        <w:rPr>
          <w:i/>
          <w:iCs/>
          <w:sz w:val="24"/>
          <w:szCs w:val="24"/>
        </w:rPr>
        <w:t xml:space="preserve">Crimes (Aircraft) Act </w:t>
      </w:r>
      <w:r w:rsidRPr="008B585C">
        <w:rPr>
          <w:sz w:val="24"/>
          <w:szCs w:val="24"/>
        </w:rPr>
        <w:t>1963-1973 the following section is inserted:</w:t>
      </w:r>
      <w:r w:rsidRPr="008B585C">
        <w:rPr>
          <w:rFonts w:eastAsia="Times New Roman"/>
          <w:sz w:val="24"/>
          <w:szCs w:val="24"/>
        </w:rPr>
        <w:t>—</w:t>
      </w:r>
    </w:p>
    <w:p w14:paraId="4C519C83" w14:textId="77777777" w:rsidR="00517DDC" w:rsidRPr="006E0CF9" w:rsidRDefault="00223009" w:rsidP="006E0CF9">
      <w:pPr>
        <w:shd w:val="clear" w:color="auto" w:fill="FFFFFF"/>
        <w:spacing w:before="120" w:after="60"/>
        <w:jc w:val="both"/>
        <w:rPr>
          <w:b/>
          <w:szCs w:val="24"/>
        </w:rPr>
      </w:pPr>
      <w:r w:rsidRPr="006E0CF9">
        <w:rPr>
          <w:b/>
          <w:szCs w:val="24"/>
        </w:rPr>
        <w:t>Offences against section 18.</w:t>
      </w:r>
    </w:p>
    <w:p w14:paraId="71EE1B4A" w14:textId="69F3CD21" w:rsidR="00517DDC" w:rsidRPr="008B585C" w:rsidRDefault="001E2BB6" w:rsidP="006E0CF9">
      <w:pPr>
        <w:shd w:val="clear" w:color="auto" w:fill="FFFFFF"/>
        <w:spacing w:before="60" w:after="60"/>
        <w:ind w:firstLine="288"/>
        <w:jc w:val="both"/>
        <w:rPr>
          <w:sz w:val="24"/>
          <w:szCs w:val="24"/>
        </w:rPr>
      </w:pPr>
      <w:r w:rsidRPr="008B585C">
        <w:rPr>
          <w:sz w:val="24"/>
          <w:szCs w:val="24"/>
        </w:rPr>
        <w:t>“</w:t>
      </w:r>
      <w:r w:rsidR="00223009" w:rsidRPr="008B585C">
        <w:rPr>
          <w:sz w:val="24"/>
          <w:szCs w:val="24"/>
        </w:rPr>
        <w:t>22</w:t>
      </w:r>
      <w:r w:rsidR="003F5AF8">
        <w:rPr>
          <w:smallCaps/>
          <w:sz w:val="24"/>
          <w:szCs w:val="24"/>
        </w:rPr>
        <w:t>a</w:t>
      </w:r>
      <w:r w:rsidR="00223009" w:rsidRPr="008B585C">
        <w:rPr>
          <w:sz w:val="24"/>
          <w:szCs w:val="24"/>
        </w:rPr>
        <w:t>. (1) Subject to this section, a prosecution for an offence against section 18 shall be on indictment.</w:t>
      </w:r>
    </w:p>
    <w:p w14:paraId="5699CD95" w14:textId="77777777" w:rsidR="00517DDC" w:rsidRPr="008B585C" w:rsidRDefault="001E2BB6" w:rsidP="006E0CF9">
      <w:pPr>
        <w:shd w:val="clear" w:color="auto" w:fill="FFFFFF"/>
        <w:spacing w:before="60" w:after="60"/>
        <w:ind w:firstLine="288"/>
        <w:jc w:val="both"/>
        <w:rPr>
          <w:sz w:val="24"/>
          <w:szCs w:val="24"/>
        </w:rPr>
      </w:pPr>
      <w:r w:rsidRPr="008B585C">
        <w:rPr>
          <w:sz w:val="24"/>
          <w:szCs w:val="24"/>
        </w:rPr>
        <w:t>“</w:t>
      </w:r>
      <w:r w:rsidR="00223009" w:rsidRPr="008B585C">
        <w:rPr>
          <w:sz w:val="24"/>
          <w:szCs w:val="24"/>
        </w:rPr>
        <w:t xml:space="preserve"> (2) Where the law of a State or Territory makes provision for a person who pleads guilty to a charge in proceedings for his commitment for trial on indictment to be committed to a higher court and dealt with otherwise than on indictment, a person charged in that State or Territory with an offence against section 18 may be dealt with in accordance with that law.</w:t>
      </w:r>
    </w:p>
    <w:p w14:paraId="6570B5F4" w14:textId="22D54F0A" w:rsidR="00517DDC" w:rsidRPr="008B585C" w:rsidRDefault="001E2BB6" w:rsidP="006E0CF9">
      <w:pPr>
        <w:shd w:val="clear" w:color="auto" w:fill="FFFFFF"/>
        <w:spacing w:before="60" w:after="60"/>
        <w:ind w:firstLine="288"/>
        <w:jc w:val="both"/>
        <w:rPr>
          <w:sz w:val="24"/>
          <w:szCs w:val="24"/>
        </w:rPr>
      </w:pPr>
      <w:r w:rsidRPr="008B585C">
        <w:rPr>
          <w:sz w:val="24"/>
          <w:szCs w:val="24"/>
        </w:rPr>
        <w:t>“</w:t>
      </w:r>
      <w:r w:rsidR="00223009" w:rsidRPr="008B585C">
        <w:rPr>
          <w:sz w:val="24"/>
          <w:szCs w:val="24"/>
        </w:rPr>
        <w:t xml:space="preserve"> (3) Where a person is charged with an offence against section</w:t>
      </w:r>
      <w:r w:rsidR="0021631A">
        <w:rPr>
          <w:sz w:val="24"/>
          <w:szCs w:val="24"/>
        </w:rPr>
        <w:t xml:space="preserve"> </w:t>
      </w:r>
      <w:r w:rsidR="003F5AF8">
        <w:rPr>
          <w:sz w:val="24"/>
          <w:szCs w:val="24"/>
        </w:rPr>
        <w:t>1</w:t>
      </w:r>
      <w:r w:rsidR="00223009" w:rsidRPr="008B585C">
        <w:rPr>
          <w:sz w:val="24"/>
          <w:szCs w:val="24"/>
        </w:rPr>
        <w:t>8, a court of summary jurisdiction may, with the consent of the defendant and of the prosecutor and if the court is satisfied that it is proper to do so, determine the charge summarily.</w:t>
      </w:r>
    </w:p>
    <w:p w14:paraId="30012FE7" w14:textId="77777777" w:rsidR="00517DDC" w:rsidRPr="008B585C" w:rsidRDefault="001E2BB6" w:rsidP="006E0CF9">
      <w:pPr>
        <w:shd w:val="clear" w:color="auto" w:fill="FFFFFF"/>
        <w:spacing w:before="60" w:after="60"/>
        <w:ind w:firstLine="288"/>
        <w:jc w:val="both"/>
        <w:rPr>
          <w:sz w:val="24"/>
          <w:szCs w:val="24"/>
        </w:rPr>
      </w:pPr>
      <w:r w:rsidRPr="008B585C">
        <w:rPr>
          <w:sz w:val="24"/>
          <w:szCs w:val="24"/>
        </w:rPr>
        <w:t>“</w:t>
      </w:r>
      <w:r w:rsidR="00223009" w:rsidRPr="008B585C">
        <w:rPr>
          <w:sz w:val="24"/>
          <w:szCs w:val="24"/>
        </w:rPr>
        <w:t xml:space="preserve"> (4) Where, in accordance with sub-section (3), a court of summary jurisdiction convicts a person of an offence against section 18, the penalty that the court may impose is a fine not exceeding $1,000 or imprisonment for a period not exceeding 1 year, or both.</w:t>
      </w:r>
      <w:r w:rsidRPr="008B585C">
        <w:rPr>
          <w:sz w:val="24"/>
          <w:szCs w:val="24"/>
        </w:rPr>
        <w:t>”</w:t>
      </w:r>
      <w:r w:rsidR="00223009" w:rsidRPr="008B585C">
        <w:rPr>
          <w:sz w:val="24"/>
          <w:szCs w:val="24"/>
        </w:rPr>
        <w:t>.</w:t>
      </w:r>
    </w:p>
    <w:p w14:paraId="0D22A8F8" w14:textId="11B70573" w:rsidR="00223009" w:rsidRPr="003F5AF8" w:rsidRDefault="003F05AE" w:rsidP="003F5AF8">
      <w:pPr>
        <w:shd w:val="clear" w:color="auto" w:fill="FFFFFF"/>
        <w:spacing w:before="600" w:after="120"/>
        <w:jc w:val="center"/>
        <w:rPr>
          <w:b/>
          <w:sz w:val="24"/>
          <w:szCs w:val="24"/>
        </w:rPr>
      </w:pPr>
      <w:r>
        <w:rPr>
          <w:b/>
          <w:noProof/>
          <w:sz w:val="24"/>
          <w:szCs w:val="24"/>
          <w:lang w:val="en-AU" w:eastAsia="en-AU"/>
        </w:rPr>
        <mc:AlternateContent>
          <mc:Choice Requires="wps">
            <w:drawing>
              <wp:anchor distT="0" distB="0" distL="114300" distR="114300" simplePos="0" relativeHeight="251659264" behindDoc="0" locked="0" layoutInCell="1" allowOverlap="1" wp14:anchorId="05B8EDE4" wp14:editId="228AF55C">
                <wp:simplePos x="0" y="0"/>
                <wp:positionH relativeFrom="column">
                  <wp:posOffset>-28576</wp:posOffset>
                </wp:positionH>
                <wp:positionV relativeFrom="paragraph">
                  <wp:posOffset>182245</wp:posOffset>
                </wp:positionV>
                <wp:extent cx="62769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27697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E288B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pt,14.35pt" to="49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" strokecolor="black [3040]" strokeweight="1.5pt"/>
            </w:pict>
          </mc:Fallback>
        </mc:AlternateContent>
      </w:r>
      <w:bookmarkStart w:id="0" w:name="_GoBack"/>
      <w:bookmarkEnd w:id="0"/>
    </w:p>
    <w:sectPr w:rsidR="00223009" w:rsidRPr="003F5AF8" w:rsidSect="008B585C">
      <w:type w:val="continuous"/>
      <w:pgSz w:w="11909" w:h="18000" w:code="9"/>
      <w:pgMar w:top="1080" w:right="1080" w:bottom="1080" w:left="1080" w:header="720" w:footer="720" w:gutter="0"/>
      <w:cols w:space="72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BF0ADA" w15:done="0"/>
  <w15:commentEx w15:paraId="19BAF5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BF0ADA" w16cid:durableId="1F64499F"/>
  <w16cid:commentId w16cid:paraId="19BAF5A0" w16cid:durableId="1F6449A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revisionView w:markup="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BB6"/>
    <w:rsid w:val="001E2BB6"/>
    <w:rsid w:val="0021631A"/>
    <w:rsid w:val="00223009"/>
    <w:rsid w:val="002F6DFB"/>
    <w:rsid w:val="003F05AE"/>
    <w:rsid w:val="003F5AF8"/>
    <w:rsid w:val="00460C5F"/>
    <w:rsid w:val="00517DDC"/>
    <w:rsid w:val="006E0CF9"/>
    <w:rsid w:val="006F5399"/>
    <w:rsid w:val="00845B84"/>
    <w:rsid w:val="008B5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908DF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60C5F"/>
    <w:rPr>
      <w:sz w:val="16"/>
      <w:szCs w:val="16"/>
    </w:rPr>
  </w:style>
  <w:style w:type="paragraph" w:styleId="CommentText">
    <w:name w:val="annotation text"/>
    <w:basedOn w:val="Normal"/>
    <w:link w:val="CommentTextChar"/>
    <w:uiPriority w:val="99"/>
    <w:semiHidden/>
    <w:unhideWhenUsed/>
    <w:rsid w:val="00460C5F"/>
  </w:style>
  <w:style w:type="character" w:customStyle="1" w:styleId="CommentTextChar">
    <w:name w:val="Comment Text Char"/>
    <w:basedOn w:val="DefaultParagraphFont"/>
    <w:link w:val="CommentText"/>
    <w:uiPriority w:val="99"/>
    <w:semiHidden/>
    <w:rsid w:val="00460C5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0C5F"/>
    <w:rPr>
      <w:b/>
      <w:bCs/>
    </w:rPr>
  </w:style>
  <w:style w:type="character" w:customStyle="1" w:styleId="CommentSubjectChar">
    <w:name w:val="Comment Subject Char"/>
    <w:basedOn w:val="CommentTextChar"/>
    <w:link w:val="CommentSubject"/>
    <w:uiPriority w:val="99"/>
    <w:semiHidden/>
    <w:rsid w:val="00460C5F"/>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460C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5F"/>
    <w:rPr>
      <w:rFonts w:ascii="Segoe UI" w:hAnsi="Segoe UI" w:cs="Segoe UI"/>
      <w:sz w:val="18"/>
      <w:szCs w:val="18"/>
    </w:rPr>
  </w:style>
  <w:style w:type="paragraph" w:styleId="Revision">
    <w:name w:val="Revision"/>
    <w:hidden/>
    <w:uiPriority w:val="99"/>
    <w:semiHidden/>
    <w:rsid w:val="003F5AF8"/>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60C5F"/>
    <w:rPr>
      <w:sz w:val="16"/>
      <w:szCs w:val="16"/>
    </w:rPr>
  </w:style>
  <w:style w:type="paragraph" w:styleId="CommentText">
    <w:name w:val="annotation text"/>
    <w:basedOn w:val="Normal"/>
    <w:link w:val="CommentTextChar"/>
    <w:uiPriority w:val="99"/>
    <w:semiHidden/>
    <w:unhideWhenUsed/>
    <w:rsid w:val="00460C5F"/>
  </w:style>
  <w:style w:type="character" w:customStyle="1" w:styleId="CommentTextChar">
    <w:name w:val="Comment Text Char"/>
    <w:basedOn w:val="DefaultParagraphFont"/>
    <w:link w:val="CommentText"/>
    <w:uiPriority w:val="99"/>
    <w:semiHidden/>
    <w:rsid w:val="00460C5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0C5F"/>
    <w:rPr>
      <w:b/>
      <w:bCs/>
    </w:rPr>
  </w:style>
  <w:style w:type="character" w:customStyle="1" w:styleId="CommentSubjectChar">
    <w:name w:val="Comment Subject Char"/>
    <w:basedOn w:val="CommentTextChar"/>
    <w:link w:val="CommentSubject"/>
    <w:uiPriority w:val="99"/>
    <w:semiHidden/>
    <w:rsid w:val="00460C5F"/>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460C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5F"/>
    <w:rPr>
      <w:rFonts w:ascii="Segoe UI" w:hAnsi="Segoe UI" w:cs="Segoe UI"/>
      <w:sz w:val="18"/>
      <w:szCs w:val="18"/>
    </w:rPr>
  </w:style>
  <w:style w:type="paragraph" w:styleId="Revision">
    <w:name w:val="Revision"/>
    <w:hidden/>
    <w:uiPriority w:val="99"/>
    <w:semiHidden/>
    <w:rsid w:val="003F5AF8"/>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7C44D-A872-4E0E-84EA-81F92F1AC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290</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c:creator>
  <cp:lastModifiedBy>Harper, Michael</cp:lastModifiedBy>
  <cp:revision>3</cp:revision>
  <dcterms:created xsi:type="dcterms:W3CDTF">2018-10-06T23:00:00Z</dcterms:created>
  <dcterms:modified xsi:type="dcterms:W3CDTF">2019-08-22T01:32:00Z</dcterms:modified>
</cp:coreProperties>
</file>