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BB" w:rsidRPr="006E7242" w:rsidRDefault="00FA3698" w:rsidP="00C3205D">
      <w:pPr>
        <w:shd w:val="clear" w:color="auto" w:fill="FFFFFF"/>
        <w:ind w:left="2160" w:right="2160"/>
        <w:jc w:val="center"/>
        <w:rPr>
          <w:sz w:val="32"/>
          <w:szCs w:val="24"/>
        </w:rPr>
      </w:pPr>
      <w:r w:rsidRPr="006E7242">
        <w:rPr>
          <w:b/>
          <w:bCs/>
          <w:sz w:val="32"/>
          <w:szCs w:val="24"/>
          <w:lang w:val="fr-FR"/>
        </w:rPr>
        <w:t xml:space="preserve">STATES </w:t>
      </w:r>
      <w:r w:rsidRPr="006E7242">
        <w:rPr>
          <w:b/>
          <w:bCs/>
          <w:sz w:val="32"/>
          <w:szCs w:val="24"/>
        </w:rPr>
        <w:t>GRANTS (ABORIGINAL ASSISTANCE) ACT 1976</w:t>
      </w:r>
    </w:p>
    <w:p w:rsidR="00BF2FBB" w:rsidRPr="00AD3D75" w:rsidRDefault="00FA3698" w:rsidP="00C3205D">
      <w:pPr>
        <w:autoSpaceDE/>
        <w:autoSpaceDN/>
        <w:adjustRightInd/>
        <w:spacing w:before="120" w:after="240"/>
        <w:jc w:val="center"/>
        <w:rPr>
          <w:sz w:val="28"/>
          <w:szCs w:val="24"/>
        </w:rPr>
      </w:pPr>
      <w:r w:rsidRPr="00AD3D75">
        <w:rPr>
          <w:b/>
          <w:bCs/>
          <w:sz w:val="28"/>
          <w:szCs w:val="24"/>
        </w:rPr>
        <w:t>No. 1 of 1977</w:t>
      </w:r>
    </w:p>
    <w:p w:rsidR="00BF2FBB" w:rsidRPr="0072194A" w:rsidRDefault="00FA3698" w:rsidP="00C3205D">
      <w:pPr>
        <w:shd w:val="clear" w:color="auto" w:fill="FFFFFF"/>
        <w:spacing w:before="120" w:after="240"/>
        <w:jc w:val="both"/>
        <w:rPr>
          <w:sz w:val="24"/>
          <w:szCs w:val="24"/>
        </w:rPr>
      </w:pPr>
      <w:r w:rsidRPr="0072194A">
        <w:rPr>
          <w:sz w:val="24"/>
          <w:szCs w:val="24"/>
        </w:rPr>
        <w:t>An Act to provide for Financial Assistance to the States in relation to Aboriginals.</w:t>
      </w:r>
    </w:p>
    <w:p w:rsidR="00BF2FBB" w:rsidRPr="0072194A" w:rsidRDefault="00FA3698" w:rsidP="00C3205D">
      <w:pPr>
        <w:shd w:val="clear" w:color="auto" w:fill="FFFFFF"/>
        <w:spacing w:after="120"/>
        <w:ind w:firstLine="288"/>
        <w:jc w:val="both"/>
        <w:rPr>
          <w:sz w:val="24"/>
          <w:szCs w:val="24"/>
        </w:rPr>
      </w:pPr>
      <w:r w:rsidRPr="0072194A">
        <w:rPr>
          <w:sz w:val="24"/>
          <w:szCs w:val="24"/>
        </w:rPr>
        <w:t>BE IT ENACTED by the Queen, and the Senate and House of Representatives of the Commonwealth of Australia, as follows:</w:t>
      </w:r>
      <w:r w:rsidRPr="0072194A">
        <w:rPr>
          <w:rFonts w:eastAsia="Times New Roman"/>
          <w:sz w:val="24"/>
          <w:szCs w:val="24"/>
        </w:rPr>
        <w:t>—</w:t>
      </w:r>
    </w:p>
    <w:p w:rsidR="00BF2FBB" w:rsidRPr="00C3205D" w:rsidRDefault="00FA3698" w:rsidP="00C3205D">
      <w:pPr>
        <w:shd w:val="clear" w:color="auto" w:fill="FFFFFF"/>
        <w:spacing w:before="120" w:after="60"/>
        <w:jc w:val="both"/>
        <w:rPr>
          <w:b/>
          <w:szCs w:val="24"/>
        </w:rPr>
      </w:pPr>
      <w:r w:rsidRPr="00C3205D">
        <w:rPr>
          <w:b/>
          <w:szCs w:val="24"/>
        </w:rPr>
        <w:t>Short title.</w:t>
      </w:r>
    </w:p>
    <w:p w:rsidR="00BF2FBB" w:rsidRPr="0072194A" w:rsidRDefault="00FA3698" w:rsidP="00C3205D">
      <w:pPr>
        <w:shd w:val="clear" w:color="auto" w:fill="FFFFFF"/>
        <w:spacing w:before="60" w:after="60"/>
        <w:ind w:firstLine="288"/>
        <w:jc w:val="both"/>
        <w:rPr>
          <w:sz w:val="24"/>
          <w:szCs w:val="24"/>
        </w:rPr>
      </w:pPr>
      <w:r w:rsidRPr="00C3205D">
        <w:rPr>
          <w:b/>
          <w:sz w:val="24"/>
          <w:szCs w:val="24"/>
        </w:rPr>
        <w:t>1.</w:t>
      </w:r>
      <w:r w:rsidRPr="0072194A">
        <w:rPr>
          <w:sz w:val="24"/>
          <w:szCs w:val="24"/>
        </w:rPr>
        <w:t xml:space="preserve"> This Act may be cited as the </w:t>
      </w:r>
      <w:r w:rsidRPr="0072194A">
        <w:rPr>
          <w:i/>
          <w:iCs/>
          <w:sz w:val="24"/>
          <w:szCs w:val="24"/>
        </w:rPr>
        <w:t xml:space="preserve">States Grants (Aboriginal Assistance) Act </w:t>
      </w:r>
      <w:r w:rsidRPr="0072194A">
        <w:rPr>
          <w:sz w:val="24"/>
          <w:szCs w:val="24"/>
        </w:rPr>
        <w:t>1976.</w:t>
      </w:r>
    </w:p>
    <w:p w:rsidR="00BF2FBB" w:rsidRPr="00C3205D" w:rsidRDefault="00FA3698" w:rsidP="00C3205D">
      <w:pPr>
        <w:shd w:val="clear" w:color="auto" w:fill="FFFFFF"/>
        <w:spacing w:before="120" w:after="60"/>
        <w:jc w:val="both"/>
        <w:rPr>
          <w:b/>
          <w:szCs w:val="24"/>
        </w:rPr>
      </w:pPr>
      <w:r w:rsidRPr="00C3205D">
        <w:rPr>
          <w:b/>
          <w:szCs w:val="24"/>
        </w:rPr>
        <w:t>Commencement.</w:t>
      </w:r>
    </w:p>
    <w:p w:rsidR="00BF2FBB" w:rsidRPr="0072194A" w:rsidRDefault="00FA3698" w:rsidP="00C3205D">
      <w:pPr>
        <w:shd w:val="clear" w:color="auto" w:fill="FFFFFF"/>
        <w:spacing w:before="60" w:after="60"/>
        <w:ind w:firstLine="288"/>
        <w:jc w:val="both"/>
        <w:rPr>
          <w:sz w:val="24"/>
          <w:szCs w:val="24"/>
        </w:rPr>
      </w:pPr>
      <w:r w:rsidRPr="00C3205D">
        <w:rPr>
          <w:b/>
          <w:sz w:val="24"/>
          <w:szCs w:val="24"/>
        </w:rPr>
        <w:t>2.</w:t>
      </w:r>
      <w:r w:rsidRPr="0072194A">
        <w:rPr>
          <w:sz w:val="24"/>
          <w:szCs w:val="24"/>
        </w:rPr>
        <w:t xml:space="preserve"> This Act shall come into operation on the day on which it receives the Royal Assent.</w:t>
      </w:r>
    </w:p>
    <w:p w:rsidR="00BF2FBB" w:rsidRPr="00C3205D" w:rsidRDefault="00FA3698" w:rsidP="00C3205D">
      <w:pPr>
        <w:shd w:val="clear" w:color="auto" w:fill="FFFFFF"/>
        <w:spacing w:before="120" w:after="60"/>
        <w:jc w:val="both"/>
        <w:rPr>
          <w:b/>
          <w:szCs w:val="24"/>
        </w:rPr>
      </w:pPr>
      <w:r w:rsidRPr="00C3205D">
        <w:rPr>
          <w:b/>
          <w:szCs w:val="24"/>
        </w:rPr>
        <w:t>Definition.</w:t>
      </w:r>
    </w:p>
    <w:p w:rsidR="00BF2FBB" w:rsidRPr="0072194A" w:rsidRDefault="00FA3698" w:rsidP="00C3205D">
      <w:pPr>
        <w:shd w:val="clear" w:color="auto" w:fill="FFFFFF"/>
        <w:spacing w:before="60" w:after="60"/>
        <w:ind w:firstLine="288"/>
        <w:jc w:val="both"/>
        <w:rPr>
          <w:sz w:val="24"/>
          <w:szCs w:val="24"/>
        </w:rPr>
      </w:pPr>
      <w:r w:rsidRPr="00C3205D">
        <w:rPr>
          <w:b/>
          <w:sz w:val="24"/>
          <w:szCs w:val="24"/>
        </w:rPr>
        <w:t>3.</w:t>
      </w:r>
      <w:r w:rsidRPr="0072194A">
        <w:rPr>
          <w:sz w:val="24"/>
          <w:szCs w:val="24"/>
        </w:rPr>
        <w:t xml:space="preserve"> In this Act, unless the contrary intention appears, </w:t>
      </w:r>
      <w:r w:rsidR="004A5CD6" w:rsidRPr="0072194A">
        <w:rPr>
          <w:sz w:val="24"/>
          <w:szCs w:val="24"/>
        </w:rPr>
        <w:t>“</w:t>
      </w:r>
      <w:r w:rsidRPr="0072194A">
        <w:rPr>
          <w:sz w:val="24"/>
          <w:szCs w:val="24"/>
        </w:rPr>
        <w:t>Aboriginals</w:t>
      </w:r>
      <w:r w:rsidR="004A5CD6" w:rsidRPr="0072194A">
        <w:rPr>
          <w:sz w:val="24"/>
          <w:szCs w:val="24"/>
        </w:rPr>
        <w:t>”</w:t>
      </w:r>
      <w:r w:rsidRPr="0072194A">
        <w:rPr>
          <w:sz w:val="24"/>
          <w:szCs w:val="24"/>
        </w:rPr>
        <w:t xml:space="preserve"> means persons who are</w:t>
      </w:r>
      <w:r w:rsidRPr="0072194A">
        <w:rPr>
          <w:rFonts w:eastAsia="Times New Roman"/>
          <w:sz w:val="24"/>
          <w:szCs w:val="24"/>
        </w:rPr>
        <w:t>—</w:t>
      </w:r>
    </w:p>
    <w:p w:rsidR="00BF2FBB" w:rsidRPr="0072194A" w:rsidRDefault="00FA3698" w:rsidP="00C3205D">
      <w:pPr>
        <w:shd w:val="clear" w:color="auto" w:fill="FFFFFF"/>
        <w:spacing w:before="60" w:after="60"/>
        <w:ind w:firstLine="288"/>
        <w:jc w:val="both"/>
        <w:rPr>
          <w:sz w:val="24"/>
          <w:szCs w:val="24"/>
        </w:rPr>
      </w:pPr>
      <w:r w:rsidRPr="0072194A">
        <w:rPr>
          <w:sz w:val="24"/>
          <w:szCs w:val="24"/>
        </w:rPr>
        <w:t>(a)</w:t>
      </w:r>
      <w:r w:rsidR="004A5CD6" w:rsidRPr="0072194A">
        <w:rPr>
          <w:sz w:val="24"/>
          <w:szCs w:val="24"/>
        </w:rPr>
        <w:t xml:space="preserve"> </w:t>
      </w:r>
      <w:r w:rsidRPr="0072194A">
        <w:rPr>
          <w:sz w:val="24"/>
          <w:szCs w:val="24"/>
        </w:rPr>
        <w:t>members of the Aboriginal race of Australia; or</w:t>
      </w:r>
    </w:p>
    <w:p w:rsidR="00BF2FBB" w:rsidRPr="0072194A" w:rsidRDefault="00FA3698" w:rsidP="00C3205D">
      <w:pPr>
        <w:shd w:val="clear" w:color="auto" w:fill="FFFFFF"/>
        <w:spacing w:before="60" w:after="60"/>
        <w:ind w:firstLine="288"/>
        <w:jc w:val="both"/>
        <w:rPr>
          <w:sz w:val="24"/>
          <w:szCs w:val="24"/>
        </w:rPr>
      </w:pPr>
      <w:r w:rsidRPr="0072194A">
        <w:rPr>
          <w:sz w:val="24"/>
          <w:szCs w:val="24"/>
        </w:rPr>
        <w:t>(b)</w:t>
      </w:r>
      <w:r w:rsidR="004A5CD6" w:rsidRPr="0072194A">
        <w:rPr>
          <w:sz w:val="24"/>
          <w:szCs w:val="24"/>
        </w:rPr>
        <w:t xml:space="preserve"> </w:t>
      </w:r>
      <w:r w:rsidRPr="0072194A">
        <w:rPr>
          <w:sz w:val="24"/>
          <w:szCs w:val="24"/>
        </w:rPr>
        <w:t>members of the race to which Torres Strait Islanders belong.</w:t>
      </w:r>
    </w:p>
    <w:p w:rsidR="00BF2FBB" w:rsidRPr="00C3205D" w:rsidRDefault="00FA3698" w:rsidP="00C3205D">
      <w:pPr>
        <w:shd w:val="clear" w:color="auto" w:fill="FFFFFF"/>
        <w:spacing w:before="120" w:after="60"/>
        <w:jc w:val="both"/>
        <w:rPr>
          <w:b/>
          <w:szCs w:val="24"/>
        </w:rPr>
      </w:pPr>
      <w:r w:rsidRPr="00C3205D">
        <w:rPr>
          <w:b/>
          <w:szCs w:val="24"/>
        </w:rPr>
        <w:t>Financial assistance.</w:t>
      </w:r>
    </w:p>
    <w:p w:rsidR="00BF2FBB" w:rsidRPr="0072194A" w:rsidRDefault="00FA3698" w:rsidP="00C3205D">
      <w:pPr>
        <w:shd w:val="clear" w:color="auto" w:fill="FFFFFF"/>
        <w:spacing w:before="60" w:after="60"/>
        <w:ind w:firstLine="288"/>
        <w:jc w:val="both"/>
        <w:rPr>
          <w:sz w:val="24"/>
          <w:szCs w:val="24"/>
        </w:rPr>
      </w:pPr>
      <w:r w:rsidRPr="00D37277">
        <w:rPr>
          <w:b/>
          <w:sz w:val="24"/>
          <w:szCs w:val="24"/>
        </w:rPr>
        <w:t>4.</w:t>
      </w:r>
      <w:r w:rsidRPr="0072194A">
        <w:rPr>
          <w:sz w:val="24"/>
          <w:szCs w:val="24"/>
        </w:rPr>
        <w:t xml:space="preserve"> (1) Financial assistance in relation to Aboriginals is granted to the States in accordance with this Act.</w:t>
      </w:r>
    </w:p>
    <w:p w:rsidR="00BF2FBB" w:rsidRPr="0072194A" w:rsidRDefault="00FA3698" w:rsidP="00C3205D">
      <w:pPr>
        <w:shd w:val="clear" w:color="auto" w:fill="FFFFFF"/>
        <w:spacing w:before="60" w:after="60"/>
        <w:ind w:firstLine="288"/>
        <w:jc w:val="both"/>
        <w:rPr>
          <w:sz w:val="24"/>
          <w:szCs w:val="24"/>
        </w:rPr>
      </w:pPr>
      <w:r w:rsidRPr="0072194A">
        <w:rPr>
          <w:sz w:val="24"/>
          <w:szCs w:val="24"/>
        </w:rPr>
        <w:t>(2) Subject to this Act, the financial assistance to a State under this Act is payable in such amounts, and at such times, as the Treasurer determines.</w:t>
      </w:r>
    </w:p>
    <w:p w:rsidR="00BF2FBB" w:rsidRPr="00B34975" w:rsidRDefault="00FA3698" w:rsidP="00B34975">
      <w:pPr>
        <w:shd w:val="clear" w:color="auto" w:fill="FFFFFF"/>
        <w:spacing w:before="120" w:after="60"/>
        <w:jc w:val="both"/>
        <w:rPr>
          <w:b/>
          <w:szCs w:val="24"/>
        </w:rPr>
      </w:pPr>
      <w:r w:rsidRPr="00B34975">
        <w:rPr>
          <w:b/>
          <w:szCs w:val="24"/>
        </w:rPr>
        <w:t>Conditions.</w:t>
      </w:r>
    </w:p>
    <w:p w:rsidR="00BF2FBB" w:rsidRPr="0072194A" w:rsidRDefault="00FA3698" w:rsidP="00C3205D">
      <w:pPr>
        <w:shd w:val="clear" w:color="auto" w:fill="FFFFFF"/>
        <w:spacing w:before="60" w:after="60"/>
        <w:ind w:firstLine="288"/>
        <w:jc w:val="both"/>
        <w:rPr>
          <w:sz w:val="24"/>
          <w:szCs w:val="24"/>
        </w:rPr>
      </w:pPr>
      <w:r w:rsidRPr="00D37277">
        <w:rPr>
          <w:b/>
          <w:sz w:val="24"/>
          <w:szCs w:val="24"/>
        </w:rPr>
        <w:t>5.</w:t>
      </w:r>
      <w:r w:rsidRPr="0072194A">
        <w:rPr>
          <w:sz w:val="24"/>
          <w:szCs w:val="24"/>
        </w:rPr>
        <w:t xml:space="preserve"> (1) A grant of financial assistance to a State under this Act is subject to each of the following conditions:</w:t>
      </w:r>
      <w:r w:rsidRPr="0072194A">
        <w:rPr>
          <w:rFonts w:eastAsia="Times New Roman"/>
          <w:sz w:val="24"/>
          <w:szCs w:val="24"/>
        </w:rPr>
        <w:t>—</w:t>
      </w:r>
    </w:p>
    <w:p w:rsidR="00BF2FBB" w:rsidRPr="0072194A" w:rsidRDefault="00FA3698" w:rsidP="00C3205D">
      <w:pPr>
        <w:shd w:val="clear" w:color="auto" w:fill="FFFFFF"/>
        <w:spacing w:before="60" w:after="60"/>
        <w:ind w:left="576" w:hanging="288"/>
        <w:jc w:val="both"/>
        <w:rPr>
          <w:sz w:val="24"/>
          <w:szCs w:val="24"/>
        </w:rPr>
      </w:pPr>
      <w:r w:rsidRPr="0072194A">
        <w:rPr>
          <w:sz w:val="24"/>
          <w:szCs w:val="24"/>
        </w:rPr>
        <w:t>(a) that each amount paid to the State under this Act will be applied by the State, in a manner and within a time approved by the Minister or an authorized officer, for the purposes of expenditure for the benefit of Aboriginals living in that State;</w:t>
      </w:r>
    </w:p>
    <w:p w:rsidR="00BF2FBB" w:rsidRPr="0072194A" w:rsidRDefault="00FA3698" w:rsidP="00C3205D">
      <w:pPr>
        <w:shd w:val="clear" w:color="auto" w:fill="FFFFFF"/>
        <w:spacing w:before="60" w:after="60"/>
        <w:ind w:left="576" w:hanging="288"/>
        <w:jc w:val="both"/>
        <w:rPr>
          <w:sz w:val="24"/>
          <w:szCs w:val="24"/>
        </w:rPr>
      </w:pPr>
      <w:r w:rsidRPr="0072194A">
        <w:rPr>
          <w:sz w:val="24"/>
          <w:szCs w:val="24"/>
        </w:rPr>
        <w:t>(b) that, if the Minister informs the Treasurer of the State that he is satisfied that the State has failed, in respect of an amount paid to the State under this Act, to fulfil the condition referred to in paragraph (a), the State will repay that amount to the Commonwealth.</w:t>
      </w:r>
    </w:p>
    <w:p w:rsidR="00BF2FBB" w:rsidRPr="0072194A" w:rsidRDefault="00FA3698" w:rsidP="00C3205D">
      <w:pPr>
        <w:shd w:val="clear" w:color="auto" w:fill="FFFFFF"/>
        <w:spacing w:before="60" w:after="60"/>
        <w:ind w:firstLine="288"/>
        <w:jc w:val="both"/>
        <w:rPr>
          <w:sz w:val="24"/>
          <w:szCs w:val="24"/>
        </w:rPr>
      </w:pPr>
      <w:r w:rsidRPr="0072194A">
        <w:rPr>
          <w:sz w:val="24"/>
          <w:szCs w:val="24"/>
        </w:rPr>
        <w:t xml:space="preserve">(2) In paragraph (1)(a), </w:t>
      </w:r>
      <w:r w:rsidR="004A5CD6" w:rsidRPr="0072194A">
        <w:rPr>
          <w:sz w:val="24"/>
          <w:szCs w:val="24"/>
        </w:rPr>
        <w:t>“</w:t>
      </w:r>
      <w:r w:rsidRPr="0072194A">
        <w:rPr>
          <w:sz w:val="24"/>
          <w:szCs w:val="24"/>
        </w:rPr>
        <w:t>authorized officer</w:t>
      </w:r>
      <w:r w:rsidR="004A5CD6" w:rsidRPr="0072194A">
        <w:rPr>
          <w:sz w:val="24"/>
          <w:szCs w:val="24"/>
        </w:rPr>
        <w:t>”</w:t>
      </w:r>
      <w:r w:rsidRPr="0072194A">
        <w:rPr>
          <w:sz w:val="24"/>
          <w:szCs w:val="24"/>
        </w:rPr>
        <w:t xml:space="preserve"> means an officer of the Department of Aboriginal Affairs authorized in writing by the Minister to give approvals under that paragraph.</w:t>
      </w:r>
    </w:p>
    <w:p w:rsidR="00BF2FBB" w:rsidRPr="00C3205D" w:rsidRDefault="00D37277" w:rsidP="009B4E02">
      <w:pPr>
        <w:shd w:val="clear" w:color="auto" w:fill="FFFFFF"/>
        <w:spacing w:before="120" w:after="60"/>
        <w:jc w:val="both"/>
        <w:rPr>
          <w:b/>
          <w:szCs w:val="24"/>
        </w:rPr>
      </w:pPr>
      <w:r>
        <w:rPr>
          <w:sz w:val="24"/>
          <w:szCs w:val="24"/>
        </w:rPr>
        <w:t>G</w:t>
      </w:r>
      <w:r w:rsidR="00FA3698" w:rsidRPr="00C3205D">
        <w:rPr>
          <w:b/>
          <w:szCs w:val="24"/>
        </w:rPr>
        <w:t>rants to be made out of annual appropriation.</w:t>
      </w:r>
    </w:p>
    <w:p w:rsidR="00BF2FBB" w:rsidRPr="0072194A" w:rsidRDefault="00FA3698" w:rsidP="00C3205D">
      <w:pPr>
        <w:shd w:val="clear" w:color="auto" w:fill="FFFFFF"/>
        <w:spacing w:before="60" w:after="60"/>
        <w:ind w:firstLine="288"/>
        <w:jc w:val="both"/>
        <w:rPr>
          <w:sz w:val="24"/>
          <w:szCs w:val="24"/>
        </w:rPr>
      </w:pPr>
      <w:r w:rsidRPr="00D37277">
        <w:rPr>
          <w:b/>
          <w:sz w:val="24"/>
          <w:szCs w:val="24"/>
        </w:rPr>
        <w:t>6.</w:t>
      </w:r>
      <w:r w:rsidRPr="0072194A">
        <w:rPr>
          <w:sz w:val="24"/>
          <w:szCs w:val="24"/>
        </w:rPr>
        <w:t xml:space="preserve"> A grant to a State under this Act shall be made out of moneys available under an appropriation made by the Parliament.</w:t>
      </w:r>
    </w:p>
    <w:p w:rsidR="00BF2FBB" w:rsidRPr="00C3205D" w:rsidRDefault="00FA3698" w:rsidP="00C3205D">
      <w:pPr>
        <w:shd w:val="clear" w:color="auto" w:fill="FFFFFF"/>
        <w:spacing w:before="120" w:after="60"/>
        <w:jc w:val="both"/>
        <w:rPr>
          <w:b/>
          <w:szCs w:val="24"/>
        </w:rPr>
      </w:pPr>
      <w:r w:rsidRPr="00C3205D">
        <w:rPr>
          <w:b/>
          <w:szCs w:val="24"/>
        </w:rPr>
        <w:t>Annual report.</w:t>
      </w:r>
    </w:p>
    <w:p w:rsidR="00BF2FBB" w:rsidRPr="0072194A" w:rsidRDefault="00FA3698" w:rsidP="00C3205D">
      <w:pPr>
        <w:shd w:val="clear" w:color="auto" w:fill="FFFFFF"/>
        <w:spacing w:before="60" w:after="60"/>
        <w:ind w:firstLine="288"/>
        <w:jc w:val="both"/>
        <w:rPr>
          <w:sz w:val="24"/>
          <w:szCs w:val="24"/>
        </w:rPr>
      </w:pPr>
      <w:r w:rsidRPr="00D37277">
        <w:rPr>
          <w:b/>
          <w:sz w:val="24"/>
          <w:szCs w:val="24"/>
        </w:rPr>
        <w:t>7.</w:t>
      </w:r>
      <w:r w:rsidRPr="0072194A">
        <w:rPr>
          <w:sz w:val="24"/>
          <w:szCs w:val="24"/>
        </w:rPr>
        <w:t xml:space="preserve"> (1) The Minister shall, as soon as practicable after 30 June in each year, cause to be laid before each House of the Parliament a report on the operation of this Act during the year ending on that date.</w:t>
      </w:r>
    </w:p>
    <w:p w:rsidR="00BF2FBB" w:rsidRPr="0072194A" w:rsidRDefault="00FA3698" w:rsidP="00C3205D">
      <w:pPr>
        <w:shd w:val="clear" w:color="auto" w:fill="FFFFFF"/>
        <w:spacing w:before="60" w:after="60"/>
        <w:ind w:firstLine="288"/>
        <w:jc w:val="both"/>
        <w:rPr>
          <w:sz w:val="24"/>
          <w:szCs w:val="24"/>
        </w:rPr>
      </w:pPr>
      <w:r w:rsidRPr="0072194A">
        <w:rPr>
          <w:sz w:val="24"/>
          <w:szCs w:val="24"/>
        </w:rPr>
        <w:t>(2)</w:t>
      </w:r>
      <w:r w:rsidR="004A5CD6" w:rsidRPr="0072194A">
        <w:rPr>
          <w:sz w:val="24"/>
          <w:szCs w:val="24"/>
        </w:rPr>
        <w:t xml:space="preserve"> </w:t>
      </w:r>
      <w:r w:rsidRPr="0072194A">
        <w:rPr>
          <w:sz w:val="24"/>
          <w:szCs w:val="24"/>
        </w:rPr>
        <w:t>A report referred to in sub-section (1) shall include a statement setting out the amount paid under this Act to each State during the year to which the report relates.</w:t>
      </w:r>
    </w:p>
    <w:p w:rsidR="00BF2FBB" w:rsidRPr="0072194A" w:rsidRDefault="00FA3698" w:rsidP="00C3205D">
      <w:pPr>
        <w:shd w:val="clear" w:color="auto" w:fill="FFFFFF"/>
        <w:spacing w:before="60" w:after="60"/>
        <w:ind w:firstLine="288"/>
        <w:jc w:val="both"/>
        <w:rPr>
          <w:sz w:val="24"/>
          <w:szCs w:val="24"/>
        </w:rPr>
      </w:pPr>
      <w:r w:rsidRPr="0072194A">
        <w:rPr>
          <w:sz w:val="24"/>
          <w:szCs w:val="24"/>
        </w:rPr>
        <w:t>(3)</w:t>
      </w:r>
      <w:r w:rsidR="004A5CD6" w:rsidRPr="0072194A">
        <w:rPr>
          <w:sz w:val="24"/>
          <w:szCs w:val="24"/>
        </w:rPr>
        <w:t xml:space="preserve"> </w:t>
      </w:r>
      <w:r w:rsidRPr="0072194A">
        <w:rPr>
          <w:sz w:val="24"/>
          <w:szCs w:val="24"/>
        </w:rPr>
        <w:t>For the purposes of this section, the period commencing on the date of commencement of this Act and ending on 30 June 1977 shall be deemed to be a year.</w:t>
      </w:r>
    </w:p>
    <w:p w:rsidR="00FA3698" w:rsidRPr="0072194A" w:rsidRDefault="00C3205D" w:rsidP="00D37277">
      <w:pPr>
        <w:shd w:val="clear" w:color="auto" w:fill="FFFFFF"/>
        <w:spacing w:before="600" w:after="120"/>
        <w:jc w:val="center"/>
        <w:rPr>
          <w:sz w:val="24"/>
          <w:szCs w:val="24"/>
        </w:rPr>
      </w:pPr>
      <w:r>
        <w:rPr>
          <w:b/>
          <w:bCs/>
          <w:noProof/>
          <w:sz w:val="24"/>
          <w:szCs w:val="24"/>
          <w:lang w:val="en-AU" w:eastAsia="en-AU"/>
        </w:rPr>
        <mc:AlternateContent>
          <mc:Choice Requires="wps">
            <w:drawing>
              <wp:anchor distT="0" distB="0" distL="114300" distR="114300" simplePos="0" relativeHeight="251659264" behindDoc="0" locked="0" layoutInCell="1" allowOverlap="1" wp14:anchorId="1A5C266C" wp14:editId="5C3ACC0F">
                <wp:simplePos x="0" y="0"/>
                <wp:positionH relativeFrom="column">
                  <wp:posOffset>-9525</wp:posOffset>
                </wp:positionH>
                <wp:positionV relativeFrom="paragraph">
                  <wp:posOffset>121285</wp:posOffset>
                </wp:positionV>
                <wp:extent cx="579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B4748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55pt" to="455.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" strokecolor="black [3040]" strokeweight="1.5pt"/>
            </w:pict>
          </mc:Fallback>
        </mc:AlternateContent>
      </w:r>
      <w:bookmarkStart w:id="0" w:name="_GoBack"/>
      <w:bookmarkEnd w:id="0"/>
    </w:p>
    <w:sectPr w:rsidR="00FA3698" w:rsidRPr="0072194A" w:rsidSect="008619EE">
      <w:pgSz w:w="11909" w:h="18000" w:code="9"/>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2F" w:rsidRDefault="008E102F" w:rsidP="009B4E02">
      <w:r>
        <w:separator/>
      </w:r>
    </w:p>
  </w:endnote>
  <w:endnote w:type="continuationSeparator" w:id="0">
    <w:p w:rsidR="008E102F" w:rsidRDefault="008E102F" w:rsidP="009B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2F" w:rsidRDefault="008E102F" w:rsidP="009B4E02">
      <w:r>
        <w:separator/>
      </w:r>
    </w:p>
  </w:footnote>
  <w:footnote w:type="continuationSeparator" w:id="0">
    <w:p w:rsidR="008E102F" w:rsidRDefault="008E102F" w:rsidP="009B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D6"/>
    <w:rsid w:val="00072FA1"/>
    <w:rsid w:val="004A5CD6"/>
    <w:rsid w:val="006E7242"/>
    <w:rsid w:val="0072194A"/>
    <w:rsid w:val="008619EE"/>
    <w:rsid w:val="008C2B68"/>
    <w:rsid w:val="008E102F"/>
    <w:rsid w:val="009725E1"/>
    <w:rsid w:val="009B4E02"/>
    <w:rsid w:val="009E7F13"/>
    <w:rsid w:val="00AD3D75"/>
    <w:rsid w:val="00B34975"/>
    <w:rsid w:val="00BF2FBB"/>
    <w:rsid w:val="00C3205D"/>
    <w:rsid w:val="00D37277"/>
    <w:rsid w:val="00FA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E02"/>
    <w:pPr>
      <w:tabs>
        <w:tab w:val="center" w:pos="4680"/>
        <w:tab w:val="right" w:pos="9360"/>
      </w:tabs>
    </w:pPr>
  </w:style>
  <w:style w:type="character" w:customStyle="1" w:styleId="HeaderChar">
    <w:name w:val="Header Char"/>
    <w:basedOn w:val="DefaultParagraphFont"/>
    <w:link w:val="Header"/>
    <w:uiPriority w:val="99"/>
    <w:rsid w:val="009B4E02"/>
    <w:rPr>
      <w:rFonts w:ascii="Times New Roman" w:hAnsi="Times New Roman" w:cs="Times New Roman"/>
      <w:sz w:val="20"/>
      <w:szCs w:val="20"/>
    </w:rPr>
  </w:style>
  <w:style w:type="paragraph" w:styleId="Footer">
    <w:name w:val="footer"/>
    <w:basedOn w:val="Normal"/>
    <w:link w:val="FooterChar"/>
    <w:uiPriority w:val="99"/>
    <w:unhideWhenUsed/>
    <w:rsid w:val="009B4E02"/>
    <w:pPr>
      <w:tabs>
        <w:tab w:val="center" w:pos="4680"/>
        <w:tab w:val="right" w:pos="9360"/>
      </w:tabs>
    </w:pPr>
  </w:style>
  <w:style w:type="character" w:customStyle="1" w:styleId="FooterChar">
    <w:name w:val="Footer Char"/>
    <w:basedOn w:val="DefaultParagraphFont"/>
    <w:link w:val="Footer"/>
    <w:uiPriority w:val="99"/>
    <w:rsid w:val="009B4E0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B4E02"/>
    <w:rPr>
      <w:rFonts w:ascii="Tahoma" w:hAnsi="Tahoma" w:cs="Tahoma"/>
      <w:sz w:val="16"/>
      <w:szCs w:val="16"/>
    </w:rPr>
  </w:style>
  <w:style w:type="character" w:customStyle="1" w:styleId="BalloonTextChar">
    <w:name w:val="Balloon Text Char"/>
    <w:basedOn w:val="DefaultParagraphFont"/>
    <w:link w:val="BalloonText"/>
    <w:uiPriority w:val="99"/>
    <w:semiHidden/>
    <w:rsid w:val="009B4E02"/>
    <w:rPr>
      <w:rFonts w:ascii="Tahoma" w:hAnsi="Tahoma" w:cs="Tahoma"/>
      <w:sz w:val="16"/>
      <w:szCs w:val="16"/>
    </w:rPr>
  </w:style>
  <w:style w:type="paragraph" w:styleId="Revision">
    <w:name w:val="Revision"/>
    <w:hidden/>
    <w:uiPriority w:val="99"/>
    <w:semiHidden/>
    <w:rsid w:val="00D37277"/>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E02"/>
    <w:pPr>
      <w:tabs>
        <w:tab w:val="center" w:pos="4680"/>
        <w:tab w:val="right" w:pos="9360"/>
      </w:tabs>
    </w:pPr>
  </w:style>
  <w:style w:type="character" w:customStyle="1" w:styleId="HeaderChar">
    <w:name w:val="Header Char"/>
    <w:basedOn w:val="DefaultParagraphFont"/>
    <w:link w:val="Header"/>
    <w:uiPriority w:val="99"/>
    <w:rsid w:val="009B4E02"/>
    <w:rPr>
      <w:rFonts w:ascii="Times New Roman" w:hAnsi="Times New Roman" w:cs="Times New Roman"/>
      <w:sz w:val="20"/>
      <w:szCs w:val="20"/>
    </w:rPr>
  </w:style>
  <w:style w:type="paragraph" w:styleId="Footer">
    <w:name w:val="footer"/>
    <w:basedOn w:val="Normal"/>
    <w:link w:val="FooterChar"/>
    <w:uiPriority w:val="99"/>
    <w:unhideWhenUsed/>
    <w:rsid w:val="009B4E02"/>
    <w:pPr>
      <w:tabs>
        <w:tab w:val="center" w:pos="4680"/>
        <w:tab w:val="right" w:pos="9360"/>
      </w:tabs>
    </w:pPr>
  </w:style>
  <w:style w:type="character" w:customStyle="1" w:styleId="FooterChar">
    <w:name w:val="Footer Char"/>
    <w:basedOn w:val="DefaultParagraphFont"/>
    <w:link w:val="Footer"/>
    <w:uiPriority w:val="99"/>
    <w:rsid w:val="009B4E0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B4E02"/>
    <w:rPr>
      <w:rFonts w:ascii="Tahoma" w:hAnsi="Tahoma" w:cs="Tahoma"/>
      <w:sz w:val="16"/>
      <w:szCs w:val="16"/>
    </w:rPr>
  </w:style>
  <w:style w:type="character" w:customStyle="1" w:styleId="BalloonTextChar">
    <w:name w:val="Balloon Text Char"/>
    <w:basedOn w:val="DefaultParagraphFont"/>
    <w:link w:val="BalloonText"/>
    <w:uiPriority w:val="99"/>
    <w:semiHidden/>
    <w:rsid w:val="009B4E02"/>
    <w:rPr>
      <w:rFonts w:ascii="Tahoma" w:hAnsi="Tahoma" w:cs="Tahoma"/>
      <w:sz w:val="16"/>
      <w:szCs w:val="16"/>
    </w:rPr>
  </w:style>
  <w:style w:type="paragraph" w:styleId="Revision">
    <w:name w:val="Revision"/>
    <w:hidden/>
    <w:uiPriority w:val="99"/>
    <w:semiHidden/>
    <w:rsid w:val="00D37277"/>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440</Words>
  <Characters>2077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12</cp:revision>
  <dcterms:created xsi:type="dcterms:W3CDTF">2018-02-28T12:24:00Z</dcterms:created>
  <dcterms:modified xsi:type="dcterms:W3CDTF">2019-08-22T01:32:00Z</dcterms:modified>
</cp:coreProperties>
</file>