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C736" w14:textId="77777777" w:rsidR="0049018E" w:rsidRPr="008A6B15" w:rsidRDefault="005A71D1" w:rsidP="008A6B15">
      <w:pPr>
        <w:shd w:val="clear" w:color="auto" w:fill="FFFFFF"/>
        <w:ind w:left="720" w:right="720"/>
        <w:jc w:val="center"/>
        <w:rPr>
          <w:sz w:val="32"/>
          <w:szCs w:val="22"/>
        </w:rPr>
      </w:pPr>
      <w:r w:rsidRPr="008A6B15">
        <w:rPr>
          <w:b/>
          <w:bCs/>
          <w:sz w:val="32"/>
          <w:szCs w:val="22"/>
        </w:rPr>
        <w:t>SALES TAX (EXEMPTIONS AND CLASSIFICATIONS) AMENDMENT ACT 1976</w:t>
      </w:r>
    </w:p>
    <w:p w14:paraId="5FBB30D7" w14:textId="77777777" w:rsidR="0049018E" w:rsidRPr="008A6B15" w:rsidRDefault="005A71D1" w:rsidP="008A6B15">
      <w:pPr>
        <w:shd w:val="clear" w:color="auto" w:fill="FFFFFF"/>
        <w:spacing w:before="120" w:after="240"/>
        <w:jc w:val="center"/>
        <w:rPr>
          <w:sz w:val="28"/>
          <w:szCs w:val="22"/>
        </w:rPr>
      </w:pPr>
      <w:r w:rsidRPr="008A6B15">
        <w:rPr>
          <w:b/>
          <w:bCs/>
          <w:sz w:val="28"/>
          <w:szCs w:val="22"/>
        </w:rPr>
        <w:t>No. 175 of 1976</w:t>
      </w:r>
    </w:p>
    <w:p w14:paraId="2B4D9A39" w14:textId="77777777" w:rsidR="0049018E" w:rsidRPr="008A6B15" w:rsidRDefault="005A71D1" w:rsidP="008A6B15">
      <w:pPr>
        <w:shd w:val="clear" w:color="auto" w:fill="FFFFFF"/>
        <w:spacing w:before="360" w:after="360"/>
        <w:rPr>
          <w:sz w:val="24"/>
          <w:szCs w:val="22"/>
        </w:rPr>
      </w:pPr>
      <w:r w:rsidRPr="008A6B15">
        <w:rPr>
          <w:sz w:val="24"/>
          <w:szCs w:val="22"/>
        </w:rPr>
        <w:t xml:space="preserve">An Act to amend the </w:t>
      </w:r>
      <w:r w:rsidRPr="008A6B15">
        <w:rPr>
          <w:i/>
          <w:iCs/>
          <w:sz w:val="24"/>
          <w:szCs w:val="22"/>
        </w:rPr>
        <w:t xml:space="preserve">Sales Tax </w:t>
      </w:r>
      <w:r w:rsidR="00070341" w:rsidRPr="008A6B15">
        <w:rPr>
          <w:iCs/>
          <w:sz w:val="24"/>
          <w:szCs w:val="22"/>
        </w:rPr>
        <w:t>(</w:t>
      </w:r>
      <w:r w:rsidRPr="008A6B15">
        <w:rPr>
          <w:i/>
          <w:iCs/>
          <w:sz w:val="24"/>
          <w:szCs w:val="22"/>
        </w:rPr>
        <w:t>Exemptions and Classifications</w:t>
      </w:r>
      <w:r w:rsidR="00070341" w:rsidRPr="008A6B15">
        <w:rPr>
          <w:iCs/>
          <w:sz w:val="24"/>
          <w:szCs w:val="22"/>
        </w:rPr>
        <w:t>)</w:t>
      </w:r>
      <w:r w:rsidRPr="008A6B15">
        <w:rPr>
          <w:i/>
          <w:iCs/>
          <w:sz w:val="24"/>
          <w:szCs w:val="22"/>
        </w:rPr>
        <w:t xml:space="preserve"> Act </w:t>
      </w:r>
      <w:r w:rsidRPr="008A6B15">
        <w:rPr>
          <w:sz w:val="24"/>
          <w:szCs w:val="22"/>
        </w:rPr>
        <w:t>1935.</w:t>
      </w:r>
    </w:p>
    <w:p w14:paraId="5B2248AF" w14:textId="77777777" w:rsidR="0049018E" w:rsidRPr="008A6B15" w:rsidRDefault="005A71D1" w:rsidP="008A6B1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8A6B15">
        <w:rPr>
          <w:sz w:val="24"/>
          <w:szCs w:val="22"/>
        </w:rPr>
        <w:t>BE IT ENACTED by the Queen, and the Senate and House of Representatives of the Commonwealth of Australia, as follows:</w:t>
      </w:r>
      <w:r w:rsidRPr="008A6B15">
        <w:rPr>
          <w:rFonts w:eastAsia="Times New Roman"/>
          <w:sz w:val="24"/>
          <w:szCs w:val="22"/>
        </w:rPr>
        <w:t>—</w:t>
      </w:r>
    </w:p>
    <w:p w14:paraId="4D4B4275" w14:textId="77777777" w:rsidR="0049018E" w:rsidRPr="008A6B15" w:rsidRDefault="005A71D1" w:rsidP="008A6B15">
      <w:pPr>
        <w:shd w:val="clear" w:color="auto" w:fill="FFFFFF"/>
        <w:spacing w:before="120" w:after="60"/>
        <w:jc w:val="both"/>
        <w:rPr>
          <w:b/>
          <w:szCs w:val="22"/>
        </w:rPr>
      </w:pPr>
      <w:r w:rsidRPr="008A6B15">
        <w:rPr>
          <w:b/>
          <w:szCs w:val="22"/>
        </w:rPr>
        <w:t>Short title, &amp;c.</w:t>
      </w:r>
    </w:p>
    <w:p w14:paraId="5B415706" w14:textId="355228AE" w:rsidR="0049018E" w:rsidRPr="008A6B15" w:rsidRDefault="005A71D1" w:rsidP="008A6B1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8A6B15">
        <w:rPr>
          <w:b/>
          <w:bCs/>
          <w:sz w:val="24"/>
          <w:szCs w:val="22"/>
        </w:rPr>
        <w:t>1.</w:t>
      </w:r>
      <w:r w:rsidRPr="008A6B15">
        <w:rPr>
          <w:sz w:val="24"/>
          <w:szCs w:val="22"/>
        </w:rPr>
        <w:t xml:space="preserve"> (1) This Act may be cited as the </w:t>
      </w:r>
      <w:r w:rsidRPr="008A6B15">
        <w:rPr>
          <w:i/>
          <w:iCs/>
          <w:sz w:val="24"/>
          <w:szCs w:val="22"/>
        </w:rPr>
        <w:t xml:space="preserve">Sales Tax </w:t>
      </w:r>
      <w:r w:rsidR="00070341" w:rsidRPr="008A6B15">
        <w:rPr>
          <w:iCs/>
          <w:sz w:val="24"/>
          <w:szCs w:val="22"/>
        </w:rPr>
        <w:t>(</w:t>
      </w:r>
      <w:r w:rsidRPr="008A6B15">
        <w:rPr>
          <w:i/>
          <w:iCs/>
          <w:sz w:val="24"/>
          <w:szCs w:val="22"/>
        </w:rPr>
        <w:t>Exemptions and Classifications</w:t>
      </w:r>
      <w:r w:rsidR="00070341" w:rsidRPr="008A6B15">
        <w:rPr>
          <w:iCs/>
          <w:sz w:val="24"/>
          <w:szCs w:val="22"/>
        </w:rPr>
        <w:t>)</w:t>
      </w:r>
      <w:r w:rsidRPr="008A6B15">
        <w:rPr>
          <w:i/>
          <w:iCs/>
          <w:sz w:val="24"/>
          <w:szCs w:val="22"/>
        </w:rPr>
        <w:t xml:space="preserve"> Amendment Act </w:t>
      </w:r>
      <w:r w:rsidRPr="008A6B15">
        <w:rPr>
          <w:sz w:val="24"/>
          <w:szCs w:val="22"/>
        </w:rPr>
        <w:t>1976.</w:t>
      </w:r>
    </w:p>
    <w:p w14:paraId="74B456D2" w14:textId="11CE6054" w:rsidR="0049018E" w:rsidRPr="008A6B15" w:rsidRDefault="005A71D1" w:rsidP="008A6B1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8A6B15">
        <w:rPr>
          <w:sz w:val="24"/>
          <w:szCs w:val="22"/>
        </w:rPr>
        <w:t xml:space="preserve">(2) The </w:t>
      </w:r>
      <w:r w:rsidRPr="008A6B15">
        <w:rPr>
          <w:i/>
          <w:iCs/>
          <w:sz w:val="24"/>
          <w:szCs w:val="22"/>
        </w:rPr>
        <w:t xml:space="preserve">Sales Tax </w:t>
      </w:r>
      <w:r w:rsidR="00070341" w:rsidRPr="008A6B15">
        <w:rPr>
          <w:iCs/>
          <w:sz w:val="24"/>
          <w:szCs w:val="22"/>
        </w:rPr>
        <w:t>(</w:t>
      </w:r>
      <w:r w:rsidRPr="008A6B15">
        <w:rPr>
          <w:i/>
          <w:iCs/>
          <w:sz w:val="24"/>
          <w:szCs w:val="22"/>
        </w:rPr>
        <w:t>Exemptions and C</w:t>
      </w:r>
      <w:bookmarkStart w:id="0" w:name="_GoBack"/>
      <w:bookmarkEnd w:id="0"/>
      <w:r w:rsidRPr="008A6B15">
        <w:rPr>
          <w:i/>
          <w:iCs/>
          <w:sz w:val="24"/>
          <w:szCs w:val="22"/>
        </w:rPr>
        <w:t>lassifications</w:t>
      </w:r>
      <w:r w:rsidR="00070341" w:rsidRPr="008A6B15">
        <w:rPr>
          <w:iCs/>
          <w:sz w:val="24"/>
          <w:szCs w:val="22"/>
        </w:rPr>
        <w:t>)</w:t>
      </w:r>
      <w:r w:rsidRPr="008A6B15">
        <w:rPr>
          <w:i/>
          <w:iCs/>
          <w:sz w:val="24"/>
          <w:szCs w:val="22"/>
        </w:rPr>
        <w:t xml:space="preserve"> Act </w:t>
      </w:r>
      <w:r w:rsidRPr="008A6B15">
        <w:rPr>
          <w:sz w:val="24"/>
          <w:szCs w:val="22"/>
        </w:rPr>
        <w:t>1935 is in this Act referred to as the Principal Act.</w:t>
      </w:r>
    </w:p>
    <w:p w14:paraId="4573A7BB" w14:textId="77777777" w:rsidR="0049018E" w:rsidRPr="008A6B15" w:rsidRDefault="005A71D1" w:rsidP="008A6B15">
      <w:pPr>
        <w:shd w:val="clear" w:color="auto" w:fill="FFFFFF"/>
        <w:spacing w:before="120" w:after="60"/>
        <w:jc w:val="both"/>
        <w:rPr>
          <w:b/>
          <w:szCs w:val="22"/>
        </w:rPr>
      </w:pPr>
      <w:r w:rsidRPr="008A6B15">
        <w:rPr>
          <w:b/>
          <w:szCs w:val="22"/>
        </w:rPr>
        <w:t>Commencement.</w:t>
      </w:r>
    </w:p>
    <w:p w14:paraId="00F68B14" w14:textId="77777777" w:rsidR="0049018E" w:rsidRPr="008A6B15" w:rsidRDefault="005A71D1" w:rsidP="008A6B1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8A6B15">
        <w:rPr>
          <w:b/>
          <w:bCs/>
          <w:sz w:val="24"/>
          <w:szCs w:val="22"/>
        </w:rPr>
        <w:t>2.</w:t>
      </w:r>
      <w:r w:rsidRPr="008A6B15">
        <w:rPr>
          <w:sz w:val="24"/>
          <w:szCs w:val="22"/>
        </w:rPr>
        <w:t xml:space="preserve"> This Act shall come into operation on a date to be fixed by Proclamation.</w:t>
      </w:r>
    </w:p>
    <w:p w14:paraId="0D421F16" w14:textId="77777777" w:rsidR="0049018E" w:rsidRPr="008A6B15" w:rsidRDefault="005A71D1" w:rsidP="008A6B15">
      <w:pPr>
        <w:shd w:val="clear" w:color="auto" w:fill="FFFFFF"/>
        <w:spacing w:before="120" w:after="60"/>
        <w:jc w:val="both"/>
        <w:rPr>
          <w:b/>
          <w:szCs w:val="22"/>
        </w:rPr>
      </w:pPr>
      <w:r w:rsidRPr="008A6B15">
        <w:rPr>
          <w:b/>
          <w:szCs w:val="22"/>
        </w:rPr>
        <w:t>First Schedule.</w:t>
      </w:r>
    </w:p>
    <w:p w14:paraId="3CAF57E6" w14:textId="26E9CA4B" w:rsidR="0049018E" w:rsidRPr="008A6B15" w:rsidRDefault="005A71D1" w:rsidP="008A6B1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8A6B15">
        <w:rPr>
          <w:b/>
          <w:bCs/>
          <w:sz w:val="24"/>
          <w:szCs w:val="22"/>
        </w:rPr>
        <w:t>3.</w:t>
      </w:r>
      <w:r w:rsidRPr="008A6B15">
        <w:rPr>
          <w:sz w:val="24"/>
          <w:szCs w:val="22"/>
        </w:rPr>
        <w:t xml:space="preserve"> (1) The First Schedule to the Principal Act is amended by inserting after item 36</w:t>
      </w:r>
      <w:r w:rsidR="00AC7529">
        <w:rPr>
          <w:smallCaps/>
          <w:sz w:val="24"/>
          <w:szCs w:val="22"/>
        </w:rPr>
        <w:t>a</w:t>
      </w:r>
      <w:r w:rsidRPr="008A6B15">
        <w:rPr>
          <w:sz w:val="24"/>
          <w:szCs w:val="22"/>
        </w:rPr>
        <w:t xml:space="preserve"> the following item:</w:t>
      </w:r>
      <w:r w:rsidRPr="008A6B15">
        <w:rPr>
          <w:rFonts w:eastAsia="Times New Roman"/>
          <w:sz w:val="24"/>
          <w:szCs w:val="22"/>
        </w:rPr>
        <w:t>—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57"/>
      </w:tblGrid>
      <w:tr w:rsidR="008A6B15" w:rsidRPr="00C51A12" w14:paraId="28E7F038" w14:textId="77777777" w:rsidTr="00C50B0F">
        <w:trPr>
          <w:jc w:val="right"/>
        </w:trPr>
        <w:tc>
          <w:tcPr>
            <w:tcW w:w="7830" w:type="dxa"/>
          </w:tcPr>
          <w:p w14:paraId="2DCBEDC8" w14:textId="77777777" w:rsidR="008A6B15" w:rsidRPr="00C51A12" w:rsidRDefault="008A6B15" w:rsidP="008A6B15">
            <w:pPr>
              <w:ind w:left="576" w:hanging="576"/>
              <w:jc w:val="both"/>
              <w:rPr>
                <w:sz w:val="22"/>
                <w:szCs w:val="22"/>
              </w:rPr>
            </w:pPr>
            <w:r w:rsidRPr="00C51A12">
              <w:rPr>
                <w:smallCaps/>
                <w:sz w:val="22"/>
                <w:szCs w:val="22"/>
              </w:rPr>
              <w:t xml:space="preserve">“36b. </w:t>
            </w:r>
            <w:r w:rsidRPr="00C51A12">
              <w:rPr>
                <w:sz w:val="22"/>
                <w:szCs w:val="22"/>
              </w:rPr>
              <w:t>Fruit juice products, being goods that would fall within a description of goods contained in sub-item (3) of item 36, if, in that sub-item, each reference to juices of Australian fruits were a reference to juices of fruits of Papua New Guinea and the reference to juices of Australian vegetables were a reference to juices of vegetables of Papua New Guinea.</w:t>
            </w:r>
          </w:p>
        </w:tc>
        <w:tc>
          <w:tcPr>
            <w:tcW w:w="1757" w:type="dxa"/>
          </w:tcPr>
          <w:p w14:paraId="036DDDF0" w14:textId="77777777" w:rsidR="008A6B15" w:rsidRPr="00C51A12" w:rsidRDefault="008A6B15">
            <w:pPr>
              <w:rPr>
                <w:sz w:val="22"/>
                <w:szCs w:val="22"/>
              </w:rPr>
            </w:pPr>
            <w:r w:rsidRPr="00C51A12">
              <w:rPr>
                <w:sz w:val="22"/>
                <w:szCs w:val="22"/>
              </w:rPr>
              <w:t>Nos. 5 to 8”.</w:t>
            </w:r>
          </w:p>
        </w:tc>
      </w:tr>
    </w:tbl>
    <w:p w14:paraId="64F75860" w14:textId="77777777" w:rsidR="0049018E" w:rsidRPr="008A6B15" w:rsidRDefault="005A71D1" w:rsidP="008A6B15">
      <w:pPr>
        <w:shd w:val="clear" w:color="auto" w:fill="FFFFFF"/>
        <w:spacing w:before="60" w:after="60"/>
        <w:ind w:firstLine="288"/>
        <w:jc w:val="both"/>
        <w:rPr>
          <w:sz w:val="24"/>
          <w:szCs w:val="22"/>
        </w:rPr>
      </w:pPr>
      <w:r w:rsidRPr="008A6B15">
        <w:rPr>
          <w:sz w:val="24"/>
          <w:szCs w:val="22"/>
        </w:rPr>
        <w:t xml:space="preserve">(2) The First Schedule to the Principal Act is amended by inserting in sub-item (2) of item 68, after the word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or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, the word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produced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>.</w:t>
      </w:r>
    </w:p>
    <w:p w14:paraId="00065862" w14:textId="77777777" w:rsidR="0049018E" w:rsidRPr="008A6B15" w:rsidRDefault="005A71D1" w:rsidP="008A6B15">
      <w:pPr>
        <w:shd w:val="clear" w:color="auto" w:fill="FFFFFF"/>
        <w:spacing w:before="120" w:after="60"/>
        <w:jc w:val="both"/>
        <w:rPr>
          <w:b/>
          <w:szCs w:val="22"/>
        </w:rPr>
      </w:pPr>
      <w:r w:rsidRPr="008A6B15">
        <w:rPr>
          <w:b/>
          <w:szCs w:val="22"/>
        </w:rPr>
        <w:t>Additional amendments.</w:t>
      </w:r>
    </w:p>
    <w:p w14:paraId="0E796499" w14:textId="77777777" w:rsidR="0049018E" w:rsidRPr="008A6B15" w:rsidRDefault="005A71D1" w:rsidP="008A6B1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8A6B15">
        <w:rPr>
          <w:b/>
          <w:bCs/>
          <w:sz w:val="24"/>
          <w:szCs w:val="22"/>
        </w:rPr>
        <w:t>4.</w:t>
      </w:r>
      <w:r w:rsidRPr="008A6B15">
        <w:rPr>
          <w:sz w:val="24"/>
          <w:szCs w:val="22"/>
        </w:rPr>
        <w:t xml:space="preserve"> The Principal Act is amended as set out in the Schedule.</w:t>
      </w:r>
    </w:p>
    <w:p w14:paraId="6214EF83" w14:textId="77777777" w:rsidR="0049018E" w:rsidRPr="008A6B15" w:rsidRDefault="00EE04DB" w:rsidP="008A6B15">
      <w:pPr>
        <w:shd w:val="clear" w:color="auto" w:fill="FFFFFF"/>
        <w:tabs>
          <w:tab w:val="left" w:pos="4500"/>
        </w:tabs>
        <w:spacing w:before="360" w:after="120"/>
        <w:jc w:val="right"/>
        <w:rPr>
          <w:sz w:val="24"/>
          <w:szCs w:val="22"/>
        </w:rPr>
      </w:pPr>
      <w:r>
        <w:rPr>
          <w:noProof/>
          <w:sz w:val="28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8E34" wp14:editId="5E09278C">
                <wp:simplePos x="0" y="0"/>
                <wp:positionH relativeFrom="column">
                  <wp:posOffset>2876702</wp:posOffset>
                </wp:positionH>
                <wp:positionV relativeFrom="paragraph">
                  <wp:posOffset>69977</wp:posOffset>
                </wp:positionV>
                <wp:extent cx="570586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F3A1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5.5pt" to="271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" strokecolor="black [3040]"/>
            </w:pict>
          </mc:Fallback>
        </mc:AlternateContent>
      </w:r>
      <w:r w:rsidR="005A71D1" w:rsidRPr="008A6B15">
        <w:rPr>
          <w:sz w:val="28"/>
          <w:szCs w:val="22"/>
        </w:rPr>
        <w:t>SCHEDULE</w:t>
      </w:r>
      <w:r w:rsidR="008A6B15">
        <w:rPr>
          <w:sz w:val="24"/>
          <w:szCs w:val="22"/>
        </w:rPr>
        <w:tab/>
      </w:r>
      <w:r w:rsidR="008A6B15" w:rsidRPr="008A6B15">
        <w:rPr>
          <w:sz w:val="24"/>
          <w:szCs w:val="22"/>
        </w:rPr>
        <w:t>Section 4</w:t>
      </w:r>
    </w:p>
    <w:p w14:paraId="58356958" w14:textId="77777777" w:rsidR="0049018E" w:rsidRPr="008A6B15" w:rsidRDefault="005A71D1" w:rsidP="008A6B15">
      <w:pPr>
        <w:shd w:val="clear" w:color="auto" w:fill="FFFFFF"/>
        <w:spacing w:before="60" w:after="60"/>
        <w:jc w:val="center"/>
        <w:rPr>
          <w:sz w:val="24"/>
          <w:szCs w:val="22"/>
        </w:rPr>
      </w:pPr>
      <w:r w:rsidRPr="008A6B15">
        <w:rPr>
          <w:sz w:val="24"/>
          <w:szCs w:val="22"/>
        </w:rPr>
        <w:t>ADDITIONAL AMENDMENTS</w:t>
      </w:r>
    </w:p>
    <w:p w14:paraId="14174D28" w14:textId="77777777" w:rsidR="0049018E" w:rsidRPr="008A6B15" w:rsidRDefault="005A71D1" w:rsidP="008A6B15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8A6B15">
        <w:rPr>
          <w:sz w:val="24"/>
          <w:szCs w:val="22"/>
        </w:rPr>
        <w:t xml:space="preserve">1. The following provisions of the Principal Act are amended by omitting the words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to this Act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,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in this Schedule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,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of this paragraph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,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of this definition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,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of this item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 and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 xml:space="preserve">of this sub-item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(wherever occurring):</w:t>
      </w:r>
      <w:r w:rsidRPr="008A6B15">
        <w:rPr>
          <w:rFonts w:eastAsia="Times New Roman"/>
          <w:sz w:val="24"/>
          <w:szCs w:val="22"/>
        </w:rPr>
        <w:t>—</w:t>
      </w:r>
    </w:p>
    <w:p w14:paraId="5CF7B87E" w14:textId="77777777" w:rsidR="0049018E" w:rsidRPr="008A6B15" w:rsidRDefault="005A71D1" w:rsidP="008A6B15">
      <w:pPr>
        <w:shd w:val="clear" w:color="auto" w:fill="FFFFFF"/>
        <w:ind w:left="1152" w:hanging="432"/>
        <w:jc w:val="both"/>
        <w:rPr>
          <w:sz w:val="24"/>
          <w:szCs w:val="22"/>
        </w:rPr>
      </w:pPr>
      <w:r w:rsidRPr="008A6B15">
        <w:rPr>
          <w:sz w:val="24"/>
          <w:szCs w:val="22"/>
        </w:rPr>
        <w:t xml:space="preserve">Sections 3, 5, </w:t>
      </w:r>
      <w:r w:rsidRPr="008A6B15">
        <w:rPr>
          <w:smallCaps/>
          <w:sz w:val="24"/>
          <w:szCs w:val="22"/>
        </w:rPr>
        <w:t xml:space="preserve">5a, 5b, </w:t>
      </w:r>
      <w:r w:rsidRPr="008A6B15">
        <w:rPr>
          <w:sz w:val="24"/>
          <w:szCs w:val="22"/>
        </w:rPr>
        <w:t xml:space="preserve">5c (1), 6, </w:t>
      </w:r>
      <w:r w:rsidRPr="008A6B15">
        <w:rPr>
          <w:smallCaps/>
          <w:sz w:val="24"/>
          <w:szCs w:val="22"/>
        </w:rPr>
        <w:t xml:space="preserve">6a </w:t>
      </w:r>
      <w:r w:rsidRPr="008A6B15">
        <w:rPr>
          <w:sz w:val="24"/>
          <w:szCs w:val="22"/>
        </w:rPr>
        <w:t xml:space="preserve">(2), </w:t>
      </w:r>
      <w:r w:rsidRPr="008A6B15">
        <w:rPr>
          <w:smallCaps/>
          <w:sz w:val="24"/>
          <w:szCs w:val="22"/>
        </w:rPr>
        <w:t>6aa, 6ab, 6b.</w:t>
      </w:r>
    </w:p>
    <w:p w14:paraId="578ABFC3" w14:textId="30BBD7CC" w:rsidR="008A6B15" w:rsidRDefault="005A71D1" w:rsidP="00AC7529">
      <w:pPr>
        <w:shd w:val="clear" w:color="auto" w:fill="FFFFFF"/>
        <w:spacing w:after="60"/>
        <w:ind w:left="288" w:firstLine="432"/>
        <w:jc w:val="both"/>
        <w:rPr>
          <w:sz w:val="24"/>
          <w:szCs w:val="22"/>
        </w:rPr>
      </w:pPr>
      <w:r w:rsidRPr="008A6B15">
        <w:rPr>
          <w:sz w:val="24"/>
          <w:szCs w:val="22"/>
        </w:rPr>
        <w:t xml:space="preserve">First Schedule, definitions of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aids to manufacture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, </w:t>
      </w:r>
      <w:r w:rsidR="00070341" w:rsidRPr="008A6B15">
        <w:rPr>
          <w:sz w:val="24"/>
          <w:szCs w:val="22"/>
        </w:rPr>
        <w:t>“</w:t>
      </w:r>
      <w:r w:rsidRPr="008A6B15">
        <w:rPr>
          <w:sz w:val="24"/>
          <w:szCs w:val="22"/>
        </w:rPr>
        <w:t>container</w:t>
      </w:r>
      <w:r w:rsidR="00070341" w:rsidRPr="008A6B15">
        <w:rPr>
          <w:sz w:val="24"/>
          <w:szCs w:val="22"/>
        </w:rPr>
        <w:t>”</w:t>
      </w:r>
      <w:r w:rsidRPr="008A6B15">
        <w:rPr>
          <w:sz w:val="24"/>
          <w:szCs w:val="22"/>
        </w:rPr>
        <w:t xml:space="preserve"> and </w:t>
      </w:r>
      <w:r w:rsidR="00070341" w:rsidRPr="008A6B15">
        <w:rPr>
          <w:sz w:val="24"/>
          <w:szCs w:val="22"/>
        </w:rPr>
        <w:t>“</w:t>
      </w:r>
      <w:proofErr w:type="spellStart"/>
      <w:r w:rsidRPr="008A6B15">
        <w:rPr>
          <w:sz w:val="24"/>
          <w:szCs w:val="22"/>
        </w:rPr>
        <w:t>n.e.i</w:t>
      </w:r>
      <w:proofErr w:type="spellEnd"/>
      <w:r w:rsidRPr="008A6B15">
        <w:rPr>
          <w:sz w:val="24"/>
          <w:szCs w:val="22"/>
        </w:rPr>
        <w:t>.</w:t>
      </w:r>
      <w:r w:rsidR="00070341" w:rsidRPr="008A6B15">
        <w:rPr>
          <w:sz w:val="24"/>
          <w:szCs w:val="22"/>
        </w:rPr>
        <w:t>”</w:t>
      </w:r>
      <w:r w:rsidR="00AC7529">
        <w:rPr>
          <w:sz w:val="24"/>
          <w:szCs w:val="22"/>
        </w:rPr>
        <w:t>, and items 1</w:t>
      </w:r>
      <w:r w:rsidRPr="008A6B15">
        <w:rPr>
          <w:sz w:val="24"/>
          <w:szCs w:val="22"/>
        </w:rPr>
        <w:t xml:space="preserve">(14)(e), 3(2), </w:t>
      </w:r>
      <w:r w:rsidRPr="008A6B15">
        <w:rPr>
          <w:smallCaps/>
          <w:sz w:val="24"/>
          <w:szCs w:val="22"/>
        </w:rPr>
        <w:t>10a</w:t>
      </w:r>
      <w:r w:rsidRPr="008A6B15">
        <w:rPr>
          <w:sz w:val="24"/>
          <w:szCs w:val="22"/>
        </w:rPr>
        <w:t xml:space="preserve">(2), 11(5) and (6), 13(2) and (3), </w:t>
      </w:r>
      <w:r w:rsidRPr="008A6B15">
        <w:rPr>
          <w:smallCaps/>
          <w:sz w:val="24"/>
          <w:szCs w:val="22"/>
        </w:rPr>
        <w:t xml:space="preserve">14a, </w:t>
      </w:r>
      <w:r w:rsidRPr="008A6B15">
        <w:rPr>
          <w:sz w:val="24"/>
          <w:szCs w:val="22"/>
        </w:rPr>
        <w:t xml:space="preserve">18(2) and (3), </w:t>
      </w:r>
      <w:r w:rsidRPr="008A6B15">
        <w:rPr>
          <w:smallCaps/>
          <w:sz w:val="24"/>
          <w:szCs w:val="22"/>
        </w:rPr>
        <w:t>20a</w:t>
      </w:r>
      <w:r w:rsidRPr="008A6B15">
        <w:rPr>
          <w:sz w:val="24"/>
          <w:szCs w:val="22"/>
        </w:rPr>
        <w:t xml:space="preserve">(2), </w:t>
      </w:r>
      <w:r w:rsidRPr="008A6B15">
        <w:rPr>
          <w:smallCaps/>
          <w:sz w:val="24"/>
          <w:szCs w:val="22"/>
        </w:rPr>
        <w:t xml:space="preserve">27a, 36a, </w:t>
      </w:r>
      <w:r w:rsidRPr="008A6B15">
        <w:rPr>
          <w:sz w:val="24"/>
          <w:szCs w:val="22"/>
        </w:rPr>
        <w:t xml:space="preserve">52(2) and (3), </w:t>
      </w:r>
      <w:r w:rsidRPr="008A6B15">
        <w:rPr>
          <w:smallCaps/>
          <w:sz w:val="24"/>
          <w:szCs w:val="22"/>
        </w:rPr>
        <w:t>74b</w:t>
      </w:r>
      <w:r w:rsidRPr="008A6B15">
        <w:rPr>
          <w:sz w:val="24"/>
          <w:szCs w:val="22"/>
        </w:rPr>
        <w:t>(2), 74</w:t>
      </w:r>
      <w:r w:rsidRPr="00AC7529">
        <w:rPr>
          <w:smallCaps/>
          <w:sz w:val="24"/>
          <w:szCs w:val="22"/>
        </w:rPr>
        <w:t>c</w:t>
      </w:r>
      <w:r w:rsidRPr="008A6B15">
        <w:rPr>
          <w:sz w:val="24"/>
          <w:szCs w:val="22"/>
        </w:rPr>
        <w:t>, 74</w:t>
      </w:r>
      <w:r w:rsidR="00AC7529">
        <w:rPr>
          <w:smallCaps/>
          <w:sz w:val="24"/>
          <w:szCs w:val="22"/>
        </w:rPr>
        <w:t>ca</w:t>
      </w:r>
      <w:r w:rsidRPr="008A6B15">
        <w:rPr>
          <w:sz w:val="24"/>
          <w:szCs w:val="22"/>
        </w:rPr>
        <w:t xml:space="preserve">, </w:t>
      </w:r>
      <w:r w:rsidRPr="008A6B15">
        <w:rPr>
          <w:smallCaps/>
          <w:sz w:val="24"/>
          <w:szCs w:val="22"/>
        </w:rPr>
        <w:t xml:space="preserve">74ha, 74hb, </w:t>
      </w:r>
      <w:r w:rsidRPr="008A6B15">
        <w:rPr>
          <w:sz w:val="24"/>
          <w:szCs w:val="22"/>
        </w:rPr>
        <w:t xml:space="preserve">78(ii), </w:t>
      </w:r>
      <w:r w:rsidRPr="008A6B15">
        <w:rPr>
          <w:smallCaps/>
          <w:sz w:val="24"/>
          <w:szCs w:val="22"/>
        </w:rPr>
        <w:t>78a</w:t>
      </w:r>
      <w:r w:rsidRPr="008A6B15">
        <w:rPr>
          <w:sz w:val="24"/>
          <w:szCs w:val="22"/>
        </w:rPr>
        <w:t xml:space="preserve">(2), </w:t>
      </w:r>
      <w:r w:rsidRPr="008A6B15">
        <w:rPr>
          <w:smallCaps/>
          <w:sz w:val="24"/>
          <w:szCs w:val="22"/>
        </w:rPr>
        <w:t>78b</w:t>
      </w:r>
      <w:r w:rsidRPr="008A6B15">
        <w:rPr>
          <w:sz w:val="24"/>
          <w:szCs w:val="22"/>
        </w:rPr>
        <w:t>(1), 81</w:t>
      </w:r>
      <w:r w:rsidRPr="008A6B15">
        <w:rPr>
          <w:smallCaps/>
          <w:sz w:val="24"/>
          <w:szCs w:val="22"/>
        </w:rPr>
        <w:t xml:space="preserve">(2a) </w:t>
      </w:r>
      <w:r w:rsidR="00AC7529">
        <w:rPr>
          <w:sz w:val="24"/>
          <w:szCs w:val="22"/>
        </w:rPr>
        <w:t>and (3), 81</w:t>
      </w:r>
      <w:r w:rsidR="00AC7529" w:rsidRPr="00AC7529">
        <w:rPr>
          <w:smallCaps/>
          <w:sz w:val="24"/>
          <w:szCs w:val="22"/>
        </w:rPr>
        <w:t>c</w:t>
      </w:r>
      <w:r w:rsidR="00AC7529">
        <w:rPr>
          <w:sz w:val="24"/>
          <w:szCs w:val="22"/>
        </w:rPr>
        <w:t>(b), 82(3), 83</w:t>
      </w:r>
      <w:r w:rsidRPr="008A6B15">
        <w:rPr>
          <w:sz w:val="24"/>
          <w:szCs w:val="22"/>
        </w:rPr>
        <w:t xml:space="preserve">(4), </w:t>
      </w:r>
      <w:r w:rsidRPr="008A6B15">
        <w:rPr>
          <w:smallCaps/>
          <w:sz w:val="24"/>
          <w:szCs w:val="22"/>
        </w:rPr>
        <w:t xml:space="preserve">85a(2) </w:t>
      </w:r>
      <w:r w:rsidRPr="008A6B15">
        <w:rPr>
          <w:sz w:val="24"/>
          <w:szCs w:val="22"/>
        </w:rPr>
        <w:t xml:space="preserve">and (4), </w:t>
      </w:r>
      <w:r w:rsidRPr="008A6B15">
        <w:rPr>
          <w:smallCaps/>
          <w:sz w:val="24"/>
          <w:szCs w:val="22"/>
        </w:rPr>
        <w:t xml:space="preserve">90da(2), 90db, 90f(3), </w:t>
      </w:r>
      <w:r w:rsidRPr="008A6B15">
        <w:rPr>
          <w:sz w:val="24"/>
          <w:szCs w:val="22"/>
        </w:rPr>
        <w:t xml:space="preserve">100(1), 105(1) and (4), 107(4) and (5), </w:t>
      </w:r>
      <w:r w:rsidRPr="008A6B15">
        <w:rPr>
          <w:smallCaps/>
          <w:sz w:val="24"/>
          <w:szCs w:val="22"/>
        </w:rPr>
        <w:t xml:space="preserve">107a, </w:t>
      </w:r>
      <w:r w:rsidRPr="008A6B15">
        <w:rPr>
          <w:sz w:val="24"/>
          <w:szCs w:val="22"/>
        </w:rPr>
        <w:t>1</w:t>
      </w:r>
      <w:r w:rsidRPr="008A6B15">
        <w:rPr>
          <w:smallCaps/>
          <w:sz w:val="24"/>
          <w:szCs w:val="22"/>
        </w:rPr>
        <w:t>13a</w:t>
      </w:r>
      <w:r w:rsidRPr="008A6B15">
        <w:rPr>
          <w:sz w:val="24"/>
          <w:szCs w:val="22"/>
        </w:rPr>
        <w:t>(2)(c), 1</w:t>
      </w:r>
      <w:r w:rsidRPr="008A6B15">
        <w:rPr>
          <w:smallCaps/>
          <w:sz w:val="24"/>
          <w:szCs w:val="22"/>
        </w:rPr>
        <w:t>13b</w:t>
      </w:r>
      <w:r w:rsidRPr="008A6B15">
        <w:rPr>
          <w:sz w:val="24"/>
          <w:szCs w:val="22"/>
        </w:rPr>
        <w:t>(2)(c), 113</w:t>
      </w:r>
      <w:r w:rsidRPr="00AC7529">
        <w:rPr>
          <w:smallCaps/>
          <w:sz w:val="24"/>
          <w:szCs w:val="22"/>
        </w:rPr>
        <w:t>c</w:t>
      </w:r>
      <w:r w:rsidRPr="008A6B15">
        <w:rPr>
          <w:sz w:val="24"/>
          <w:szCs w:val="22"/>
        </w:rPr>
        <w:t>(2), 1</w:t>
      </w:r>
      <w:r w:rsidRPr="008A6B15">
        <w:rPr>
          <w:smallCaps/>
          <w:sz w:val="24"/>
          <w:szCs w:val="22"/>
        </w:rPr>
        <w:t>13d</w:t>
      </w:r>
      <w:r w:rsidRPr="008A6B15">
        <w:rPr>
          <w:sz w:val="24"/>
          <w:szCs w:val="22"/>
        </w:rPr>
        <w:t>(2) and (3), 1</w:t>
      </w:r>
      <w:r w:rsidRPr="008A6B15">
        <w:rPr>
          <w:smallCaps/>
          <w:sz w:val="24"/>
          <w:szCs w:val="22"/>
        </w:rPr>
        <w:t xml:space="preserve">13e, </w:t>
      </w:r>
      <w:r w:rsidRPr="008A6B15">
        <w:rPr>
          <w:sz w:val="24"/>
          <w:szCs w:val="22"/>
        </w:rPr>
        <w:t>1</w:t>
      </w:r>
      <w:r w:rsidRPr="008A6B15">
        <w:rPr>
          <w:smallCaps/>
          <w:sz w:val="24"/>
          <w:szCs w:val="22"/>
        </w:rPr>
        <w:t>13f</w:t>
      </w:r>
      <w:r w:rsidRPr="008A6B15">
        <w:rPr>
          <w:sz w:val="24"/>
          <w:szCs w:val="22"/>
        </w:rPr>
        <w:t>(2) and (3), 113</w:t>
      </w:r>
      <w:r w:rsidR="00AC7529" w:rsidRPr="00AC7529">
        <w:rPr>
          <w:smallCaps/>
          <w:sz w:val="24"/>
          <w:szCs w:val="22"/>
        </w:rPr>
        <w:t>g</w:t>
      </w:r>
      <w:r w:rsidR="00AC7529">
        <w:rPr>
          <w:sz w:val="24"/>
          <w:szCs w:val="22"/>
        </w:rPr>
        <w:t>(</w:t>
      </w:r>
      <w:r w:rsidRPr="008A6B15">
        <w:rPr>
          <w:sz w:val="24"/>
          <w:szCs w:val="22"/>
        </w:rPr>
        <w:t xml:space="preserve">2), </w:t>
      </w:r>
      <w:r w:rsidR="00AC7529">
        <w:rPr>
          <w:smallCaps/>
          <w:sz w:val="24"/>
          <w:szCs w:val="22"/>
        </w:rPr>
        <w:t>11</w:t>
      </w:r>
      <w:r w:rsidRPr="008A6B15">
        <w:rPr>
          <w:smallCaps/>
          <w:sz w:val="24"/>
          <w:szCs w:val="22"/>
        </w:rPr>
        <w:t xml:space="preserve">3h, 114a, </w:t>
      </w:r>
      <w:r w:rsidRPr="008A6B15">
        <w:rPr>
          <w:sz w:val="24"/>
          <w:szCs w:val="22"/>
        </w:rPr>
        <w:t xml:space="preserve">119(2) and (3), </w:t>
      </w:r>
      <w:r w:rsidRPr="008A6B15">
        <w:rPr>
          <w:smallCaps/>
          <w:sz w:val="24"/>
          <w:szCs w:val="22"/>
        </w:rPr>
        <w:t>119a</w:t>
      </w:r>
      <w:r w:rsidRPr="008A6B15">
        <w:rPr>
          <w:sz w:val="24"/>
          <w:szCs w:val="22"/>
        </w:rPr>
        <w:t>(3) and (4), 119</w:t>
      </w:r>
      <w:r w:rsidRPr="00AC7529">
        <w:rPr>
          <w:smallCaps/>
          <w:sz w:val="24"/>
          <w:szCs w:val="22"/>
        </w:rPr>
        <w:t>c</w:t>
      </w:r>
      <w:r w:rsidRPr="008A6B15">
        <w:rPr>
          <w:sz w:val="24"/>
          <w:szCs w:val="22"/>
        </w:rPr>
        <w:t xml:space="preserve">(2), </w:t>
      </w:r>
      <w:r w:rsidR="00AC7529">
        <w:rPr>
          <w:smallCaps/>
          <w:sz w:val="24"/>
          <w:szCs w:val="22"/>
        </w:rPr>
        <w:t>119d</w:t>
      </w:r>
      <w:r w:rsidRPr="008A6B15">
        <w:rPr>
          <w:smallCaps/>
          <w:sz w:val="24"/>
          <w:szCs w:val="22"/>
        </w:rPr>
        <w:t xml:space="preserve">(2), </w:t>
      </w:r>
      <w:r w:rsidRPr="008A6B15">
        <w:rPr>
          <w:sz w:val="24"/>
          <w:szCs w:val="22"/>
        </w:rPr>
        <w:t>120, 123(f), 139(2) and (4), 147</w:t>
      </w:r>
      <w:r w:rsidR="00AC7529">
        <w:rPr>
          <w:sz w:val="24"/>
          <w:szCs w:val="22"/>
        </w:rPr>
        <w:t>(2) and 148</w:t>
      </w:r>
      <w:r w:rsidRPr="008A6B15">
        <w:rPr>
          <w:sz w:val="24"/>
          <w:szCs w:val="22"/>
        </w:rPr>
        <w:t>(2).</w:t>
      </w:r>
    </w:p>
    <w:p w14:paraId="66AC27BF" w14:textId="0CE94BED" w:rsidR="0049018E" w:rsidRPr="008A6B15" w:rsidRDefault="005A71D1" w:rsidP="00AC7529">
      <w:pPr>
        <w:shd w:val="clear" w:color="auto" w:fill="FFFFFF"/>
        <w:spacing w:after="60"/>
        <w:ind w:left="288" w:firstLine="432"/>
        <w:jc w:val="both"/>
        <w:rPr>
          <w:sz w:val="24"/>
          <w:szCs w:val="22"/>
        </w:rPr>
      </w:pPr>
      <w:r w:rsidRPr="008A6B15">
        <w:rPr>
          <w:sz w:val="24"/>
          <w:szCs w:val="22"/>
        </w:rPr>
        <w:t>Second Schedule, items 1,</w:t>
      </w:r>
      <w:r w:rsidR="00AC7529">
        <w:rPr>
          <w:sz w:val="24"/>
          <w:szCs w:val="22"/>
        </w:rPr>
        <w:t xml:space="preserve"> </w:t>
      </w:r>
      <w:r w:rsidRPr="008A6B15">
        <w:rPr>
          <w:sz w:val="24"/>
          <w:szCs w:val="22"/>
        </w:rPr>
        <w:t>2(e), 11,</w:t>
      </w:r>
      <w:r w:rsidR="00AC7529">
        <w:rPr>
          <w:sz w:val="24"/>
          <w:szCs w:val="22"/>
        </w:rPr>
        <w:t xml:space="preserve"> </w:t>
      </w:r>
      <w:r w:rsidRPr="008A6B15">
        <w:rPr>
          <w:sz w:val="24"/>
          <w:szCs w:val="22"/>
        </w:rPr>
        <w:t>12(2), 17, 34, 38, 39(f), 42 and 52.</w:t>
      </w:r>
    </w:p>
    <w:p w14:paraId="757DC904" w14:textId="77777777" w:rsidR="0049018E" w:rsidRPr="008A6B15" w:rsidRDefault="005A71D1" w:rsidP="00AC7529">
      <w:pPr>
        <w:shd w:val="clear" w:color="auto" w:fill="FFFFFF"/>
        <w:spacing w:after="60"/>
        <w:ind w:left="288" w:firstLine="432"/>
        <w:jc w:val="both"/>
        <w:rPr>
          <w:sz w:val="24"/>
          <w:szCs w:val="22"/>
        </w:rPr>
      </w:pPr>
      <w:r w:rsidRPr="008A6B15">
        <w:rPr>
          <w:sz w:val="24"/>
          <w:szCs w:val="22"/>
        </w:rPr>
        <w:t>Third Schedule, items 1 and 2.</w:t>
      </w:r>
    </w:p>
    <w:p w14:paraId="759582B4" w14:textId="6D126A82" w:rsidR="0049018E" w:rsidRPr="008A6B15" w:rsidRDefault="005A71D1" w:rsidP="00AC7529">
      <w:pPr>
        <w:shd w:val="clear" w:color="auto" w:fill="FFFFFF"/>
        <w:spacing w:after="60"/>
        <w:ind w:left="288" w:firstLine="432"/>
        <w:jc w:val="both"/>
        <w:rPr>
          <w:sz w:val="24"/>
          <w:szCs w:val="22"/>
        </w:rPr>
      </w:pPr>
      <w:r w:rsidRPr="008A6B15">
        <w:rPr>
          <w:sz w:val="24"/>
          <w:szCs w:val="22"/>
        </w:rPr>
        <w:t>Fourth Schedule, item 1(c) and (d).</w:t>
      </w:r>
    </w:p>
    <w:p w14:paraId="03C43518" w14:textId="77777777" w:rsidR="0049018E" w:rsidRPr="008A6B15" w:rsidRDefault="005A71D1" w:rsidP="008A6B15">
      <w:pPr>
        <w:shd w:val="clear" w:color="auto" w:fill="FFFFFF"/>
        <w:spacing w:before="60" w:after="60"/>
        <w:ind w:firstLine="288"/>
        <w:jc w:val="both"/>
        <w:rPr>
          <w:sz w:val="24"/>
          <w:szCs w:val="22"/>
        </w:rPr>
      </w:pPr>
      <w:r w:rsidRPr="008A6B15">
        <w:rPr>
          <w:sz w:val="24"/>
          <w:szCs w:val="22"/>
        </w:rPr>
        <w:t>2. The First Schedule to the Principal Act is further amended as set out in the following table:</w:t>
      </w:r>
      <w:r w:rsidRPr="008A6B15">
        <w:rPr>
          <w:rFonts w:eastAsia="Times New Roman"/>
          <w:sz w:val="24"/>
          <w:szCs w:val="22"/>
        </w:rPr>
        <w:t>—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9"/>
      </w:tblGrid>
      <w:tr w:rsidR="0049018E" w:rsidRPr="008A6B15" w14:paraId="07D5AB85" w14:textId="77777777" w:rsidTr="003F4706">
        <w:trPr>
          <w:trHeight w:val="355"/>
          <w:jc w:val="center"/>
        </w:trPr>
        <w:tc>
          <w:tcPr>
            <w:tcW w:w="3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9359D62" w14:textId="77777777" w:rsidR="0049018E" w:rsidRPr="008A6B15" w:rsidRDefault="005A71D1" w:rsidP="003F4706">
            <w:pPr>
              <w:shd w:val="clear" w:color="auto" w:fill="FFFFFF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>Provision</w:t>
            </w:r>
          </w:p>
        </w:tc>
        <w:tc>
          <w:tcPr>
            <w:tcW w:w="60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38E36CE7" w14:textId="77777777" w:rsidR="0049018E" w:rsidRPr="008A6B15" w:rsidRDefault="005A71D1" w:rsidP="003F4706">
            <w:pPr>
              <w:shd w:val="clear" w:color="auto" w:fill="FFFFFF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>Amendment</w:t>
            </w:r>
          </w:p>
        </w:tc>
      </w:tr>
      <w:tr w:rsidR="0049018E" w:rsidRPr="008A6B15" w14:paraId="47E4D816" w14:textId="77777777" w:rsidTr="00BB04A1">
        <w:trPr>
          <w:trHeight w:val="437"/>
          <w:jc w:val="center"/>
        </w:trPr>
        <w:tc>
          <w:tcPr>
            <w:tcW w:w="38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B21B960" w14:textId="77777777" w:rsidR="0049018E" w:rsidRPr="008A6B15" w:rsidRDefault="005A71D1" w:rsidP="00BB04A1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Item </w:t>
            </w:r>
            <w:r w:rsidRPr="008A6B15">
              <w:rPr>
                <w:smallCaps/>
                <w:sz w:val="22"/>
                <w:szCs w:val="22"/>
              </w:rPr>
              <w:t>36a</w:t>
            </w:r>
            <w:r w:rsidR="00BB04A1">
              <w:rPr>
                <w:smallCaps/>
                <w:sz w:val="22"/>
                <w:szCs w:val="22"/>
              </w:rPr>
              <w:tab/>
            </w:r>
          </w:p>
        </w:tc>
        <w:tc>
          <w:tcPr>
            <w:tcW w:w="60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D16A39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thirty-first day of August, One thousand nine hundred and sixty-five,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31 August 1965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  <w:tr w:rsidR="0049018E" w:rsidRPr="008A6B15" w14:paraId="2A9EA534" w14:textId="77777777" w:rsidTr="00BB04A1">
        <w:trPr>
          <w:trHeight w:val="35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937E" w14:textId="77777777" w:rsidR="0049018E" w:rsidRPr="008A6B15" w:rsidRDefault="005A71D1" w:rsidP="00BB04A1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Item </w:t>
            </w:r>
            <w:r w:rsidRPr="008A6B15">
              <w:rPr>
                <w:smallCaps/>
                <w:sz w:val="22"/>
                <w:szCs w:val="22"/>
              </w:rPr>
              <w:t>68a</w:t>
            </w:r>
            <w:r w:rsidR="00BB04A1">
              <w:rPr>
                <w:smallCaps/>
                <w:sz w:val="22"/>
                <w:szCs w:val="22"/>
              </w:rPr>
              <w:tab/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117E5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thirty-first day o</w:t>
            </w:r>
            <w:r w:rsidR="00787F0A" w:rsidRPr="008A6B15">
              <w:rPr>
                <w:sz w:val="22"/>
                <w:szCs w:val="22"/>
              </w:rPr>
              <w:t>f August, One thousand nine hun</w:t>
            </w:r>
            <w:r w:rsidRPr="008A6B15">
              <w:rPr>
                <w:sz w:val="22"/>
                <w:szCs w:val="22"/>
              </w:rPr>
              <w:t xml:space="preserve">dred and sixty-five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31 August 1965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</w:tbl>
    <w:p w14:paraId="582D0EDC" w14:textId="77777777" w:rsidR="00AC7529" w:rsidRDefault="00AC7529">
      <w:r>
        <w:br w:type="page"/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9"/>
      </w:tblGrid>
      <w:tr w:rsidR="0049018E" w:rsidRPr="008A6B15" w14:paraId="38966E1C" w14:textId="77777777" w:rsidTr="00BB04A1">
        <w:trPr>
          <w:trHeight w:val="326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47CC8" w14:textId="610356FD" w:rsidR="0049018E" w:rsidRPr="008A6B15" w:rsidRDefault="005A71D1" w:rsidP="00AC7529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lastRenderedPageBreak/>
              <w:t>Item 74</w:t>
            </w:r>
            <w:r w:rsidR="00AC7529">
              <w:rPr>
                <w:smallCaps/>
                <w:sz w:val="22"/>
                <w:szCs w:val="22"/>
              </w:rPr>
              <w:t>h</w:t>
            </w:r>
            <w:r w:rsidR="00BB04A1">
              <w:rPr>
                <w:sz w:val="22"/>
                <w:szCs w:val="22"/>
              </w:rPr>
              <w:tab/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3C3AC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 xml:space="preserve">the twenty-first day of November, One thousand nine hundred and forty-seven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21 November 1947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  <w:tr w:rsidR="0049018E" w:rsidRPr="008A6B15" w14:paraId="2614DF6F" w14:textId="77777777" w:rsidTr="00BB04A1">
        <w:trPr>
          <w:trHeight w:val="341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AECBA" w14:textId="77777777" w:rsidR="0049018E" w:rsidRPr="008A6B15" w:rsidRDefault="005A71D1" w:rsidP="00BB04A1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>Item 111(1)</w:t>
            </w:r>
            <w:r w:rsidR="00BB04A1">
              <w:rPr>
                <w:sz w:val="22"/>
                <w:szCs w:val="22"/>
              </w:rPr>
              <w:tab/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8A37F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Territory of Papua, the Territory of New Guinea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Papua New Guinea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  <w:tr w:rsidR="0049018E" w:rsidRPr="008A6B15" w14:paraId="79376CC1" w14:textId="77777777" w:rsidTr="00BB04A1">
        <w:trPr>
          <w:trHeight w:val="35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C63D1" w14:textId="539FFDCA" w:rsidR="0049018E" w:rsidRPr="008A6B15" w:rsidRDefault="005A71D1" w:rsidP="00AC7529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Item </w:t>
            </w:r>
            <w:r w:rsidRPr="008A6B15">
              <w:rPr>
                <w:smallCaps/>
                <w:sz w:val="22"/>
                <w:szCs w:val="22"/>
              </w:rPr>
              <w:t>114a</w:t>
            </w:r>
            <w:r w:rsidRPr="008A6B15">
              <w:rPr>
                <w:sz w:val="22"/>
                <w:szCs w:val="22"/>
              </w:rPr>
              <w:t>(2)</w:t>
            </w:r>
            <w:r w:rsidR="00BB04A1">
              <w:rPr>
                <w:sz w:val="22"/>
                <w:szCs w:val="22"/>
              </w:rPr>
              <w:tab/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E0F23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(a) 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Naval Forces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Australian Navy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  <w:tr w:rsidR="0049018E" w:rsidRPr="008A6B15" w14:paraId="7D8CADFD" w14:textId="77777777" w:rsidTr="00BB04A1">
        <w:trPr>
          <w:trHeight w:val="331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42D69" w14:textId="77777777" w:rsidR="0049018E" w:rsidRPr="008A6B15" w:rsidRDefault="0049018E" w:rsidP="00BB04A1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EFFEA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(b) 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Australian Imperial Force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Australian Army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  <w:tr w:rsidR="0049018E" w:rsidRPr="008A6B15" w14:paraId="357DCFB2" w14:textId="77777777" w:rsidTr="00BB04A1">
        <w:trPr>
          <w:trHeight w:val="326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BB807" w14:textId="77777777" w:rsidR="0049018E" w:rsidRPr="008A6B15" w:rsidRDefault="0049018E" w:rsidP="00BB04A1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F946D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(c) 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Air Force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Australian Air Force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  <w:tr w:rsidR="0049018E" w:rsidRPr="008A6B15" w14:paraId="07F10C12" w14:textId="77777777" w:rsidTr="00BB04A1">
        <w:trPr>
          <w:trHeight w:val="346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5BF0C" w14:textId="3BD80F7E" w:rsidR="0049018E" w:rsidRPr="008A6B15" w:rsidRDefault="005A71D1" w:rsidP="00AC7529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>Item 114</w:t>
            </w:r>
            <w:r w:rsidRPr="00AC7529">
              <w:rPr>
                <w:smallCaps/>
                <w:sz w:val="22"/>
                <w:szCs w:val="22"/>
              </w:rPr>
              <w:t>B</w:t>
            </w:r>
            <w:r w:rsidR="00BB04A1">
              <w:rPr>
                <w:sz w:val="22"/>
                <w:szCs w:val="22"/>
              </w:rPr>
              <w:tab/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F11F7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Omit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the ninth day of May, One thousand nine hundred and sixty-three</w:t>
            </w:r>
            <w:r w:rsidR="00070341" w:rsidRPr="008A6B15">
              <w:rPr>
                <w:sz w:val="22"/>
                <w:szCs w:val="22"/>
              </w:rPr>
              <w:t>’’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sz w:val="22"/>
                <w:szCs w:val="22"/>
              </w:rPr>
              <w:t>“</w:t>
            </w:r>
            <w:r w:rsidRPr="008A6B15">
              <w:rPr>
                <w:sz w:val="22"/>
                <w:szCs w:val="22"/>
              </w:rPr>
              <w:t>9 May 1963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  <w:tr w:rsidR="0049018E" w:rsidRPr="008A6B15" w14:paraId="1E70C482" w14:textId="77777777" w:rsidTr="00BB04A1">
        <w:trPr>
          <w:trHeight w:val="576"/>
          <w:jc w:val="center"/>
        </w:trPr>
        <w:tc>
          <w:tcPr>
            <w:tcW w:w="38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68D220" w14:textId="77777777" w:rsidR="0049018E" w:rsidRPr="008A6B15" w:rsidRDefault="005A71D1" w:rsidP="00BB04A1">
            <w:pPr>
              <w:shd w:val="clear" w:color="auto" w:fill="FFFFFF"/>
              <w:tabs>
                <w:tab w:val="left" w:leader="dot" w:pos="3600"/>
              </w:tabs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>Item 11</w:t>
            </w:r>
            <w:r w:rsidRPr="008A6B15">
              <w:rPr>
                <w:smallCaps/>
                <w:sz w:val="22"/>
                <w:szCs w:val="22"/>
              </w:rPr>
              <w:t>9d</w:t>
            </w:r>
            <w:r w:rsidR="00BB04A1">
              <w:rPr>
                <w:smallCaps/>
                <w:sz w:val="22"/>
                <w:szCs w:val="22"/>
              </w:rPr>
              <w:tab/>
            </w:r>
          </w:p>
        </w:tc>
        <w:tc>
          <w:tcPr>
            <w:tcW w:w="60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51E951" w14:textId="77777777" w:rsidR="0049018E" w:rsidRPr="008A6B15" w:rsidRDefault="005A71D1" w:rsidP="008A6B15">
            <w:pPr>
              <w:shd w:val="clear" w:color="auto" w:fill="FFFFFF"/>
              <w:ind w:left="216" w:hanging="216"/>
              <w:jc w:val="both"/>
              <w:rPr>
                <w:sz w:val="22"/>
                <w:szCs w:val="22"/>
              </w:rPr>
            </w:pPr>
            <w:r w:rsidRPr="008A6B15">
              <w:rPr>
                <w:sz w:val="22"/>
                <w:szCs w:val="22"/>
              </w:rPr>
              <w:t xml:space="preserve">Omit </w:t>
            </w:r>
            <w:r w:rsidR="00070341" w:rsidRPr="008A6B15">
              <w:rPr>
                <w:i/>
                <w:iCs/>
                <w:sz w:val="22"/>
                <w:szCs w:val="22"/>
              </w:rPr>
              <w:t>“</w:t>
            </w:r>
            <w:r w:rsidRPr="008A6B15">
              <w:rPr>
                <w:i/>
                <w:iCs/>
                <w:sz w:val="22"/>
                <w:szCs w:val="22"/>
              </w:rPr>
              <w:t xml:space="preserve">Income Tax and Social Services Contribution Assessment Act </w:t>
            </w:r>
            <w:r w:rsidRPr="008A6B15">
              <w:rPr>
                <w:sz w:val="22"/>
                <w:szCs w:val="22"/>
              </w:rPr>
              <w:t>1936-1961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 xml:space="preserve">, substitute </w:t>
            </w:r>
            <w:r w:rsidR="00070341" w:rsidRPr="008A6B15">
              <w:rPr>
                <w:i/>
                <w:iCs/>
                <w:sz w:val="22"/>
                <w:szCs w:val="22"/>
              </w:rPr>
              <w:t>“</w:t>
            </w:r>
            <w:r w:rsidRPr="008A6B15">
              <w:rPr>
                <w:i/>
                <w:iCs/>
                <w:sz w:val="22"/>
                <w:szCs w:val="22"/>
              </w:rPr>
              <w:t xml:space="preserve">Income Tax Assessment Act </w:t>
            </w:r>
            <w:r w:rsidRPr="008A6B15">
              <w:rPr>
                <w:sz w:val="22"/>
                <w:szCs w:val="22"/>
              </w:rPr>
              <w:t>1936</w:t>
            </w:r>
            <w:r w:rsidR="00070341" w:rsidRPr="008A6B15">
              <w:rPr>
                <w:sz w:val="22"/>
                <w:szCs w:val="22"/>
              </w:rPr>
              <w:t>”</w:t>
            </w:r>
            <w:r w:rsidRPr="008A6B15">
              <w:rPr>
                <w:sz w:val="22"/>
                <w:szCs w:val="22"/>
              </w:rPr>
              <w:t>.</w:t>
            </w:r>
          </w:p>
        </w:tc>
      </w:tr>
    </w:tbl>
    <w:p w14:paraId="672F8145" w14:textId="77777777" w:rsidR="00636925" w:rsidRDefault="00636925" w:rsidP="00636925">
      <w:pPr>
        <w:pBdr>
          <w:top w:val="single" w:sz="12" w:space="1" w:color="auto"/>
        </w:pBdr>
        <w:shd w:val="clear" w:color="auto" w:fill="FFFFFF"/>
        <w:spacing w:before="480" w:after="60"/>
        <w:jc w:val="center"/>
        <w:rPr>
          <w:b/>
          <w:bCs/>
          <w:sz w:val="24"/>
          <w:szCs w:val="22"/>
        </w:rPr>
      </w:pPr>
    </w:p>
    <w:sectPr w:rsidR="00636925" w:rsidSect="00873D13">
      <w:headerReference w:type="even" r:id="rId7"/>
      <w:headerReference w:type="default" r:id="rId8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5DE858" w15:done="0"/>
  <w15:commentEx w15:paraId="02BC02E9" w15:done="0"/>
  <w15:commentEx w15:paraId="05CD8CB3" w15:done="0"/>
  <w15:commentEx w15:paraId="21753B95" w15:done="0"/>
  <w15:commentEx w15:paraId="2EF3C870" w15:done="0"/>
  <w15:commentEx w15:paraId="153DD995" w15:done="0"/>
  <w15:commentEx w15:paraId="0B8D888B" w15:done="0"/>
  <w15:commentEx w15:paraId="2B7E6CC0" w15:done="0"/>
  <w15:commentEx w15:paraId="50C399BC" w15:done="0"/>
  <w15:commentEx w15:paraId="47A0B5BA" w15:done="0"/>
  <w15:commentEx w15:paraId="28A7CEFF" w15:done="0"/>
  <w15:commentEx w15:paraId="2D960E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DE858" w16cid:durableId="1F5E1188"/>
  <w16cid:commentId w16cid:paraId="02BC02E9" w16cid:durableId="1F5E11B4"/>
  <w16cid:commentId w16cid:paraId="05CD8CB3" w16cid:durableId="1F5E11BC"/>
  <w16cid:commentId w16cid:paraId="21753B95" w16cid:durableId="1F5E11C7"/>
  <w16cid:commentId w16cid:paraId="2EF3C870" w16cid:durableId="1F5E11D0"/>
  <w16cid:commentId w16cid:paraId="153DD995" w16cid:durableId="1F5E11DA"/>
  <w16cid:commentId w16cid:paraId="0B8D888B" w16cid:durableId="1F5E11E5"/>
  <w16cid:commentId w16cid:paraId="2B7E6CC0" w16cid:durableId="1F5E11EF"/>
  <w16cid:commentId w16cid:paraId="50C399BC" w16cid:durableId="1F5E11F9"/>
  <w16cid:commentId w16cid:paraId="47A0B5BA" w16cid:durableId="1F5E120C"/>
  <w16cid:commentId w16cid:paraId="28A7CEFF" w16cid:durableId="1F5E1220"/>
  <w16cid:commentId w16cid:paraId="2D960EE8" w16cid:durableId="1F5E12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F31BB" w14:textId="77777777" w:rsidR="00D11ED9" w:rsidRDefault="00D11ED9" w:rsidP="00873D13">
      <w:r>
        <w:separator/>
      </w:r>
    </w:p>
  </w:endnote>
  <w:endnote w:type="continuationSeparator" w:id="0">
    <w:p w14:paraId="4B7BE2C9" w14:textId="77777777" w:rsidR="00D11ED9" w:rsidRDefault="00D11ED9" w:rsidP="0087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B99C" w14:textId="77777777" w:rsidR="00D11ED9" w:rsidRDefault="00D11ED9" w:rsidP="00873D13">
      <w:r>
        <w:separator/>
      </w:r>
    </w:p>
  </w:footnote>
  <w:footnote w:type="continuationSeparator" w:id="0">
    <w:p w14:paraId="04AA3A50" w14:textId="77777777" w:rsidR="00D11ED9" w:rsidRDefault="00D11ED9" w:rsidP="0087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B9047" w14:textId="77777777" w:rsidR="00873D13" w:rsidRPr="00873D13" w:rsidRDefault="00873D13" w:rsidP="00873D13">
    <w:pPr>
      <w:pStyle w:val="Header"/>
      <w:tabs>
        <w:tab w:val="clear" w:pos="9360"/>
        <w:tab w:val="right" w:pos="9720"/>
      </w:tabs>
      <w:rPr>
        <w:bCs/>
        <w:sz w:val="24"/>
        <w:szCs w:val="22"/>
      </w:rPr>
    </w:pPr>
    <w:r w:rsidRPr="00873D13">
      <w:rPr>
        <w:sz w:val="24"/>
        <w:szCs w:val="22"/>
      </w:rPr>
      <w:t xml:space="preserve">No. </w:t>
    </w:r>
    <w:r w:rsidRPr="00873D13">
      <w:rPr>
        <w:bCs/>
        <w:sz w:val="24"/>
        <w:szCs w:val="22"/>
      </w:rPr>
      <w:t>175</w:t>
    </w:r>
    <w:r w:rsidRPr="00873D13">
      <w:rPr>
        <w:bCs/>
        <w:sz w:val="24"/>
        <w:szCs w:val="22"/>
      </w:rPr>
      <w:tab/>
    </w:r>
    <w:r w:rsidRPr="00873D13">
      <w:rPr>
        <w:i/>
        <w:iCs/>
        <w:sz w:val="24"/>
        <w:szCs w:val="22"/>
      </w:rPr>
      <w:t>Sales Tax (Exemptions and Classifications)</w:t>
    </w:r>
    <w:r w:rsidRPr="00873D13">
      <w:rPr>
        <w:i/>
        <w:iCs/>
        <w:sz w:val="24"/>
        <w:szCs w:val="22"/>
      </w:rPr>
      <w:tab/>
    </w:r>
    <w:r w:rsidRPr="00873D13">
      <w:rPr>
        <w:bCs/>
        <w:sz w:val="24"/>
        <w:szCs w:val="22"/>
      </w:rPr>
      <w:t>1976</w:t>
    </w:r>
  </w:p>
  <w:p w14:paraId="09DAE0F8" w14:textId="77777777" w:rsidR="00873D13" w:rsidRPr="00873D13" w:rsidRDefault="00873D13" w:rsidP="00873D13">
    <w:pPr>
      <w:pStyle w:val="Header"/>
      <w:tabs>
        <w:tab w:val="clear" w:pos="9360"/>
        <w:tab w:val="right" w:pos="9720"/>
      </w:tabs>
      <w:jc w:val="center"/>
      <w:rPr>
        <w:sz w:val="24"/>
      </w:rPr>
    </w:pPr>
    <w:r w:rsidRPr="00873D13">
      <w:rPr>
        <w:i/>
        <w:iCs/>
        <w:sz w:val="24"/>
        <w:szCs w:val="22"/>
      </w:rPr>
      <w:t>Amendment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E75AACE52F24B7C882D6A7901C7AFB1"/>
      </w:placeholder>
      <w:temporary/>
      <w:showingPlcHdr/>
    </w:sdtPr>
    <w:sdtEndPr/>
    <w:sdtContent>
      <w:p w14:paraId="554832BB" w14:textId="77777777" w:rsidR="00873D13" w:rsidRDefault="00873D13">
        <w:pPr>
          <w:pStyle w:val="Header"/>
        </w:pPr>
        <w:r>
          <w:t>[Type text]</w:t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41"/>
    <w:rsid w:val="000125C8"/>
    <w:rsid w:val="00070341"/>
    <w:rsid w:val="000B2C33"/>
    <w:rsid w:val="000C67B0"/>
    <w:rsid w:val="000F6553"/>
    <w:rsid w:val="001446D0"/>
    <w:rsid w:val="002C38E8"/>
    <w:rsid w:val="002D4E00"/>
    <w:rsid w:val="002E1786"/>
    <w:rsid w:val="003F4706"/>
    <w:rsid w:val="00455A2B"/>
    <w:rsid w:val="0049018E"/>
    <w:rsid w:val="004D0315"/>
    <w:rsid w:val="005A71D1"/>
    <w:rsid w:val="005B0D22"/>
    <w:rsid w:val="00636925"/>
    <w:rsid w:val="00682FAC"/>
    <w:rsid w:val="00691377"/>
    <w:rsid w:val="00787F0A"/>
    <w:rsid w:val="007915F1"/>
    <w:rsid w:val="00873D13"/>
    <w:rsid w:val="008A6B15"/>
    <w:rsid w:val="009A34FA"/>
    <w:rsid w:val="009E215A"/>
    <w:rsid w:val="009F49FE"/>
    <w:rsid w:val="00AC7529"/>
    <w:rsid w:val="00B54DAC"/>
    <w:rsid w:val="00BB04A1"/>
    <w:rsid w:val="00C17278"/>
    <w:rsid w:val="00C444B1"/>
    <w:rsid w:val="00C50B0F"/>
    <w:rsid w:val="00C51A12"/>
    <w:rsid w:val="00D11ED9"/>
    <w:rsid w:val="00DD0763"/>
    <w:rsid w:val="00DF207A"/>
    <w:rsid w:val="00E21CD8"/>
    <w:rsid w:val="00E25E51"/>
    <w:rsid w:val="00EE04DB"/>
    <w:rsid w:val="00EF4D85"/>
    <w:rsid w:val="00F21743"/>
    <w:rsid w:val="00F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EA7D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A6B15"/>
    <w:pPr>
      <w:shd w:val="clear" w:color="auto" w:fill="FFFFFF"/>
      <w:tabs>
        <w:tab w:val="center" w:pos="4880"/>
        <w:tab w:val="right" w:pos="9740"/>
      </w:tabs>
    </w:pPr>
    <w:rPr>
      <w:b/>
      <w:bCs/>
      <w:sz w:val="24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8A6B15"/>
    <w:rPr>
      <w:rFonts w:ascii="Times New Roman" w:hAnsi="Times New Roman" w:cs="Times New Roman"/>
      <w:b/>
      <w:bCs/>
      <w:sz w:val="24"/>
      <w:shd w:val="clear" w:color="auto" w:fill="FFFFFF"/>
    </w:rPr>
  </w:style>
  <w:style w:type="table" w:styleId="TableGrid">
    <w:name w:val="Table Grid"/>
    <w:basedOn w:val="TableNormal"/>
    <w:uiPriority w:val="59"/>
    <w:rsid w:val="008A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D1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D1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1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8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52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A6B15"/>
    <w:pPr>
      <w:shd w:val="clear" w:color="auto" w:fill="FFFFFF"/>
      <w:tabs>
        <w:tab w:val="center" w:pos="4880"/>
        <w:tab w:val="right" w:pos="9740"/>
      </w:tabs>
    </w:pPr>
    <w:rPr>
      <w:b/>
      <w:bCs/>
      <w:sz w:val="24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8A6B15"/>
    <w:rPr>
      <w:rFonts w:ascii="Times New Roman" w:hAnsi="Times New Roman" w:cs="Times New Roman"/>
      <w:b/>
      <w:bCs/>
      <w:sz w:val="24"/>
      <w:shd w:val="clear" w:color="auto" w:fill="FFFFFF"/>
    </w:rPr>
  </w:style>
  <w:style w:type="table" w:styleId="TableGrid">
    <w:name w:val="Table Grid"/>
    <w:basedOn w:val="TableNormal"/>
    <w:uiPriority w:val="59"/>
    <w:rsid w:val="008A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D1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D1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1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8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52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75AACE52F24B7C882D6A7901C7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4E07-5836-4A0F-8525-57ACC7D6442D}"/>
      </w:docPartPr>
      <w:docPartBody>
        <w:p w:rsidR="0041559C" w:rsidRDefault="006E5DA0" w:rsidP="006E5DA0">
          <w:pPr>
            <w:pStyle w:val="CE75AACE52F24B7C882D6A7901C7AFB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A0"/>
    <w:rsid w:val="0041559C"/>
    <w:rsid w:val="006E5DA0"/>
    <w:rsid w:val="00847681"/>
    <w:rsid w:val="009D6543"/>
    <w:rsid w:val="00A71E34"/>
    <w:rsid w:val="00C73DD1"/>
    <w:rsid w:val="00E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75AACE52F24B7C882D6A7901C7AFB1">
    <w:name w:val="CE75AACE52F24B7C882D6A7901C7AFB1"/>
    <w:rsid w:val="006E5D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75AACE52F24B7C882D6A7901C7AFB1">
    <w:name w:val="CE75AACE52F24B7C882D6A7901C7AFB1"/>
    <w:rsid w:val="006E5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2018-10-02T05:51:00Z</dcterms:created>
  <dcterms:modified xsi:type="dcterms:W3CDTF">2019-08-16T03:00:00Z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