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66BD39" w14:textId="77777777" w:rsidR="00A84EFD" w:rsidRPr="0028544C" w:rsidRDefault="00845CAB" w:rsidP="0006197A">
      <w:pPr>
        <w:shd w:val="clear" w:color="auto" w:fill="FFFFFF"/>
        <w:spacing w:before="240" w:after="240"/>
        <w:ind w:left="720" w:right="720"/>
        <w:jc w:val="center"/>
        <w:rPr>
          <w:sz w:val="32"/>
          <w:szCs w:val="22"/>
        </w:rPr>
      </w:pPr>
      <w:r w:rsidRPr="0028544C">
        <w:rPr>
          <w:b/>
          <w:bCs/>
          <w:sz w:val="32"/>
          <w:szCs w:val="22"/>
        </w:rPr>
        <w:t>COMPENSATION (COMMONWEALTH GOVERNMENT EMPLOYEES) AMENDMENT</w:t>
      </w:r>
      <w:r w:rsidR="0006197A" w:rsidRPr="0028544C">
        <w:rPr>
          <w:sz w:val="32"/>
          <w:szCs w:val="22"/>
        </w:rPr>
        <w:t xml:space="preserve"> </w:t>
      </w:r>
      <w:r w:rsidRPr="0028544C">
        <w:rPr>
          <w:b/>
          <w:bCs/>
          <w:sz w:val="32"/>
          <w:szCs w:val="22"/>
        </w:rPr>
        <w:t>ACT 1976</w:t>
      </w:r>
    </w:p>
    <w:p w14:paraId="1D76042F" w14:textId="77777777" w:rsidR="00A84EFD" w:rsidRPr="0028544C" w:rsidRDefault="00845CAB" w:rsidP="0006197A">
      <w:pPr>
        <w:shd w:val="clear" w:color="auto" w:fill="FFFFFF"/>
        <w:spacing w:after="360"/>
        <w:jc w:val="center"/>
        <w:rPr>
          <w:sz w:val="28"/>
          <w:szCs w:val="22"/>
        </w:rPr>
      </w:pPr>
      <w:r w:rsidRPr="0028544C">
        <w:rPr>
          <w:b/>
          <w:bCs/>
          <w:sz w:val="28"/>
          <w:szCs w:val="22"/>
        </w:rPr>
        <w:t>No. 166 of 1976</w:t>
      </w:r>
    </w:p>
    <w:p w14:paraId="538B35B2" w14:textId="77777777" w:rsidR="00A84EFD" w:rsidRPr="0028544C" w:rsidRDefault="00845CAB">
      <w:pPr>
        <w:shd w:val="clear" w:color="auto" w:fill="FFFFFF"/>
        <w:rPr>
          <w:sz w:val="24"/>
          <w:szCs w:val="22"/>
        </w:rPr>
      </w:pPr>
      <w:r w:rsidRPr="0028544C">
        <w:rPr>
          <w:sz w:val="24"/>
          <w:szCs w:val="22"/>
        </w:rPr>
        <w:t>An Act to increase certain Amounts of Compensation payable to and in respect of Commonwealth Government Employees and certain other Persons, and for other purposes.</w:t>
      </w:r>
    </w:p>
    <w:p w14:paraId="1E97D777" w14:textId="77777777" w:rsidR="00A84EFD" w:rsidRPr="0028544C" w:rsidRDefault="00845CAB" w:rsidP="0006197A">
      <w:pPr>
        <w:shd w:val="clear" w:color="auto" w:fill="FFFFFF"/>
        <w:spacing w:before="360" w:after="60"/>
        <w:ind w:firstLine="288"/>
        <w:jc w:val="both"/>
        <w:rPr>
          <w:sz w:val="24"/>
          <w:szCs w:val="22"/>
        </w:rPr>
      </w:pPr>
      <w:r w:rsidRPr="0028544C">
        <w:rPr>
          <w:sz w:val="24"/>
          <w:szCs w:val="22"/>
        </w:rPr>
        <w:t>BE IT ENACTED by the Queen, and the Senate and House of Representatives of the Commonwealth of Australia, as follows:</w:t>
      </w:r>
      <w:r w:rsidRPr="0028544C">
        <w:rPr>
          <w:rFonts w:eastAsia="Times New Roman"/>
          <w:sz w:val="24"/>
          <w:szCs w:val="22"/>
        </w:rPr>
        <w:t>—</w:t>
      </w:r>
    </w:p>
    <w:p w14:paraId="4231B5FD" w14:textId="77777777" w:rsidR="00A84EFD" w:rsidRPr="0028544C" w:rsidRDefault="00845CAB" w:rsidP="0006197A">
      <w:pPr>
        <w:shd w:val="clear" w:color="auto" w:fill="FFFFFF"/>
        <w:spacing w:before="120" w:after="60"/>
        <w:jc w:val="both"/>
        <w:rPr>
          <w:b/>
          <w:szCs w:val="22"/>
        </w:rPr>
      </w:pPr>
      <w:r w:rsidRPr="0028544C">
        <w:rPr>
          <w:b/>
          <w:szCs w:val="22"/>
        </w:rPr>
        <w:t>Short title, &amp;c.</w:t>
      </w:r>
    </w:p>
    <w:p w14:paraId="081F88E0" w14:textId="66451E34" w:rsidR="00A84EFD" w:rsidRPr="0028544C" w:rsidRDefault="00845CAB" w:rsidP="0006197A">
      <w:pPr>
        <w:shd w:val="clear" w:color="auto" w:fill="FFFFFF"/>
        <w:spacing w:after="60"/>
        <w:ind w:firstLine="288"/>
        <w:jc w:val="both"/>
        <w:rPr>
          <w:sz w:val="24"/>
          <w:szCs w:val="22"/>
        </w:rPr>
      </w:pPr>
      <w:r w:rsidRPr="0028544C">
        <w:rPr>
          <w:b/>
          <w:bCs/>
          <w:sz w:val="24"/>
          <w:szCs w:val="22"/>
        </w:rPr>
        <w:t>1.</w:t>
      </w:r>
      <w:r w:rsidRPr="0028544C">
        <w:rPr>
          <w:sz w:val="24"/>
          <w:szCs w:val="22"/>
        </w:rPr>
        <w:t xml:space="preserve"> (1) This Act may be cited as the </w:t>
      </w:r>
      <w:r w:rsidRPr="0028544C">
        <w:rPr>
          <w:i/>
          <w:iCs/>
          <w:sz w:val="24"/>
          <w:szCs w:val="22"/>
        </w:rPr>
        <w:t xml:space="preserve">Compensation </w:t>
      </w:r>
      <w:r w:rsidR="0088551B" w:rsidRPr="0028544C">
        <w:rPr>
          <w:iCs/>
          <w:sz w:val="24"/>
          <w:szCs w:val="22"/>
        </w:rPr>
        <w:t>(</w:t>
      </w:r>
      <w:r w:rsidRPr="0028544C">
        <w:rPr>
          <w:i/>
          <w:iCs/>
          <w:sz w:val="24"/>
          <w:szCs w:val="22"/>
        </w:rPr>
        <w:t>Commonwealth Government Employees</w:t>
      </w:r>
      <w:r w:rsidR="0088551B" w:rsidRPr="0028544C">
        <w:rPr>
          <w:iCs/>
          <w:sz w:val="24"/>
          <w:szCs w:val="22"/>
        </w:rPr>
        <w:t>)</w:t>
      </w:r>
      <w:r w:rsidRPr="0028544C">
        <w:rPr>
          <w:i/>
          <w:iCs/>
          <w:sz w:val="24"/>
          <w:szCs w:val="22"/>
        </w:rPr>
        <w:t xml:space="preserve"> Amendment Act </w:t>
      </w:r>
      <w:r w:rsidRPr="0028544C">
        <w:rPr>
          <w:sz w:val="24"/>
          <w:szCs w:val="22"/>
        </w:rPr>
        <w:t>1976.</w:t>
      </w:r>
    </w:p>
    <w:p w14:paraId="3CD2A44F" w14:textId="04A4AB41" w:rsidR="00A84EFD" w:rsidRPr="0028544C" w:rsidRDefault="00845CAB" w:rsidP="0006197A">
      <w:pPr>
        <w:shd w:val="clear" w:color="auto" w:fill="FFFFFF"/>
        <w:spacing w:after="60"/>
        <w:ind w:firstLine="288"/>
        <w:jc w:val="both"/>
        <w:rPr>
          <w:sz w:val="24"/>
          <w:szCs w:val="22"/>
        </w:rPr>
      </w:pPr>
      <w:r w:rsidRPr="0028544C">
        <w:rPr>
          <w:sz w:val="24"/>
          <w:szCs w:val="22"/>
        </w:rPr>
        <w:t xml:space="preserve">(2) The </w:t>
      </w:r>
      <w:r w:rsidRPr="0028544C">
        <w:rPr>
          <w:i/>
          <w:iCs/>
          <w:sz w:val="24"/>
          <w:szCs w:val="22"/>
        </w:rPr>
        <w:t xml:space="preserve">Compensation </w:t>
      </w:r>
      <w:r w:rsidR="0088551B" w:rsidRPr="0028544C">
        <w:rPr>
          <w:iCs/>
          <w:sz w:val="24"/>
          <w:szCs w:val="22"/>
        </w:rPr>
        <w:t>(</w:t>
      </w:r>
      <w:r w:rsidRPr="0028544C">
        <w:rPr>
          <w:i/>
          <w:iCs/>
          <w:sz w:val="24"/>
          <w:szCs w:val="22"/>
        </w:rPr>
        <w:t>Australian Government Employees</w:t>
      </w:r>
      <w:r w:rsidR="0088551B" w:rsidRPr="0028544C">
        <w:rPr>
          <w:iCs/>
          <w:sz w:val="24"/>
          <w:szCs w:val="22"/>
        </w:rPr>
        <w:t>)</w:t>
      </w:r>
      <w:r w:rsidRPr="0028544C">
        <w:rPr>
          <w:i/>
          <w:iCs/>
          <w:sz w:val="24"/>
          <w:szCs w:val="22"/>
        </w:rPr>
        <w:t xml:space="preserve"> Act </w:t>
      </w:r>
      <w:r w:rsidRPr="0028544C">
        <w:rPr>
          <w:sz w:val="24"/>
          <w:szCs w:val="22"/>
        </w:rPr>
        <w:t>1971 is in this Act referred to as the Principal Act.</w:t>
      </w:r>
    </w:p>
    <w:p w14:paraId="77F6479B" w14:textId="77777777" w:rsidR="00A84EFD" w:rsidRPr="0028544C" w:rsidRDefault="00845CAB" w:rsidP="0006197A">
      <w:pPr>
        <w:shd w:val="clear" w:color="auto" w:fill="FFFFFF"/>
        <w:spacing w:before="120" w:after="60"/>
        <w:jc w:val="both"/>
        <w:rPr>
          <w:b/>
          <w:szCs w:val="22"/>
        </w:rPr>
      </w:pPr>
      <w:r w:rsidRPr="0028544C">
        <w:rPr>
          <w:b/>
          <w:szCs w:val="22"/>
        </w:rPr>
        <w:t>Commencement.</w:t>
      </w:r>
    </w:p>
    <w:p w14:paraId="3E260E81" w14:textId="77777777" w:rsidR="00A84EFD" w:rsidRPr="0028544C" w:rsidRDefault="00845CAB" w:rsidP="0006197A">
      <w:pPr>
        <w:shd w:val="clear" w:color="auto" w:fill="FFFFFF"/>
        <w:spacing w:after="60"/>
        <w:ind w:firstLine="288"/>
        <w:jc w:val="both"/>
        <w:rPr>
          <w:sz w:val="24"/>
          <w:szCs w:val="22"/>
        </w:rPr>
      </w:pPr>
      <w:r w:rsidRPr="0028544C">
        <w:rPr>
          <w:b/>
          <w:bCs/>
          <w:sz w:val="24"/>
          <w:szCs w:val="22"/>
        </w:rPr>
        <w:t>2.</w:t>
      </w:r>
      <w:r w:rsidRPr="0028544C">
        <w:rPr>
          <w:sz w:val="24"/>
          <w:szCs w:val="22"/>
        </w:rPr>
        <w:t xml:space="preserve"> </w:t>
      </w:r>
      <w:bookmarkStart w:id="0" w:name="_GoBack"/>
      <w:r w:rsidRPr="0028544C">
        <w:rPr>
          <w:sz w:val="24"/>
          <w:szCs w:val="22"/>
        </w:rPr>
        <w:t>This Act shall be deemed to have come into operation on 1 September 1976.</w:t>
      </w:r>
      <w:bookmarkEnd w:id="0"/>
    </w:p>
    <w:p w14:paraId="550734D1" w14:textId="77777777" w:rsidR="00A84EFD" w:rsidRPr="0028544C" w:rsidRDefault="00845CAB" w:rsidP="0006197A">
      <w:pPr>
        <w:shd w:val="clear" w:color="auto" w:fill="FFFFFF"/>
        <w:spacing w:after="60"/>
        <w:ind w:firstLine="288"/>
        <w:jc w:val="both"/>
        <w:rPr>
          <w:sz w:val="24"/>
          <w:szCs w:val="22"/>
        </w:rPr>
      </w:pPr>
      <w:r w:rsidRPr="0028544C">
        <w:rPr>
          <w:b/>
          <w:sz w:val="24"/>
          <w:szCs w:val="22"/>
        </w:rPr>
        <w:t>3.</w:t>
      </w:r>
      <w:r w:rsidRPr="0028544C">
        <w:rPr>
          <w:sz w:val="24"/>
          <w:szCs w:val="22"/>
        </w:rPr>
        <w:t xml:space="preserve"> Section 1 of the Principal Act is repealed and the following section substituted:</w:t>
      </w:r>
      <w:r w:rsidRPr="0028544C">
        <w:rPr>
          <w:rFonts w:eastAsia="Times New Roman"/>
          <w:sz w:val="24"/>
          <w:szCs w:val="22"/>
        </w:rPr>
        <w:t>—</w:t>
      </w:r>
    </w:p>
    <w:p w14:paraId="10821A7C" w14:textId="77777777" w:rsidR="00A84EFD" w:rsidRPr="0028544C" w:rsidRDefault="00845CAB" w:rsidP="0006197A">
      <w:pPr>
        <w:shd w:val="clear" w:color="auto" w:fill="FFFFFF"/>
        <w:spacing w:before="120" w:after="60"/>
        <w:jc w:val="both"/>
        <w:rPr>
          <w:b/>
          <w:szCs w:val="22"/>
        </w:rPr>
      </w:pPr>
      <w:r w:rsidRPr="0028544C">
        <w:rPr>
          <w:b/>
          <w:szCs w:val="22"/>
        </w:rPr>
        <w:t>Short title.</w:t>
      </w:r>
    </w:p>
    <w:p w14:paraId="6A3EB161" w14:textId="77777777" w:rsidR="00A84EFD" w:rsidRPr="0028544C" w:rsidRDefault="0088551B" w:rsidP="0006197A">
      <w:pPr>
        <w:shd w:val="clear" w:color="auto" w:fill="FFFFFF"/>
        <w:spacing w:after="60"/>
        <w:ind w:firstLine="288"/>
        <w:jc w:val="both"/>
        <w:rPr>
          <w:sz w:val="24"/>
          <w:szCs w:val="22"/>
        </w:rPr>
      </w:pPr>
      <w:r w:rsidRPr="0028544C">
        <w:rPr>
          <w:sz w:val="24"/>
          <w:szCs w:val="22"/>
        </w:rPr>
        <w:t>“</w:t>
      </w:r>
      <w:r w:rsidR="00845CAB" w:rsidRPr="0028544C">
        <w:rPr>
          <w:sz w:val="24"/>
          <w:szCs w:val="22"/>
        </w:rPr>
        <w:t xml:space="preserve">1. This Act may be cited as the </w:t>
      </w:r>
      <w:r w:rsidR="00845CAB" w:rsidRPr="0028544C">
        <w:rPr>
          <w:i/>
          <w:iCs/>
          <w:sz w:val="24"/>
          <w:szCs w:val="22"/>
        </w:rPr>
        <w:t xml:space="preserve">Compensation </w:t>
      </w:r>
      <w:r w:rsidRPr="0028544C">
        <w:rPr>
          <w:iCs/>
          <w:sz w:val="24"/>
          <w:szCs w:val="22"/>
        </w:rPr>
        <w:t>(</w:t>
      </w:r>
      <w:r w:rsidR="00845CAB" w:rsidRPr="0028544C">
        <w:rPr>
          <w:i/>
          <w:iCs/>
          <w:sz w:val="24"/>
          <w:szCs w:val="22"/>
        </w:rPr>
        <w:t>Commonwealth Government Employees</w:t>
      </w:r>
      <w:r w:rsidRPr="0028544C">
        <w:rPr>
          <w:iCs/>
          <w:sz w:val="24"/>
          <w:szCs w:val="22"/>
        </w:rPr>
        <w:t>)</w:t>
      </w:r>
      <w:r w:rsidR="00845CAB" w:rsidRPr="0028544C">
        <w:rPr>
          <w:i/>
          <w:iCs/>
          <w:sz w:val="24"/>
          <w:szCs w:val="22"/>
        </w:rPr>
        <w:t xml:space="preserve"> Act </w:t>
      </w:r>
      <w:r w:rsidR="00845CAB" w:rsidRPr="0028544C">
        <w:rPr>
          <w:sz w:val="24"/>
          <w:szCs w:val="22"/>
        </w:rPr>
        <w:t>1971.</w:t>
      </w:r>
      <w:r w:rsidRPr="0028544C">
        <w:rPr>
          <w:sz w:val="24"/>
          <w:szCs w:val="22"/>
        </w:rPr>
        <w:t>”</w:t>
      </w:r>
      <w:r w:rsidR="00845CAB" w:rsidRPr="0028544C">
        <w:rPr>
          <w:sz w:val="24"/>
          <w:szCs w:val="22"/>
        </w:rPr>
        <w:t>.</w:t>
      </w:r>
    </w:p>
    <w:p w14:paraId="0227C822" w14:textId="77777777" w:rsidR="00A84EFD" w:rsidRPr="0028544C" w:rsidRDefault="00845CAB" w:rsidP="0006197A">
      <w:pPr>
        <w:shd w:val="clear" w:color="auto" w:fill="FFFFFF"/>
        <w:spacing w:before="120" w:after="60"/>
        <w:jc w:val="both"/>
        <w:rPr>
          <w:b/>
          <w:szCs w:val="22"/>
        </w:rPr>
      </w:pPr>
      <w:r w:rsidRPr="0028544C">
        <w:rPr>
          <w:b/>
          <w:szCs w:val="22"/>
        </w:rPr>
        <w:t>Functions and powers of the Commissioner.</w:t>
      </w:r>
    </w:p>
    <w:p w14:paraId="4B35776C" w14:textId="2D470141" w:rsidR="00A84EFD" w:rsidRPr="0028544C" w:rsidRDefault="00845CAB" w:rsidP="0006197A">
      <w:pPr>
        <w:shd w:val="clear" w:color="auto" w:fill="FFFFFF"/>
        <w:spacing w:after="60"/>
        <w:ind w:firstLine="288"/>
        <w:jc w:val="both"/>
        <w:rPr>
          <w:sz w:val="24"/>
          <w:szCs w:val="22"/>
        </w:rPr>
      </w:pPr>
      <w:r w:rsidRPr="0028544C">
        <w:rPr>
          <w:b/>
          <w:bCs/>
          <w:sz w:val="24"/>
          <w:szCs w:val="22"/>
        </w:rPr>
        <w:t>4.</w:t>
      </w:r>
      <w:r w:rsidRPr="0028544C">
        <w:rPr>
          <w:sz w:val="24"/>
          <w:szCs w:val="22"/>
        </w:rPr>
        <w:t xml:space="preserve"> Section 20 of the Principal Act is amended by omitting sub</w:t>
      </w:r>
      <w:r w:rsidR="00FB064C">
        <w:rPr>
          <w:sz w:val="24"/>
          <w:szCs w:val="22"/>
        </w:rPr>
        <w:t>-</w:t>
      </w:r>
      <w:r w:rsidRPr="0028544C">
        <w:rPr>
          <w:sz w:val="24"/>
          <w:szCs w:val="22"/>
        </w:rPr>
        <w:t>section (6) and substituting the following sub-sections:</w:t>
      </w:r>
      <w:r w:rsidRPr="0028544C">
        <w:rPr>
          <w:rFonts w:eastAsia="Times New Roman"/>
          <w:sz w:val="24"/>
          <w:szCs w:val="22"/>
        </w:rPr>
        <w:t>—</w:t>
      </w:r>
    </w:p>
    <w:p w14:paraId="5D33577B" w14:textId="77777777" w:rsidR="00A84EFD" w:rsidRPr="0028544C" w:rsidRDefault="0088551B" w:rsidP="0006197A">
      <w:pPr>
        <w:shd w:val="clear" w:color="auto" w:fill="FFFFFF"/>
        <w:spacing w:after="60"/>
        <w:ind w:firstLine="288"/>
        <w:jc w:val="both"/>
        <w:rPr>
          <w:sz w:val="24"/>
          <w:szCs w:val="22"/>
        </w:rPr>
      </w:pPr>
      <w:r w:rsidRPr="0028544C">
        <w:rPr>
          <w:sz w:val="24"/>
          <w:szCs w:val="22"/>
        </w:rPr>
        <w:t>“</w:t>
      </w:r>
      <w:r w:rsidR="00845CAB" w:rsidRPr="0028544C">
        <w:rPr>
          <w:sz w:val="24"/>
          <w:szCs w:val="22"/>
        </w:rPr>
        <w:t>(6) Where</w:t>
      </w:r>
      <w:r w:rsidR="00845CAB" w:rsidRPr="0028544C">
        <w:rPr>
          <w:rFonts w:eastAsia="Times New Roman"/>
          <w:sz w:val="24"/>
          <w:szCs w:val="22"/>
        </w:rPr>
        <w:t>–</w:t>
      </w:r>
    </w:p>
    <w:p w14:paraId="15AFF416" w14:textId="77777777" w:rsidR="00A84EFD" w:rsidRPr="0028544C" w:rsidRDefault="00845CAB" w:rsidP="0006197A">
      <w:pPr>
        <w:shd w:val="clear" w:color="auto" w:fill="FFFFFF"/>
        <w:ind w:left="648" w:hanging="288"/>
        <w:jc w:val="both"/>
        <w:rPr>
          <w:sz w:val="24"/>
          <w:szCs w:val="22"/>
        </w:rPr>
      </w:pPr>
      <w:r w:rsidRPr="0028544C">
        <w:rPr>
          <w:sz w:val="24"/>
          <w:szCs w:val="22"/>
        </w:rPr>
        <w:t>(a) a determination has been made under this Act, whether before or after the commencement of this sub-section;</w:t>
      </w:r>
    </w:p>
    <w:p w14:paraId="1A33A0C6" w14:textId="1807EC83" w:rsidR="00A84EFD" w:rsidRPr="0028544C" w:rsidRDefault="00845CAB" w:rsidP="0006197A">
      <w:pPr>
        <w:shd w:val="clear" w:color="auto" w:fill="FFFFFF"/>
        <w:ind w:left="648" w:hanging="288"/>
        <w:jc w:val="both"/>
        <w:rPr>
          <w:sz w:val="24"/>
          <w:szCs w:val="22"/>
        </w:rPr>
      </w:pPr>
      <w:r w:rsidRPr="0028544C">
        <w:rPr>
          <w:sz w:val="24"/>
          <w:szCs w:val="22"/>
        </w:rPr>
        <w:t>(b) a request has been made (whether before or after the commencement of this sub-section) under paragraph (b) of subsection (4) for the reconsideration of that determination by the Commissioner; and</w:t>
      </w:r>
    </w:p>
    <w:p w14:paraId="49AB88EC" w14:textId="77777777" w:rsidR="00A84EFD" w:rsidRPr="0028544C" w:rsidRDefault="00845CAB" w:rsidP="0006197A">
      <w:pPr>
        <w:shd w:val="clear" w:color="auto" w:fill="FFFFFF"/>
        <w:ind w:left="648" w:hanging="288"/>
        <w:jc w:val="both"/>
        <w:rPr>
          <w:sz w:val="24"/>
          <w:szCs w:val="22"/>
        </w:rPr>
      </w:pPr>
      <w:r w:rsidRPr="0028544C">
        <w:rPr>
          <w:sz w:val="24"/>
          <w:szCs w:val="22"/>
        </w:rPr>
        <w:t>(c) after the commencement of this sub-section, the Commissioner, in pursuance of that request</w:t>
      </w:r>
      <w:r w:rsidRPr="0028544C">
        <w:rPr>
          <w:rFonts w:eastAsia="Times New Roman"/>
          <w:sz w:val="24"/>
          <w:szCs w:val="22"/>
        </w:rPr>
        <w:t>—</w:t>
      </w:r>
    </w:p>
    <w:p w14:paraId="54B09A07" w14:textId="77777777" w:rsidR="00A84EFD" w:rsidRPr="0028544C" w:rsidRDefault="00845CAB" w:rsidP="0006197A">
      <w:pPr>
        <w:shd w:val="clear" w:color="auto" w:fill="FFFFFF"/>
        <w:spacing w:before="60" w:after="60"/>
        <w:ind w:left="1152" w:hanging="288"/>
        <w:rPr>
          <w:sz w:val="24"/>
          <w:szCs w:val="22"/>
        </w:rPr>
      </w:pPr>
      <w:r w:rsidRPr="0028544C">
        <w:rPr>
          <w:sz w:val="24"/>
          <w:szCs w:val="22"/>
        </w:rPr>
        <w:t>(i) makes a determination varying or revoking the first-mentioned determination (whether or not, where he revokes the first-mentioned determination, he makes a new determination in substitution for that first-mentioned determination); or</w:t>
      </w:r>
    </w:p>
    <w:p w14:paraId="1611E5A6" w14:textId="03092586" w:rsidR="00A84EFD" w:rsidRPr="0028544C" w:rsidRDefault="00845CAB" w:rsidP="0006197A">
      <w:pPr>
        <w:shd w:val="clear" w:color="auto" w:fill="FFFFFF"/>
        <w:spacing w:before="60" w:after="60"/>
        <w:ind w:left="1152" w:hanging="288"/>
        <w:rPr>
          <w:sz w:val="24"/>
          <w:szCs w:val="22"/>
        </w:rPr>
      </w:pPr>
      <w:r w:rsidRPr="0028544C">
        <w:rPr>
          <w:sz w:val="24"/>
          <w:szCs w:val="22"/>
        </w:rPr>
        <w:t>(ii) decides not to vary or revoke that first-mentioned determination,</w:t>
      </w:r>
    </w:p>
    <w:p w14:paraId="47A3C262" w14:textId="77777777" w:rsidR="00A84EFD" w:rsidRPr="0028544C" w:rsidRDefault="00845CAB" w:rsidP="0006197A">
      <w:pPr>
        <w:shd w:val="clear" w:color="auto" w:fill="FFFFFF"/>
        <w:spacing w:after="60"/>
        <w:jc w:val="both"/>
        <w:rPr>
          <w:sz w:val="24"/>
          <w:szCs w:val="22"/>
        </w:rPr>
      </w:pPr>
      <w:r w:rsidRPr="0028544C">
        <w:rPr>
          <w:sz w:val="24"/>
          <w:szCs w:val="22"/>
        </w:rPr>
        <w:t>the Commonwealth is, subject to sub-section (7), liable to reimburse a claimant affected by that first-mentioned determination for any costs reasonably incurred by him in relation to that first-mentioned determination after it was made and before the Commissioner notifies him of the making of the determination or decision referred to in paragraph (c).</w:t>
      </w:r>
    </w:p>
    <w:p w14:paraId="70650277" w14:textId="77777777" w:rsidR="00A84EFD" w:rsidRPr="0028544C" w:rsidRDefault="0088551B" w:rsidP="0006197A">
      <w:pPr>
        <w:shd w:val="clear" w:color="auto" w:fill="FFFFFF"/>
        <w:spacing w:after="60"/>
        <w:ind w:firstLine="288"/>
        <w:jc w:val="both"/>
        <w:rPr>
          <w:sz w:val="24"/>
          <w:szCs w:val="22"/>
        </w:rPr>
      </w:pPr>
      <w:r w:rsidRPr="0028544C">
        <w:rPr>
          <w:sz w:val="24"/>
          <w:szCs w:val="22"/>
        </w:rPr>
        <w:t>“</w:t>
      </w:r>
      <w:r w:rsidR="00845CAB" w:rsidRPr="0028544C">
        <w:rPr>
          <w:sz w:val="24"/>
          <w:szCs w:val="22"/>
        </w:rPr>
        <w:t xml:space="preserve">(7) Sub-section (6) does not apply in relation to costs incurred by a claimant who made a request referred to in paragraph (b) of that subsection unless the reconsideration has had a result </w:t>
      </w:r>
      <w:proofErr w:type="spellStart"/>
      <w:r w:rsidR="00845CAB" w:rsidRPr="0028544C">
        <w:rPr>
          <w:sz w:val="24"/>
          <w:szCs w:val="22"/>
        </w:rPr>
        <w:t>favourable</w:t>
      </w:r>
      <w:proofErr w:type="spellEnd"/>
      <w:r w:rsidR="00845CAB" w:rsidRPr="0028544C">
        <w:rPr>
          <w:sz w:val="24"/>
          <w:szCs w:val="22"/>
        </w:rPr>
        <w:t xml:space="preserve"> to the claimant.</w:t>
      </w:r>
      <w:r w:rsidRPr="0028544C">
        <w:rPr>
          <w:sz w:val="24"/>
          <w:szCs w:val="22"/>
        </w:rPr>
        <w:t>”</w:t>
      </w:r>
      <w:r w:rsidR="00845CAB" w:rsidRPr="0028544C">
        <w:rPr>
          <w:sz w:val="24"/>
          <w:szCs w:val="22"/>
        </w:rPr>
        <w:t>.</w:t>
      </w:r>
    </w:p>
    <w:p w14:paraId="6E1C7967" w14:textId="77777777" w:rsidR="00A84EFD" w:rsidRPr="0028544C" w:rsidRDefault="00845CAB" w:rsidP="0006197A">
      <w:pPr>
        <w:shd w:val="clear" w:color="auto" w:fill="FFFFFF"/>
        <w:spacing w:before="120" w:after="60"/>
        <w:jc w:val="both"/>
        <w:rPr>
          <w:b/>
          <w:szCs w:val="22"/>
        </w:rPr>
      </w:pPr>
      <w:r w:rsidRPr="0028544C">
        <w:rPr>
          <w:b/>
          <w:szCs w:val="22"/>
        </w:rPr>
        <w:t>Provision of vocational training.</w:t>
      </w:r>
    </w:p>
    <w:p w14:paraId="556A4D18" w14:textId="5134B7E1" w:rsidR="00A84EFD" w:rsidRPr="0028544C" w:rsidRDefault="00845CAB" w:rsidP="0006197A">
      <w:pPr>
        <w:shd w:val="clear" w:color="auto" w:fill="FFFFFF"/>
        <w:spacing w:after="60"/>
        <w:ind w:firstLine="288"/>
        <w:jc w:val="both"/>
        <w:rPr>
          <w:sz w:val="24"/>
          <w:szCs w:val="22"/>
        </w:rPr>
      </w:pPr>
      <w:r w:rsidRPr="0028544C">
        <w:rPr>
          <w:b/>
          <w:bCs/>
          <w:sz w:val="24"/>
          <w:szCs w:val="22"/>
        </w:rPr>
        <w:t>5.</w:t>
      </w:r>
      <w:r w:rsidRPr="0028544C">
        <w:rPr>
          <w:sz w:val="24"/>
          <w:szCs w:val="22"/>
        </w:rPr>
        <w:t xml:space="preserve"> Section 38 of the Principal Act is amended by omitting from sub</w:t>
      </w:r>
      <w:r w:rsidR="00FB064C">
        <w:rPr>
          <w:sz w:val="24"/>
          <w:szCs w:val="22"/>
        </w:rPr>
        <w:t>-</w:t>
      </w:r>
      <w:r w:rsidRPr="0028544C">
        <w:rPr>
          <w:sz w:val="24"/>
          <w:szCs w:val="22"/>
        </w:rPr>
        <w:t xml:space="preserve">section (3) the words </w:t>
      </w:r>
      <w:r w:rsidR="0088551B" w:rsidRPr="0028544C">
        <w:rPr>
          <w:sz w:val="24"/>
          <w:szCs w:val="22"/>
        </w:rPr>
        <w:t>“</w:t>
      </w:r>
      <w:r w:rsidRPr="0028544C">
        <w:rPr>
          <w:sz w:val="24"/>
          <w:szCs w:val="22"/>
        </w:rPr>
        <w:t>a rehabilitation allowance under section 135</w:t>
      </w:r>
      <w:r w:rsidR="00FB064C">
        <w:rPr>
          <w:smallCaps/>
          <w:sz w:val="24"/>
          <w:szCs w:val="22"/>
        </w:rPr>
        <w:t>d</w:t>
      </w:r>
      <w:r w:rsidRPr="0028544C">
        <w:rPr>
          <w:sz w:val="24"/>
          <w:szCs w:val="22"/>
        </w:rPr>
        <w:t xml:space="preserve"> of that Act</w:t>
      </w:r>
      <w:r w:rsidR="0088551B" w:rsidRPr="0028544C">
        <w:rPr>
          <w:sz w:val="24"/>
          <w:szCs w:val="22"/>
        </w:rPr>
        <w:t>”</w:t>
      </w:r>
      <w:r w:rsidRPr="0028544C">
        <w:rPr>
          <w:sz w:val="24"/>
          <w:szCs w:val="22"/>
        </w:rPr>
        <w:t xml:space="preserve"> and substituting the words </w:t>
      </w:r>
      <w:r w:rsidR="0088551B" w:rsidRPr="0028544C">
        <w:rPr>
          <w:sz w:val="24"/>
          <w:szCs w:val="22"/>
        </w:rPr>
        <w:t>“</w:t>
      </w:r>
      <w:r w:rsidRPr="0028544C">
        <w:rPr>
          <w:sz w:val="24"/>
          <w:szCs w:val="22"/>
        </w:rPr>
        <w:t>a training allowance under section 135</w:t>
      </w:r>
      <w:r w:rsidR="00FB064C">
        <w:rPr>
          <w:smallCaps/>
          <w:sz w:val="24"/>
          <w:szCs w:val="22"/>
        </w:rPr>
        <w:t>d</w:t>
      </w:r>
      <w:r w:rsidRPr="0028544C">
        <w:rPr>
          <w:sz w:val="24"/>
          <w:szCs w:val="22"/>
        </w:rPr>
        <w:t xml:space="preserve"> of that Act except to the extent that that allowance exceeds the amount of the compensation payable to him under sub-section (5) of this section</w:t>
      </w:r>
      <w:r w:rsidR="0088551B" w:rsidRPr="0028544C">
        <w:rPr>
          <w:sz w:val="24"/>
          <w:szCs w:val="22"/>
        </w:rPr>
        <w:t>”</w:t>
      </w:r>
      <w:r w:rsidRPr="0028544C">
        <w:rPr>
          <w:sz w:val="24"/>
          <w:szCs w:val="22"/>
        </w:rPr>
        <w:t>.</w:t>
      </w:r>
    </w:p>
    <w:p w14:paraId="45FF6E60" w14:textId="77777777" w:rsidR="00FB064C" w:rsidRDefault="00FB064C">
      <w:pPr>
        <w:widowControl/>
        <w:autoSpaceDE/>
        <w:autoSpaceDN/>
        <w:adjustRightInd/>
        <w:spacing w:after="200" w:line="276" w:lineRule="auto"/>
        <w:rPr>
          <w:b/>
          <w:szCs w:val="22"/>
        </w:rPr>
      </w:pPr>
      <w:r>
        <w:rPr>
          <w:b/>
          <w:szCs w:val="22"/>
        </w:rPr>
        <w:br w:type="page"/>
      </w:r>
    </w:p>
    <w:p w14:paraId="6A1C621D" w14:textId="572F2085" w:rsidR="00A84EFD" w:rsidRPr="0028544C" w:rsidRDefault="00845CAB" w:rsidP="0006197A">
      <w:pPr>
        <w:shd w:val="clear" w:color="auto" w:fill="FFFFFF"/>
        <w:spacing w:before="120" w:after="60"/>
        <w:jc w:val="both"/>
        <w:rPr>
          <w:b/>
          <w:szCs w:val="22"/>
        </w:rPr>
      </w:pPr>
      <w:r w:rsidRPr="0028544C">
        <w:rPr>
          <w:b/>
          <w:szCs w:val="22"/>
        </w:rPr>
        <w:lastRenderedPageBreak/>
        <w:t>Assignment, set-off or attachment of compensation.</w:t>
      </w:r>
    </w:p>
    <w:p w14:paraId="5DECEEEA" w14:textId="5C14774A" w:rsidR="00A84EFD" w:rsidRPr="0028544C" w:rsidRDefault="00845CAB" w:rsidP="0006197A">
      <w:pPr>
        <w:shd w:val="clear" w:color="auto" w:fill="FFFFFF"/>
        <w:spacing w:after="60"/>
        <w:ind w:firstLine="288"/>
        <w:jc w:val="both"/>
        <w:rPr>
          <w:sz w:val="24"/>
          <w:szCs w:val="22"/>
        </w:rPr>
      </w:pPr>
      <w:r w:rsidRPr="0028544C">
        <w:rPr>
          <w:b/>
          <w:bCs/>
          <w:sz w:val="24"/>
          <w:szCs w:val="22"/>
        </w:rPr>
        <w:t>6.</w:t>
      </w:r>
      <w:r w:rsidRPr="0028544C">
        <w:rPr>
          <w:sz w:val="24"/>
          <w:szCs w:val="22"/>
        </w:rPr>
        <w:t xml:space="preserve"> Section 118 of the Principal Act is amended by omitting from sub</w:t>
      </w:r>
      <w:r w:rsidR="00FB064C">
        <w:rPr>
          <w:sz w:val="24"/>
          <w:szCs w:val="22"/>
        </w:rPr>
        <w:t>-</w:t>
      </w:r>
      <w:r w:rsidRPr="0028544C">
        <w:rPr>
          <w:sz w:val="24"/>
          <w:szCs w:val="22"/>
        </w:rPr>
        <w:t xml:space="preserve">section (3) the words </w:t>
      </w:r>
      <w:r w:rsidR="0088551B" w:rsidRPr="0028544C">
        <w:rPr>
          <w:sz w:val="24"/>
          <w:szCs w:val="22"/>
        </w:rPr>
        <w:t>“</w:t>
      </w:r>
      <w:r w:rsidRPr="0028544C">
        <w:rPr>
          <w:sz w:val="24"/>
          <w:szCs w:val="22"/>
        </w:rPr>
        <w:t xml:space="preserve">or the </w:t>
      </w:r>
      <w:r w:rsidRPr="0028544C">
        <w:rPr>
          <w:i/>
          <w:iCs/>
          <w:sz w:val="24"/>
          <w:szCs w:val="22"/>
        </w:rPr>
        <w:t xml:space="preserve">Matrimonial Causes Act </w:t>
      </w:r>
      <w:r w:rsidRPr="0028544C">
        <w:rPr>
          <w:sz w:val="24"/>
          <w:szCs w:val="22"/>
        </w:rPr>
        <w:t>1959 1966</w:t>
      </w:r>
      <w:r w:rsidR="0088551B" w:rsidRPr="0028544C">
        <w:rPr>
          <w:sz w:val="24"/>
          <w:szCs w:val="22"/>
        </w:rPr>
        <w:t>”</w:t>
      </w:r>
      <w:r w:rsidRPr="0028544C">
        <w:rPr>
          <w:sz w:val="24"/>
          <w:szCs w:val="22"/>
        </w:rPr>
        <w:t xml:space="preserve"> and substituting the words </w:t>
      </w:r>
      <w:r w:rsidR="0088551B" w:rsidRPr="0028544C">
        <w:rPr>
          <w:sz w:val="24"/>
          <w:szCs w:val="22"/>
        </w:rPr>
        <w:t>“</w:t>
      </w:r>
      <w:r w:rsidRPr="0028544C">
        <w:rPr>
          <w:sz w:val="24"/>
          <w:szCs w:val="22"/>
        </w:rPr>
        <w:t xml:space="preserve">or by, or by regulations under, the </w:t>
      </w:r>
      <w:r w:rsidRPr="0028544C">
        <w:rPr>
          <w:i/>
          <w:iCs/>
          <w:sz w:val="24"/>
          <w:szCs w:val="22"/>
        </w:rPr>
        <w:t xml:space="preserve">Family Law Act </w:t>
      </w:r>
      <w:r w:rsidRPr="0028544C">
        <w:rPr>
          <w:sz w:val="24"/>
          <w:szCs w:val="22"/>
        </w:rPr>
        <w:t>1975</w:t>
      </w:r>
      <w:r w:rsidR="0088551B" w:rsidRPr="0028544C">
        <w:rPr>
          <w:sz w:val="24"/>
          <w:szCs w:val="22"/>
        </w:rPr>
        <w:t>”</w:t>
      </w:r>
      <w:r w:rsidRPr="0028544C">
        <w:rPr>
          <w:sz w:val="24"/>
          <w:szCs w:val="22"/>
        </w:rPr>
        <w:t>.</w:t>
      </w:r>
    </w:p>
    <w:p w14:paraId="659674ED" w14:textId="77777777" w:rsidR="00A84EFD" w:rsidRPr="0028544C" w:rsidRDefault="00845CAB" w:rsidP="0006197A">
      <w:pPr>
        <w:shd w:val="clear" w:color="auto" w:fill="FFFFFF"/>
        <w:spacing w:before="120" w:after="60"/>
        <w:jc w:val="both"/>
        <w:rPr>
          <w:b/>
          <w:szCs w:val="22"/>
        </w:rPr>
      </w:pPr>
      <w:r w:rsidRPr="0028544C">
        <w:rPr>
          <w:b/>
          <w:szCs w:val="22"/>
        </w:rPr>
        <w:t>Amendments relating to amount of compensation.</w:t>
      </w:r>
    </w:p>
    <w:p w14:paraId="581093D8" w14:textId="77777777" w:rsidR="00A84EFD" w:rsidRPr="0028544C" w:rsidRDefault="00845CAB" w:rsidP="0006197A">
      <w:pPr>
        <w:shd w:val="clear" w:color="auto" w:fill="FFFFFF"/>
        <w:spacing w:after="60"/>
        <w:ind w:firstLine="288"/>
        <w:jc w:val="both"/>
        <w:rPr>
          <w:sz w:val="24"/>
          <w:szCs w:val="22"/>
        </w:rPr>
      </w:pPr>
      <w:r w:rsidRPr="0028544C">
        <w:rPr>
          <w:b/>
          <w:bCs/>
          <w:sz w:val="24"/>
          <w:szCs w:val="22"/>
        </w:rPr>
        <w:t>7.</w:t>
      </w:r>
      <w:r w:rsidRPr="0028544C">
        <w:rPr>
          <w:sz w:val="24"/>
          <w:szCs w:val="22"/>
        </w:rPr>
        <w:t xml:space="preserve"> (1) The Principal Act is amended as set out in Schedule 1.</w:t>
      </w:r>
    </w:p>
    <w:p w14:paraId="0F04A6F4" w14:textId="77777777" w:rsidR="00A84EFD" w:rsidRPr="0028544C" w:rsidRDefault="00845CAB" w:rsidP="0006197A">
      <w:pPr>
        <w:shd w:val="clear" w:color="auto" w:fill="FFFFFF"/>
        <w:spacing w:after="60"/>
        <w:ind w:firstLine="288"/>
        <w:jc w:val="both"/>
        <w:rPr>
          <w:sz w:val="24"/>
          <w:szCs w:val="22"/>
        </w:rPr>
      </w:pPr>
      <w:r w:rsidRPr="0028544C">
        <w:rPr>
          <w:sz w:val="24"/>
          <w:szCs w:val="22"/>
        </w:rPr>
        <w:t>(2) The amendments made by sub-section (1) apply in relation to any weekly payments of compensation in so far as they relate to any part of a day, or any day or days, occurring after the commencement of this section notwithstanding that the compensation is payable in respect of an injury sustained, a disease contracted, or an aggravation, acceleration or recurrence of a disease suffered, before the commencement of this section.</w:t>
      </w:r>
    </w:p>
    <w:p w14:paraId="40859E2E" w14:textId="77777777" w:rsidR="00A84EFD" w:rsidRPr="0028544C" w:rsidRDefault="00845CAB" w:rsidP="0006197A">
      <w:pPr>
        <w:shd w:val="clear" w:color="auto" w:fill="FFFFFF"/>
        <w:spacing w:after="60"/>
        <w:ind w:firstLine="288"/>
        <w:jc w:val="both"/>
        <w:rPr>
          <w:sz w:val="24"/>
          <w:szCs w:val="22"/>
        </w:rPr>
      </w:pPr>
      <w:r w:rsidRPr="0028544C">
        <w:rPr>
          <w:sz w:val="24"/>
          <w:szCs w:val="22"/>
        </w:rPr>
        <w:t>(3) Where, after the commencement of this section, an employee</w:t>
      </w:r>
      <w:r w:rsidRPr="0028544C">
        <w:rPr>
          <w:rFonts w:eastAsia="Times New Roman"/>
          <w:sz w:val="24"/>
          <w:szCs w:val="22"/>
        </w:rPr>
        <w:t>—</w:t>
      </w:r>
    </w:p>
    <w:p w14:paraId="611225BF" w14:textId="77777777" w:rsidR="00A84EFD" w:rsidRPr="0028544C" w:rsidRDefault="00845CAB" w:rsidP="0006197A">
      <w:pPr>
        <w:shd w:val="clear" w:color="auto" w:fill="FFFFFF"/>
        <w:ind w:left="648" w:hanging="288"/>
        <w:jc w:val="both"/>
        <w:rPr>
          <w:sz w:val="24"/>
          <w:szCs w:val="22"/>
        </w:rPr>
      </w:pPr>
      <w:r w:rsidRPr="0028544C">
        <w:rPr>
          <w:sz w:val="24"/>
          <w:szCs w:val="22"/>
        </w:rPr>
        <w:t>(a) dies;</w:t>
      </w:r>
    </w:p>
    <w:p w14:paraId="103F04D4" w14:textId="77777777" w:rsidR="00A84EFD" w:rsidRPr="0028544C" w:rsidRDefault="00845CAB" w:rsidP="0006197A">
      <w:pPr>
        <w:shd w:val="clear" w:color="auto" w:fill="FFFFFF"/>
        <w:ind w:left="648" w:hanging="288"/>
        <w:jc w:val="both"/>
        <w:rPr>
          <w:sz w:val="24"/>
          <w:szCs w:val="22"/>
        </w:rPr>
      </w:pPr>
      <w:r w:rsidRPr="0028544C">
        <w:rPr>
          <w:sz w:val="24"/>
          <w:szCs w:val="22"/>
        </w:rPr>
        <w:t>(b) suffers a loss of a kind referred to in section 39, 40 or 42 of the Principal Act as amended by this Act;</w:t>
      </w:r>
    </w:p>
    <w:p w14:paraId="5CA8F6D4" w14:textId="77777777" w:rsidR="00A84EFD" w:rsidRPr="0028544C" w:rsidRDefault="00845CAB" w:rsidP="0006197A">
      <w:pPr>
        <w:shd w:val="clear" w:color="auto" w:fill="FFFFFF"/>
        <w:ind w:left="648" w:hanging="288"/>
        <w:jc w:val="both"/>
        <w:rPr>
          <w:sz w:val="24"/>
          <w:szCs w:val="22"/>
        </w:rPr>
      </w:pPr>
      <w:r w:rsidRPr="0028544C">
        <w:rPr>
          <w:sz w:val="24"/>
          <w:szCs w:val="22"/>
        </w:rPr>
        <w:t>(c) suffers facial disfigurement of a kind referred to in section 41 of that Act as so amended; or</w:t>
      </w:r>
    </w:p>
    <w:p w14:paraId="59121D99" w14:textId="77777777" w:rsidR="00A84EFD" w:rsidRPr="0028544C" w:rsidRDefault="00845CAB" w:rsidP="0006197A">
      <w:pPr>
        <w:shd w:val="clear" w:color="auto" w:fill="FFFFFF"/>
        <w:spacing w:after="60"/>
        <w:ind w:left="648" w:hanging="288"/>
        <w:jc w:val="both"/>
        <w:rPr>
          <w:sz w:val="24"/>
          <w:szCs w:val="22"/>
        </w:rPr>
      </w:pPr>
      <w:r w:rsidRPr="0028544C">
        <w:rPr>
          <w:sz w:val="24"/>
          <w:szCs w:val="22"/>
        </w:rPr>
        <w:t>(d) becomes liable for any cost of a kind referred to in sub-section 37 (3) of that Act as so amended,</w:t>
      </w:r>
    </w:p>
    <w:p w14:paraId="3939860B" w14:textId="083F8537" w:rsidR="00A84EFD" w:rsidRPr="0028544C" w:rsidRDefault="00845CAB" w:rsidP="0006197A">
      <w:pPr>
        <w:shd w:val="clear" w:color="auto" w:fill="FFFFFF"/>
        <w:spacing w:after="60"/>
        <w:jc w:val="both"/>
        <w:rPr>
          <w:sz w:val="24"/>
          <w:szCs w:val="22"/>
        </w:rPr>
      </w:pPr>
      <w:r w:rsidRPr="0028544C">
        <w:rPr>
          <w:sz w:val="24"/>
          <w:szCs w:val="22"/>
        </w:rPr>
        <w:t>the amendments made by sub-section (1) apply in relation to any compensation payable in respect of that death (including the cost of the funeral of the employee), loss, disfigurement or cost, notwithstanding that the compensation is payable as a result of an injury sustained, a disease</w:t>
      </w:r>
      <w:r w:rsidR="00FB064C">
        <w:rPr>
          <w:sz w:val="24"/>
          <w:szCs w:val="22"/>
        </w:rPr>
        <w:t xml:space="preserve"> </w:t>
      </w:r>
      <w:r w:rsidRPr="0028544C">
        <w:rPr>
          <w:sz w:val="24"/>
          <w:szCs w:val="22"/>
        </w:rPr>
        <w:t>contracted or an aggravation, acceleration or recurrence of a disease suffered, before the commencement of this section.</w:t>
      </w:r>
    </w:p>
    <w:p w14:paraId="6ED82C7C" w14:textId="6782C074" w:rsidR="00A84EFD" w:rsidRPr="0028544C" w:rsidRDefault="00845CAB" w:rsidP="008B10AE">
      <w:pPr>
        <w:shd w:val="clear" w:color="auto" w:fill="FFFFFF"/>
        <w:spacing w:after="60"/>
        <w:ind w:firstLine="288"/>
        <w:jc w:val="both"/>
        <w:rPr>
          <w:sz w:val="24"/>
          <w:szCs w:val="22"/>
        </w:rPr>
      </w:pPr>
      <w:r w:rsidRPr="0028544C">
        <w:rPr>
          <w:sz w:val="24"/>
          <w:szCs w:val="22"/>
        </w:rPr>
        <w:t>(4) Where, after the commencement of this section, compensation under sub-section 43(5) of the Principal Act as amended by this Act ceases to be payable for the benefit of a child, the amendments made by sub-section (1) apply in relation to any compensati</w:t>
      </w:r>
      <w:r w:rsidR="00FB064C">
        <w:rPr>
          <w:sz w:val="24"/>
          <w:szCs w:val="22"/>
        </w:rPr>
        <w:t>on payable under sub-section 43</w:t>
      </w:r>
      <w:r w:rsidRPr="0028544C">
        <w:rPr>
          <w:sz w:val="24"/>
          <w:szCs w:val="22"/>
        </w:rPr>
        <w:t>(7) of that Act as so amended in relation to that child, notwithstanding that the compensation is payable as a result of a death that occurred before the commencement of this section.</w:t>
      </w:r>
    </w:p>
    <w:p w14:paraId="762F7EBD" w14:textId="77777777" w:rsidR="00A84EFD" w:rsidRPr="0028544C" w:rsidRDefault="00845CAB" w:rsidP="008B10AE">
      <w:pPr>
        <w:shd w:val="clear" w:color="auto" w:fill="FFFFFF"/>
        <w:spacing w:before="120" w:after="60"/>
        <w:jc w:val="both"/>
        <w:rPr>
          <w:b/>
          <w:szCs w:val="22"/>
        </w:rPr>
      </w:pPr>
      <w:r w:rsidRPr="0028544C">
        <w:rPr>
          <w:b/>
          <w:szCs w:val="22"/>
        </w:rPr>
        <w:t>Formal amendments.</w:t>
      </w:r>
    </w:p>
    <w:p w14:paraId="171E15DE" w14:textId="77777777" w:rsidR="00A84EFD" w:rsidRPr="0028544C" w:rsidRDefault="00845CAB" w:rsidP="008B10AE">
      <w:pPr>
        <w:shd w:val="clear" w:color="auto" w:fill="FFFFFF"/>
        <w:spacing w:after="60"/>
        <w:ind w:firstLine="288"/>
        <w:jc w:val="both"/>
        <w:rPr>
          <w:sz w:val="24"/>
          <w:szCs w:val="22"/>
        </w:rPr>
      </w:pPr>
      <w:r w:rsidRPr="0028544C">
        <w:rPr>
          <w:b/>
          <w:bCs/>
          <w:sz w:val="24"/>
          <w:szCs w:val="22"/>
        </w:rPr>
        <w:t>8.</w:t>
      </w:r>
      <w:r w:rsidRPr="0028544C">
        <w:rPr>
          <w:sz w:val="24"/>
          <w:szCs w:val="22"/>
        </w:rPr>
        <w:t xml:space="preserve"> The Principal Act is amended as set out in Schedule 2.</w:t>
      </w:r>
    </w:p>
    <w:p w14:paraId="7839AD34" w14:textId="07E642FC" w:rsidR="00A84EFD" w:rsidRPr="0028544C" w:rsidRDefault="00FD2EC3" w:rsidP="008B10AE">
      <w:pPr>
        <w:shd w:val="clear" w:color="auto" w:fill="FFFFFF"/>
        <w:tabs>
          <w:tab w:val="left" w:pos="4320"/>
        </w:tabs>
        <w:spacing w:before="480"/>
        <w:jc w:val="right"/>
        <w:rPr>
          <w:sz w:val="24"/>
          <w:szCs w:val="22"/>
        </w:rPr>
      </w:pPr>
      <w:r w:rsidRPr="0028544C">
        <w:rPr>
          <w:noProof/>
          <w:sz w:val="24"/>
          <w:szCs w:val="22"/>
          <w:lang w:val="en-AU" w:eastAsia="en-AU"/>
        </w:rPr>
        <mc:AlternateContent>
          <mc:Choice Requires="wps">
            <w:drawing>
              <wp:anchor distT="0" distB="0" distL="114300" distR="114300" simplePos="0" relativeHeight="251661312" behindDoc="0" locked="0" layoutInCell="1" allowOverlap="1" wp14:anchorId="7160C9DD" wp14:editId="292D128E">
                <wp:simplePos x="0" y="0"/>
                <wp:positionH relativeFrom="column">
                  <wp:posOffset>2715768</wp:posOffset>
                </wp:positionH>
                <wp:positionV relativeFrom="paragraph">
                  <wp:posOffset>84684</wp:posOffset>
                </wp:positionV>
                <wp:extent cx="724205"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7242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9C4D65"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13.85pt,6.65pt" to="270.8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" strokecolor="black [3040]"/>
            </w:pict>
          </mc:Fallback>
        </mc:AlternateContent>
      </w:r>
      <w:r w:rsidR="00845CAB" w:rsidRPr="0028544C">
        <w:rPr>
          <w:sz w:val="24"/>
          <w:szCs w:val="22"/>
        </w:rPr>
        <w:t>SCHEDULE 1</w:t>
      </w:r>
      <w:r w:rsidR="008B10AE" w:rsidRPr="0028544C">
        <w:rPr>
          <w:sz w:val="24"/>
          <w:szCs w:val="22"/>
        </w:rPr>
        <w:tab/>
      </w:r>
      <w:r w:rsidR="00845CAB" w:rsidRPr="0028544C">
        <w:rPr>
          <w:sz w:val="24"/>
          <w:szCs w:val="22"/>
        </w:rPr>
        <w:t>Section 7(1)</w:t>
      </w:r>
    </w:p>
    <w:p w14:paraId="57B68FA3" w14:textId="77777777" w:rsidR="00A84EFD" w:rsidRPr="0028544C" w:rsidRDefault="00845CAB" w:rsidP="008B10AE">
      <w:pPr>
        <w:shd w:val="clear" w:color="auto" w:fill="FFFFFF"/>
        <w:spacing w:before="120" w:after="60"/>
        <w:jc w:val="center"/>
        <w:rPr>
          <w:sz w:val="24"/>
          <w:szCs w:val="22"/>
        </w:rPr>
      </w:pPr>
      <w:r w:rsidRPr="0028544C">
        <w:rPr>
          <w:sz w:val="24"/>
          <w:szCs w:val="22"/>
        </w:rPr>
        <w:t>AMENDMENTS RELATING TO AMOUNTS OF COMPENSATION</w:t>
      </w:r>
    </w:p>
    <w:tbl>
      <w:tblPr>
        <w:tblW w:w="5000" w:type="pct"/>
        <w:jc w:val="center"/>
        <w:tblLayout w:type="fixed"/>
        <w:tblCellMar>
          <w:left w:w="40" w:type="dxa"/>
          <w:right w:w="40" w:type="dxa"/>
        </w:tblCellMar>
        <w:tblLook w:val="0000" w:firstRow="0" w:lastRow="0" w:firstColumn="0" w:lastColumn="0" w:noHBand="0" w:noVBand="0"/>
      </w:tblPr>
      <w:tblGrid>
        <w:gridCol w:w="3460"/>
        <w:gridCol w:w="6369"/>
      </w:tblGrid>
      <w:tr w:rsidR="00A84EFD" w:rsidRPr="0028544C" w14:paraId="74E47C7E" w14:textId="77777777" w:rsidTr="0028544C">
        <w:trPr>
          <w:trHeight w:val="413"/>
          <w:jc w:val="center"/>
        </w:trPr>
        <w:tc>
          <w:tcPr>
            <w:tcW w:w="3460" w:type="dxa"/>
            <w:tcBorders>
              <w:top w:val="single" w:sz="4" w:space="0" w:color="auto"/>
              <w:bottom w:val="single" w:sz="4" w:space="0" w:color="auto"/>
            </w:tcBorders>
            <w:shd w:val="clear" w:color="auto" w:fill="FFFFFF"/>
            <w:vAlign w:val="center"/>
          </w:tcPr>
          <w:p w14:paraId="11B141D9" w14:textId="77777777" w:rsidR="00A84EFD" w:rsidRPr="0028544C" w:rsidRDefault="00845CAB" w:rsidP="0028544C">
            <w:pPr>
              <w:shd w:val="clear" w:color="auto" w:fill="FFFFFF"/>
              <w:rPr>
                <w:sz w:val="22"/>
                <w:szCs w:val="22"/>
              </w:rPr>
            </w:pPr>
            <w:r w:rsidRPr="0028544C">
              <w:rPr>
                <w:sz w:val="22"/>
                <w:szCs w:val="22"/>
              </w:rPr>
              <w:t>Provision</w:t>
            </w:r>
          </w:p>
        </w:tc>
        <w:tc>
          <w:tcPr>
            <w:tcW w:w="6369" w:type="dxa"/>
            <w:tcBorders>
              <w:top w:val="single" w:sz="4" w:space="0" w:color="auto"/>
              <w:bottom w:val="single" w:sz="4" w:space="0" w:color="auto"/>
            </w:tcBorders>
            <w:shd w:val="clear" w:color="auto" w:fill="FFFFFF"/>
            <w:vAlign w:val="center"/>
          </w:tcPr>
          <w:p w14:paraId="5837EF4F" w14:textId="77777777" w:rsidR="00A84EFD" w:rsidRPr="0028544C" w:rsidRDefault="00845CAB" w:rsidP="0028544C">
            <w:pPr>
              <w:shd w:val="clear" w:color="auto" w:fill="FFFFFF"/>
              <w:rPr>
                <w:sz w:val="22"/>
                <w:szCs w:val="22"/>
              </w:rPr>
            </w:pPr>
            <w:r w:rsidRPr="0028544C">
              <w:rPr>
                <w:sz w:val="22"/>
                <w:szCs w:val="22"/>
              </w:rPr>
              <w:t>Amendment</w:t>
            </w:r>
          </w:p>
        </w:tc>
      </w:tr>
      <w:tr w:rsidR="00A84EFD" w:rsidRPr="0028544C" w14:paraId="52202A4F" w14:textId="77777777" w:rsidTr="00F61262">
        <w:trPr>
          <w:trHeight w:val="269"/>
          <w:jc w:val="center"/>
        </w:trPr>
        <w:tc>
          <w:tcPr>
            <w:tcW w:w="3460" w:type="dxa"/>
            <w:tcBorders>
              <w:top w:val="single" w:sz="4" w:space="0" w:color="auto"/>
            </w:tcBorders>
            <w:shd w:val="clear" w:color="auto" w:fill="FFFFFF"/>
            <w:vAlign w:val="bottom"/>
          </w:tcPr>
          <w:p w14:paraId="7C88E2F5" w14:textId="6382FEC7" w:rsidR="00A84EFD" w:rsidRPr="0028544C" w:rsidRDefault="00845CAB" w:rsidP="00FB064C">
            <w:pPr>
              <w:shd w:val="clear" w:color="auto" w:fill="FFFFFF"/>
              <w:tabs>
                <w:tab w:val="left" w:leader="dot" w:pos="3168"/>
              </w:tabs>
              <w:jc w:val="both"/>
              <w:rPr>
                <w:sz w:val="22"/>
                <w:szCs w:val="22"/>
              </w:rPr>
            </w:pPr>
            <w:r w:rsidRPr="0028544C">
              <w:rPr>
                <w:sz w:val="22"/>
                <w:szCs w:val="22"/>
              </w:rPr>
              <w:t>Section 37(3)</w:t>
            </w:r>
            <w:r w:rsidR="00F61262" w:rsidRPr="0028544C">
              <w:rPr>
                <w:sz w:val="22"/>
                <w:szCs w:val="22"/>
              </w:rPr>
              <w:tab/>
            </w:r>
          </w:p>
        </w:tc>
        <w:tc>
          <w:tcPr>
            <w:tcW w:w="6369" w:type="dxa"/>
            <w:tcBorders>
              <w:top w:val="single" w:sz="4" w:space="0" w:color="auto"/>
            </w:tcBorders>
            <w:shd w:val="clear" w:color="auto" w:fill="FFFFFF"/>
            <w:vAlign w:val="bottom"/>
          </w:tcPr>
          <w:p w14:paraId="2A77D481" w14:textId="77777777" w:rsidR="00A84EFD" w:rsidRPr="0028544C" w:rsidRDefault="00845CAB" w:rsidP="008B10AE">
            <w:pPr>
              <w:shd w:val="clear" w:color="auto" w:fill="FFFFFF"/>
              <w:jc w:val="both"/>
              <w:rPr>
                <w:sz w:val="22"/>
                <w:szCs w:val="22"/>
              </w:rPr>
            </w:pPr>
            <w:r w:rsidRPr="0028544C">
              <w:rPr>
                <w:sz w:val="22"/>
                <w:szCs w:val="22"/>
              </w:rPr>
              <w:t xml:space="preserve">Omit </w:t>
            </w:r>
            <w:r w:rsidR="0088551B" w:rsidRPr="0028544C">
              <w:rPr>
                <w:sz w:val="22"/>
                <w:szCs w:val="22"/>
              </w:rPr>
              <w:t>“</w:t>
            </w:r>
            <w:r w:rsidRPr="0028544C">
              <w:rPr>
                <w:sz w:val="22"/>
                <w:szCs w:val="22"/>
              </w:rPr>
              <w:t>$500</w:t>
            </w:r>
            <w:r w:rsidR="00C312B9" w:rsidRPr="0028544C">
              <w:rPr>
                <w:sz w:val="22"/>
                <w:szCs w:val="22"/>
              </w:rPr>
              <w:t>”, substitute</w:t>
            </w:r>
            <w:r w:rsidRPr="0028544C">
              <w:rPr>
                <w:sz w:val="22"/>
                <w:szCs w:val="22"/>
              </w:rPr>
              <w:t xml:space="preserve"> </w:t>
            </w:r>
            <w:r w:rsidR="0088551B" w:rsidRPr="0028544C">
              <w:rPr>
                <w:sz w:val="22"/>
                <w:szCs w:val="22"/>
              </w:rPr>
              <w:t>“</w:t>
            </w:r>
            <w:r w:rsidRPr="0028544C">
              <w:rPr>
                <w:sz w:val="22"/>
                <w:szCs w:val="22"/>
              </w:rPr>
              <w:t>$700</w:t>
            </w:r>
            <w:r w:rsidR="0088551B" w:rsidRPr="0028544C">
              <w:rPr>
                <w:sz w:val="22"/>
                <w:szCs w:val="22"/>
              </w:rPr>
              <w:t>”</w:t>
            </w:r>
            <w:r w:rsidRPr="0028544C">
              <w:rPr>
                <w:sz w:val="22"/>
                <w:szCs w:val="22"/>
              </w:rPr>
              <w:t>.</w:t>
            </w:r>
          </w:p>
        </w:tc>
      </w:tr>
      <w:tr w:rsidR="00A84EFD" w:rsidRPr="0028544C" w14:paraId="6163C267" w14:textId="77777777" w:rsidTr="00F61262">
        <w:trPr>
          <w:trHeight w:val="173"/>
          <w:jc w:val="center"/>
        </w:trPr>
        <w:tc>
          <w:tcPr>
            <w:tcW w:w="3460" w:type="dxa"/>
            <w:shd w:val="clear" w:color="auto" w:fill="FFFFFF"/>
            <w:vAlign w:val="bottom"/>
          </w:tcPr>
          <w:p w14:paraId="3704038C" w14:textId="33750B89" w:rsidR="00A84EFD" w:rsidRPr="0028544C" w:rsidRDefault="00845CAB" w:rsidP="00FB064C">
            <w:pPr>
              <w:shd w:val="clear" w:color="auto" w:fill="FFFFFF"/>
              <w:tabs>
                <w:tab w:val="left" w:leader="dot" w:pos="3168"/>
              </w:tabs>
              <w:jc w:val="both"/>
              <w:rPr>
                <w:sz w:val="22"/>
                <w:szCs w:val="22"/>
              </w:rPr>
            </w:pPr>
            <w:r w:rsidRPr="0028544C">
              <w:rPr>
                <w:sz w:val="22"/>
                <w:szCs w:val="22"/>
              </w:rPr>
              <w:t>Section 39(1)</w:t>
            </w:r>
            <w:r w:rsidR="00F61262" w:rsidRPr="0028544C">
              <w:rPr>
                <w:sz w:val="22"/>
                <w:szCs w:val="22"/>
              </w:rPr>
              <w:tab/>
            </w:r>
          </w:p>
        </w:tc>
        <w:tc>
          <w:tcPr>
            <w:tcW w:w="6369" w:type="dxa"/>
            <w:shd w:val="clear" w:color="auto" w:fill="FFFFFF"/>
            <w:vAlign w:val="bottom"/>
          </w:tcPr>
          <w:p w14:paraId="3008EC73" w14:textId="77777777" w:rsidR="00A84EFD" w:rsidRPr="0028544C" w:rsidRDefault="00845CAB" w:rsidP="008B10AE">
            <w:pPr>
              <w:shd w:val="clear" w:color="auto" w:fill="FFFFFF"/>
              <w:jc w:val="both"/>
              <w:rPr>
                <w:sz w:val="22"/>
                <w:szCs w:val="22"/>
              </w:rPr>
            </w:pPr>
            <w:r w:rsidRPr="0028544C">
              <w:rPr>
                <w:sz w:val="22"/>
                <w:szCs w:val="22"/>
              </w:rPr>
              <w:t xml:space="preserve">Omit </w:t>
            </w:r>
            <w:r w:rsidR="0088551B" w:rsidRPr="0028544C">
              <w:rPr>
                <w:sz w:val="22"/>
                <w:szCs w:val="22"/>
              </w:rPr>
              <w:t>“</w:t>
            </w:r>
            <w:r w:rsidRPr="0028544C">
              <w:rPr>
                <w:sz w:val="22"/>
                <w:szCs w:val="22"/>
              </w:rPr>
              <w:t>$20,000</w:t>
            </w:r>
            <w:r w:rsidR="0088551B" w:rsidRPr="0028544C">
              <w:rPr>
                <w:sz w:val="22"/>
                <w:szCs w:val="22"/>
              </w:rPr>
              <w:t>”</w:t>
            </w:r>
            <w:r w:rsidRPr="0028544C">
              <w:rPr>
                <w:sz w:val="22"/>
                <w:szCs w:val="22"/>
              </w:rPr>
              <w:t xml:space="preserve">, substitute </w:t>
            </w:r>
            <w:r w:rsidR="0088551B" w:rsidRPr="0028544C">
              <w:rPr>
                <w:sz w:val="22"/>
                <w:szCs w:val="22"/>
              </w:rPr>
              <w:t>“</w:t>
            </w:r>
            <w:r w:rsidRPr="0028544C">
              <w:rPr>
                <w:sz w:val="22"/>
                <w:szCs w:val="22"/>
              </w:rPr>
              <w:t>$25,000</w:t>
            </w:r>
            <w:r w:rsidR="0088551B" w:rsidRPr="0028544C">
              <w:rPr>
                <w:sz w:val="22"/>
                <w:szCs w:val="22"/>
              </w:rPr>
              <w:t>”</w:t>
            </w:r>
            <w:r w:rsidRPr="0028544C">
              <w:rPr>
                <w:sz w:val="22"/>
                <w:szCs w:val="22"/>
              </w:rPr>
              <w:t>.</w:t>
            </w:r>
          </w:p>
        </w:tc>
      </w:tr>
      <w:tr w:rsidR="00A84EFD" w:rsidRPr="0028544C" w14:paraId="489A2A86" w14:textId="77777777" w:rsidTr="00F61262">
        <w:trPr>
          <w:trHeight w:val="173"/>
          <w:jc w:val="center"/>
        </w:trPr>
        <w:tc>
          <w:tcPr>
            <w:tcW w:w="3460" w:type="dxa"/>
            <w:shd w:val="clear" w:color="auto" w:fill="FFFFFF"/>
            <w:vAlign w:val="bottom"/>
          </w:tcPr>
          <w:p w14:paraId="4B25E653" w14:textId="2C48482F" w:rsidR="00A84EFD" w:rsidRPr="0028544C" w:rsidRDefault="00845CAB" w:rsidP="00FB064C">
            <w:pPr>
              <w:shd w:val="clear" w:color="auto" w:fill="FFFFFF"/>
              <w:tabs>
                <w:tab w:val="left" w:leader="dot" w:pos="3168"/>
              </w:tabs>
              <w:jc w:val="both"/>
              <w:rPr>
                <w:sz w:val="22"/>
                <w:szCs w:val="22"/>
              </w:rPr>
            </w:pPr>
            <w:r w:rsidRPr="0028544C">
              <w:rPr>
                <w:sz w:val="22"/>
                <w:szCs w:val="22"/>
              </w:rPr>
              <w:t>Section 39(3)</w:t>
            </w:r>
            <w:r w:rsidR="00F61262" w:rsidRPr="0028544C">
              <w:rPr>
                <w:sz w:val="22"/>
                <w:szCs w:val="22"/>
              </w:rPr>
              <w:tab/>
            </w:r>
          </w:p>
        </w:tc>
        <w:tc>
          <w:tcPr>
            <w:tcW w:w="6369" w:type="dxa"/>
            <w:shd w:val="clear" w:color="auto" w:fill="FFFFFF"/>
            <w:vAlign w:val="bottom"/>
          </w:tcPr>
          <w:p w14:paraId="0801D021" w14:textId="77777777" w:rsidR="00A84EFD" w:rsidRPr="0028544C" w:rsidRDefault="00845CAB" w:rsidP="008B10AE">
            <w:pPr>
              <w:shd w:val="clear" w:color="auto" w:fill="FFFFFF"/>
              <w:jc w:val="both"/>
              <w:rPr>
                <w:sz w:val="22"/>
                <w:szCs w:val="22"/>
              </w:rPr>
            </w:pPr>
            <w:r w:rsidRPr="0028544C">
              <w:rPr>
                <w:sz w:val="22"/>
                <w:szCs w:val="22"/>
              </w:rPr>
              <w:t xml:space="preserve">Omit </w:t>
            </w:r>
            <w:r w:rsidR="0088551B" w:rsidRPr="0028544C">
              <w:rPr>
                <w:sz w:val="22"/>
                <w:szCs w:val="22"/>
              </w:rPr>
              <w:t>“</w:t>
            </w:r>
            <w:r w:rsidRPr="0028544C">
              <w:rPr>
                <w:sz w:val="22"/>
                <w:szCs w:val="22"/>
              </w:rPr>
              <w:t>$20,000</w:t>
            </w:r>
            <w:r w:rsidR="0088551B" w:rsidRPr="0028544C">
              <w:rPr>
                <w:sz w:val="22"/>
                <w:szCs w:val="22"/>
              </w:rPr>
              <w:t>”</w:t>
            </w:r>
            <w:r w:rsidRPr="0028544C">
              <w:rPr>
                <w:sz w:val="22"/>
                <w:szCs w:val="22"/>
              </w:rPr>
              <w:t xml:space="preserve">, substitute </w:t>
            </w:r>
            <w:r w:rsidR="0088551B" w:rsidRPr="0028544C">
              <w:rPr>
                <w:sz w:val="22"/>
                <w:szCs w:val="22"/>
              </w:rPr>
              <w:t>“</w:t>
            </w:r>
            <w:r w:rsidRPr="0028544C">
              <w:rPr>
                <w:sz w:val="22"/>
                <w:szCs w:val="22"/>
              </w:rPr>
              <w:t>$25,000</w:t>
            </w:r>
            <w:r w:rsidR="0088551B" w:rsidRPr="0028544C">
              <w:rPr>
                <w:sz w:val="22"/>
                <w:szCs w:val="22"/>
              </w:rPr>
              <w:t>”</w:t>
            </w:r>
            <w:r w:rsidRPr="0028544C">
              <w:rPr>
                <w:sz w:val="22"/>
                <w:szCs w:val="22"/>
              </w:rPr>
              <w:t>.</w:t>
            </w:r>
          </w:p>
        </w:tc>
      </w:tr>
      <w:tr w:rsidR="00A84EFD" w:rsidRPr="0028544C" w14:paraId="7E848151" w14:textId="77777777" w:rsidTr="00F61262">
        <w:trPr>
          <w:trHeight w:val="168"/>
          <w:jc w:val="center"/>
        </w:trPr>
        <w:tc>
          <w:tcPr>
            <w:tcW w:w="3460" w:type="dxa"/>
            <w:shd w:val="clear" w:color="auto" w:fill="FFFFFF"/>
            <w:vAlign w:val="bottom"/>
          </w:tcPr>
          <w:p w14:paraId="5D5E3AC8" w14:textId="6C05FC80" w:rsidR="00A84EFD" w:rsidRPr="0028544C" w:rsidRDefault="00845CAB" w:rsidP="00FB064C">
            <w:pPr>
              <w:shd w:val="clear" w:color="auto" w:fill="FFFFFF"/>
              <w:tabs>
                <w:tab w:val="left" w:leader="dot" w:pos="3168"/>
              </w:tabs>
              <w:jc w:val="both"/>
              <w:rPr>
                <w:sz w:val="22"/>
                <w:szCs w:val="22"/>
              </w:rPr>
            </w:pPr>
            <w:r w:rsidRPr="0028544C">
              <w:rPr>
                <w:sz w:val="22"/>
                <w:szCs w:val="22"/>
              </w:rPr>
              <w:t>Section 39(7)</w:t>
            </w:r>
            <w:r w:rsidR="00F61262" w:rsidRPr="0028544C">
              <w:rPr>
                <w:sz w:val="22"/>
                <w:szCs w:val="22"/>
              </w:rPr>
              <w:tab/>
            </w:r>
          </w:p>
        </w:tc>
        <w:tc>
          <w:tcPr>
            <w:tcW w:w="6369" w:type="dxa"/>
            <w:shd w:val="clear" w:color="auto" w:fill="FFFFFF"/>
            <w:vAlign w:val="bottom"/>
          </w:tcPr>
          <w:p w14:paraId="0301FE46" w14:textId="77777777" w:rsidR="00A84EFD" w:rsidRPr="0028544C" w:rsidRDefault="00845CAB" w:rsidP="008B10AE">
            <w:pPr>
              <w:shd w:val="clear" w:color="auto" w:fill="FFFFFF"/>
              <w:jc w:val="both"/>
              <w:rPr>
                <w:sz w:val="22"/>
                <w:szCs w:val="22"/>
              </w:rPr>
            </w:pPr>
            <w:r w:rsidRPr="0028544C">
              <w:rPr>
                <w:sz w:val="22"/>
                <w:szCs w:val="22"/>
              </w:rPr>
              <w:t xml:space="preserve">Omit </w:t>
            </w:r>
            <w:r w:rsidR="0088551B" w:rsidRPr="0028544C">
              <w:rPr>
                <w:sz w:val="22"/>
                <w:szCs w:val="22"/>
              </w:rPr>
              <w:t>“</w:t>
            </w:r>
            <w:r w:rsidRPr="0028544C">
              <w:rPr>
                <w:sz w:val="22"/>
                <w:szCs w:val="22"/>
              </w:rPr>
              <w:t>$10,000</w:t>
            </w:r>
            <w:r w:rsidR="0088551B" w:rsidRPr="0028544C">
              <w:rPr>
                <w:sz w:val="22"/>
                <w:szCs w:val="22"/>
              </w:rPr>
              <w:t>”</w:t>
            </w:r>
            <w:r w:rsidRPr="0028544C">
              <w:rPr>
                <w:sz w:val="22"/>
                <w:szCs w:val="22"/>
              </w:rPr>
              <w:t xml:space="preserve">, substitute </w:t>
            </w:r>
            <w:r w:rsidR="0088551B" w:rsidRPr="0028544C">
              <w:rPr>
                <w:sz w:val="22"/>
                <w:szCs w:val="22"/>
              </w:rPr>
              <w:t>“</w:t>
            </w:r>
            <w:r w:rsidRPr="0028544C">
              <w:rPr>
                <w:sz w:val="22"/>
                <w:szCs w:val="22"/>
              </w:rPr>
              <w:t>$12,500</w:t>
            </w:r>
            <w:r w:rsidR="0088551B" w:rsidRPr="0028544C">
              <w:rPr>
                <w:sz w:val="22"/>
                <w:szCs w:val="22"/>
              </w:rPr>
              <w:t>”</w:t>
            </w:r>
            <w:r w:rsidRPr="0028544C">
              <w:rPr>
                <w:sz w:val="22"/>
                <w:szCs w:val="22"/>
              </w:rPr>
              <w:t>.</w:t>
            </w:r>
          </w:p>
        </w:tc>
      </w:tr>
      <w:tr w:rsidR="00A84EFD" w:rsidRPr="0028544C" w14:paraId="7AC2D29C" w14:textId="77777777" w:rsidTr="00F61262">
        <w:trPr>
          <w:trHeight w:val="173"/>
          <w:jc w:val="center"/>
        </w:trPr>
        <w:tc>
          <w:tcPr>
            <w:tcW w:w="3460" w:type="dxa"/>
            <w:shd w:val="clear" w:color="auto" w:fill="FFFFFF"/>
            <w:vAlign w:val="bottom"/>
          </w:tcPr>
          <w:p w14:paraId="3C6201FB" w14:textId="3CB4BB01" w:rsidR="00A84EFD" w:rsidRPr="0028544C" w:rsidRDefault="00845CAB" w:rsidP="00FB064C">
            <w:pPr>
              <w:shd w:val="clear" w:color="auto" w:fill="FFFFFF"/>
              <w:tabs>
                <w:tab w:val="left" w:leader="dot" w:pos="3168"/>
              </w:tabs>
              <w:jc w:val="both"/>
              <w:rPr>
                <w:sz w:val="22"/>
                <w:szCs w:val="22"/>
              </w:rPr>
            </w:pPr>
            <w:r w:rsidRPr="0028544C">
              <w:rPr>
                <w:sz w:val="22"/>
                <w:szCs w:val="22"/>
              </w:rPr>
              <w:t>Section 40(1)</w:t>
            </w:r>
            <w:r w:rsidR="00F61262" w:rsidRPr="0028544C">
              <w:rPr>
                <w:sz w:val="22"/>
                <w:szCs w:val="22"/>
              </w:rPr>
              <w:tab/>
            </w:r>
          </w:p>
        </w:tc>
        <w:tc>
          <w:tcPr>
            <w:tcW w:w="6369" w:type="dxa"/>
            <w:shd w:val="clear" w:color="auto" w:fill="FFFFFF"/>
            <w:vAlign w:val="bottom"/>
          </w:tcPr>
          <w:p w14:paraId="16F2C6D7" w14:textId="77777777" w:rsidR="00A84EFD" w:rsidRPr="0028544C" w:rsidRDefault="00845CAB" w:rsidP="008B10AE">
            <w:pPr>
              <w:shd w:val="clear" w:color="auto" w:fill="FFFFFF"/>
              <w:jc w:val="both"/>
              <w:rPr>
                <w:sz w:val="22"/>
                <w:szCs w:val="22"/>
              </w:rPr>
            </w:pPr>
            <w:r w:rsidRPr="0028544C">
              <w:rPr>
                <w:sz w:val="22"/>
                <w:szCs w:val="22"/>
              </w:rPr>
              <w:t xml:space="preserve">Omit </w:t>
            </w:r>
            <w:r w:rsidR="0088551B" w:rsidRPr="0028544C">
              <w:rPr>
                <w:sz w:val="22"/>
                <w:szCs w:val="22"/>
              </w:rPr>
              <w:t>“</w:t>
            </w:r>
            <w:r w:rsidRPr="0028544C">
              <w:rPr>
                <w:sz w:val="22"/>
                <w:szCs w:val="22"/>
              </w:rPr>
              <w:t>$10,000</w:t>
            </w:r>
            <w:r w:rsidR="0088551B" w:rsidRPr="0028544C">
              <w:rPr>
                <w:sz w:val="22"/>
                <w:szCs w:val="22"/>
              </w:rPr>
              <w:t>”</w:t>
            </w:r>
            <w:r w:rsidRPr="0028544C">
              <w:rPr>
                <w:sz w:val="22"/>
                <w:szCs w:val="22"/>
              </w:rPr>
              <w:t xml:space="preserve">, substitute </w:t>
            </w:r>
            <w:r w:rsidR="0088551B" w:rsidRPr="0028544C">
              <w:rPr>
                <w:sz w:val="22"/>
                <w:szCs w:val="22"/>
              </w:rPr>
              <w:t>“</w:t>
            </w:r>
            <w:r w:rsidRPr="0028544C">
              <w:rPr>
                <w:sz w:val="22"/>
                <w:szCs w:val="22"/>
              </w:rPr>
              <w:t>$12,500</w:t>
            </w:r>
            <w:r w:rsidR="0088551B" w:rsidRPr="0028544C">
              <w:rPr>
                <w:sz w:val="22"/>
                <w:szCs w:val="22"/>
              </w:rPr>
              <w:t>”</w:t>
            </w:r>
            <w:r w:rsidRPr="0028544C">
              <w:rPr>
                <w:sz w:val="22"/>
                <w:szCs w:val="22"/>
              </w:rPr>
              <w:t>.</w:t>
            </w:r>
          </w:p>
        </w:tc>
      </w:tr>
      <w:tr w:rsidR="00A84EFD" w:rsidRPr="0028544C" w14:paraId="1510A087" w14:textId="77777777" w:rsidTr="00F61262">
        <w:trPr>
          <w:trHeight w:val="173"/>
          <w:jc w:val="center"/>
        </w:trPr>
        <w:tc>
          <w:tcPr>
            <w:tcW w:w="3460" w:type="dxa"/>
            <w:shd w:val="clear" w:color="auto" w:fill="FFFFFF"/>
            <w:vAlign w:val="bottom"/>
          </w:tcPr>
          <w:p w14:paraId="1F16A6D5" w14:textId="7C76DC9E" w:rsidR="00A84EFD" w:rsidRPr="0028544C" w:rsidRDefault="00845CAB" w:rsidP="00FB064C">
            <w:pPr>
              <w:shd w:val="clear" w:color="auto" w:fill="FFFFFF"/>
              <w:tabs>
                <w:tab w:val="left" w:leader="dot" w:pos="3168"/>
              </w:tabs>
              <w:jc w:val="both"/>
              <w:rPr>
                <w:sz w:val="22"/>
                <w:szCs w:val="22"/>
              </w:rPr>
            </w:pPr>
            <w:r w:rsidRPr="0028544C">
              <w:rPr>
                <w:sz w:val="22"/>
                <w:szCs w:val="22"/>
              </w:rPr>
              <w:t>Section 41(1)</w:t>
            </w:r>
            <w:r w:rsidR="00F61262" w:rsidRPr="0028544C">
              <w:rPr>
                <w:sz w:val="22"/>
                <w:szCs w:val="22"/>
              </w:rPr>
              <w:tab/>
            </w:r>
          </w:p>
        </w:tc>
        <w:tc>
          <w:tcPr>
            <w:tcW w:w="6369" w:type="dxa"/>
            <w:shd w:val="clear" w:color="auto" w:fill="FFFFFF"/>
            <w:vAlign w:val="bottom"/>
          </w:tcPr>
          <w:p w14:paraId="430AEC1B" w14:textId="77777777" w:rsidR="00A84EFD" w:rsidRPr="0028544C" w:rsidRDefault="00845CAB" w:rsidP="008B10AE">
            <w:pPr>
              <w:shd w:val="clear" w:color="auto" w:fill="FFFFFF"/>
              <w:jc w:val="both"/>
              <w:rPr>
                <w:sz w:val="22"/>
                <w:szCs w:val="22"/>
              </w:rPr>
            </w:pPr>
            <w:r w:rsidRPr="0028544C">
              <w:rPr>
                <w:sz w:val="22"/>
                <w:szCs w:val="22"/>
              </w:rPr>
              <w:t xml:space="preserve">Omit </w:t>
            </w:r>
            <w:r w:rsidR="0088551B" w:rsidRPr="0028544C">
              <w:rPr>
                <w:sz w:val="22"/>
                <w:szCs w:val="22"/>
              </w:rPr>
              <w:t>“</w:t>
            </w:r>
            <w:r w:rsidRPr="0028544C">
              <w:rPr>
                <w:sz w:val="22"/>
                <w:szCs w:val="22"/>
              </w:rPr>
              <w:t>$10,000</w:t>
            </w:r>
            <w:r w:rsidR="0088551B" w:rsidRPr="0028544C">
              <w:rPr>
                <w:sz w:val="22"/>
                <w:szCs w:val="22"/>
              </w:rPr>
              <w:t>”</w:t>
            </w:r>
            <w:r w:rsidRPr="0028544C">
              <w:rPr>
                <w:sz w:val="22"/>
                <w:szCs w:val="22"/>
              </w:rPr>
              <w:t xml:space="preserve">, substitute </w:t>
            </w:r>
            <w:r w:rsidR="0088551B" w:rsidRPr="0028544C">
              <w:rPr>
                <w:sz w:val="22"/>
                <w:szCs w:val="22"/>
              </w:rPr>
              <w:t>“</w:t>
            </w:r>
            <w:r w:rsidRPr="0028544C">
              <w:rPr>
                <w:sz w:val="22"/>
                <w:szCs w:val="22"/>
              </w:rPr>
              <w:t>$12,500</w:t>
            </w:r>
            <w:r w:rsidR="0088551B" w:rsidRPr="0028544C">
              <w:rPr>
                <w:sz w:val="22"/>
                <w:szCs w:val="22"/>
              </w:rPr>
              <w:t>”</w:t>
            </w:r>
            <w:r w:rsidRPr="0028544C">
              <w:rPr>
                <w:sz w:val="22"/>
                <w:szCs w:val="22"/>
              </w:rPr>
              <w:t>.</w:t>
            </w:r>
          </w:p>
        </w:tc>
      </w:tr>
      <w:tr w:rsidR="00A84EFD" w:rsidRPr="0028544C" w14:paraId="102360CE" w14:textId="77777777" w:rsidTr="00F61262">
        <w:trPr>
          <w:trHeight w:val="168"/>
          <w:jc w:val="center"/>
        </w:trPr>
        <w:tc>
          <w:tcPr>
            <w:tcW w:w="3460" w:type="dxa"/>
            <w:shd w:val="clear" w:color="auto" w:fill="FFFFFF"/>
            <w:vAlign w:val="bottom"/>
          </w:tcPr>
          <w:p w14:paraId="39EB10EB" w14:textId="7043C7CA" w:rsidR="00A84EFD" w:rsidRPr="0028544C" w:rsidRDefault="00845CAB" w:rsidP="00FB064C">
            <w:pPr>
              <w:shd w:val="clear" w:color="auto" w:fill="FFFFFF"/>
              <w:tabs>
                <w:tab w:val="left" w:leader="dot" w:pos="3168"/>
              </w:tabs>
              <w:jc w:val="both"/>
              <w:rPr>
                <w:sz w:val="22"/>
                <w:szCs w:val="22"/>
              </w:rPr>
            </w:pPr>
            <w:r w:rsidRPr="0028544C">
              <w:rPr>
                <w:sz w:val="22"/>
                <w:szCs w:val="22"/>
              </w:rPr>
              <w:t>Section 41(6)(b)</w:t>
            </w:r>
            <w:r w:rsidR="00F61262" w:rsidRPr="0028544C">
              <w:rPr>
                <w:sz w:val="22"/>
                <w:szCs w:val="22"/>
              </w:rPr>
              <w:tab/>
            </w:r>
          </w:p>
        </w:tc>
        <w:tc>
          <w:tcPr>
            <w:tcW w:w="6369" w:type="dxa"/>
            <w:shd w:val="clear" w:color="auto" w:fill="FFFFFF"/>
            <w:vAlign w:val="bottom"/>
          </w:tcPr>
          <w:p w14:paraId="09F4D1DA" w14:textId="77777777" w:rsidR="00A84EFD" w:rsidRPr="0028544C" w:rsidRDefault="00845CAB" w:rsidP="008B10AE">
            <w:pPr>
              <w:shd w:val="clear" w:color="auto" w:fill="FFFFFF"/>
              <w:jc w:val="both"/>
              <w:rPr>
                <w:sz w:val="22"/>
                <w:szCs w:val="22"/>
              </w:rPr>
            </w:pPr>
            <w:r w:rsidRPr="0028544C">
              <w:rPr>
                <w:sz w:val="22"/>
                <w:szCs w:val="22"/>
              </w:rPr>
              <w:t xml:space="preserve">Omit </w:t>
            </w:r>
            <w:r w:rsidR="0088551B" w:rsidRPr="0028544C">
              <w:rPr>
                <w:sz w:val="22"/>
                <w:szCs w:val="22"/>
              </w:rPr>
              <w:t>“</w:t>
            </w:r>
            <w:r w:rsidRPr="0028544C">
              <w:rPr>
                <w:sz w:val="22"/>
                <w:szCs w:val="22"/>
              </w:rPr>
              <w:t>$10,000</w:t>
            </w:r>
            <w:r w:rsidR="0088551B" w:rsidRPr="0028544C">
              <w:rPr>
                <w:sz w:val="22"/>
                <w:szCs w:val="22"/>
              </w:rPr>
              <w:t>”</w:t>
            </w:r>
            <w:r w:rsidRPr="0028544C">
              <w:rPr>
                <w:sz w:val="22"/>
                <w:szCs w:val="22"/>
              </w:rPr>
              <w:t xml:space="preserve">, substitute </w:t>
            </w:r>
            <w:r w:rsidR="0088551B" w:rsidRPr="0028544C">
              <w:rPr>
                <w:sz w:val="22"/>
                <w:szCs w:val="22"/>
              </w:rPr>
              <w:t>“</w:t>
            </w:r>
            <w:r w:rsidRPr="0028544C">
              <w:rPr>
                <w:sz w:val="22"/>
                <w:szCs w:val="22"/>
              </w:rPr>
              <w:t>$12,500</w:t>
            </w:r>
            <w:r w:rsidR="0088551B" w:rsidRPr="0028544C">
              <w:rPr>
                <w:sz w:val="22"/>
                <w:szCs w:val="22"/>
              </w:rPr>
              <w:t>”</w:t>
            </w:r>
            <w:r w:rsidRPr="0028544C">
              <w:rPr>
                <w:sz w:val="22"/>
                <w:szCs w:val="22"/>
              </w:rPr>
              <w:t>.</w:t>
            </w:r>
          </w:p>
        </w:tc>
      </w:tr>
      <w:tr w:rsidR="00A84EFD" w:rsidRPr="0028544C" w14:paraId="4AD06F24" w14:textId="77777777" w:rsidTr="00F61262">
        <w:trPr>
          <w:trHeight w:val="168"/>
          <w:jc w:val="center"/>
        </w:trPr>
        <w:tc>
          <w:tcPr>
            <w:tcW w:w="3460" w:type="dxa"/>
            <w:shd w:val="clear" w:color="auto" w:fill="FFFFFF"/>
            <w:vAlign w:val="bottom"/>
          </w:tcPr>
          <w:p w14:paraId="384572B0" w14:textId="73548DBC" w:rsidR="00A84EFD" w:rsidRPr="0028544C" w:rsidRDefault="00845CAB" w:rsidP="00FB064C">
            <w:pPr>
              <w:shd w:val="clear" w:color="auto" w:fill="FFFFFF"/>
              <w:tabs>
                <w:tab w:val="left" w:leader="dot" w:pos="3168"/>
              </w:tabs>
              <w:jc w:val="both"/>
              <w:rPr>
                <w:sz w:val="22"/>
                <w:szCs w:val="22"/>
              </w:rPr>
            </w:pPr>
            <w:r w:rsidRPr="0028544C">
              <w:rPr>
                <w:sz w:val="22"/>
                <w:szCs w:val="22"/>
              </w:rPr>
              <w:t>Section 42(1)</w:t>
            </w:r>
            <w:r w:rsidR="00F61262" w:rsidRPr="0028544C">
              <w:rPr>
                <w:sz w:val="22"/>
                <w:szCs w:val="22"/>
              </w:rPr>
              <w:tab/>
            </w:r>
          </w:p>
        </w:tc>
        <w:tc>
          <w:tcPr>
            <w:tcW w:w="6369" w:type="dxa"/>
            <w:shd w:val="clear" w:color="auto" w:fill="FFFFFF"/>
            <w:vAlign w:val="bottom"/>
          </w:tcPr>
          <w:p w14:paraId="5B4D9816" w14:textId="77777777" w:rsidR="00A84EFD" w:rsidRPr="0028544C" w:rsidRDefault="00845CAB" w:rsidP="008B10AE">
            <w:pPr>
              <w:shd w:val="clear" w:color="auto" w:fill="FFFFFF"/>
              <w:jc w:val="both"/>
              <w:rPr>
                <w:sz w:val="22"/>
                <w:szCs w:val="22"/>
              </w:rPr>
            </w:pPr>
            <w:r w:rsidRPr="0028544C">
              <w:rPr>
                <w:sz w:val="22"/>
                <w:szCs w:val="22"/>
              </w:rPr>
              <w:t xml:space="preserve">Omit </w:t>
            </w:r>
            <w:r w:rsidR="0088551B" w:rsidRPr="0028544C">
              <w:rPr>
                <w:sz w:val="22"/>
                <w:szCs w:val="22"/>
              </w:rPr>
              <w:t>“</w:t>
            </w:r>
            <w:r w:rsidRPr="0028544C">
              <w:rPr>
                <w:sz w:val="22"/>
                <w:szCs w:val="22"/>
              </w:rPr>
              <w:t>$2,000</w:t>
            </w:r>
            <w:r w:rsidR="0088551B" w:rsidRPr="0028544C">
              <w:rPr>
                <w:sz w:val="22"/>
                <w:szCs w:val="22"/>
              </w:rPr>
              <w:t>”</w:t>
            </w:r>
            <w:r w:rsidRPr="0028544C">
              <w:rPr>
                <w:sz w:val="22"/>
                <w:szCs w:val="22"/>
              </w:rPr>
              <w:t xml:space="preserve">, substitute </w:t>
            </w:r>
            <w:r w:rsidR="0088551B" w:rsidRPr="0028544C">
              <w:rPr>
                <w:sz w:val="22"/>
                <w:szCs w:val="22"/>
              </w:rPr>
              <w:t>“</w:t>
            </w:r>
            <w:r w:rsidRPr="0028544C">
              <w:rPr>
                <w:sz w:val="22"/>
                <w:szCs w:val="22"/>
              </w:rPr>
              <w:t>$2,500</w:t>
            </w:r>
            <w:r w:rsidR="0088551B" w:rsidRPr="0028544C">
              <w:rPr>
                <w:sz w:val="22"/>
                <w:szCs w:val="22"/>
              </w:rPr>
              <w:t>”</w:t>
            </w:r>
            <w:r w:rsidRPr="0028544C">
              <w:rPr>
                <w:sz w:val="22"/>
                <w:szCs w:val="22"/>
              </w:rPr>
              <w:t>.</w:t>
            </w:r>
          </w:p>
        </w:tc>
      </w:tr>
      <w:tr w:rsidR="00A84EFD" w:rsidRPr="0028544C" w14:paraId="61F8D799" w14:textId="77777777" w:rsidTr="00F61262">
        <w:trPr>
          <w:trHeight w:val="168"/>
          <w:jc w:val="center"/>
        </w:trPr>
        <w:tc>
          <w:tcPr>
            <w:tcW w:w="3460" w:type="dxa"/>
            <w:shd w:val="clear" w:color="auto" w:fill="FFFFFF"/>
            <w:vAlign w:val="bottom"/>
          </w:tcPr>
          <w:p w14:paraId="3944882D" w14:textId="0DCE6128" w:rsidR="00A84EFD" w:rsidRPr="0028544C" w:rsidRDefault="00845CAB" w:rsidP="00FB064C">
            <w:pPr>
              <w:shd w:val="clear" w:color="auto" w:fill="FFFFFF"/>
              <w:tabs>
                <w:tab w:val="left" w:leader="dot" w:pos="3168"/>
              </w:tabs>
              <w:jc w:val="both"/>
              <w:rPr>
                <w:sz w:val="22"/>
                <w:szCs w:val="22"/>
              </w:rPr>
            </w:pPr>
            <w:r w:rsidRPr="0028544C">
              <w:rPr>
                <w:sz w:val="22"/>
                <w:szCs w:val="22"/>
              </w:rPr>
              <w:t>Section 42(2)</w:t>
            </w:r>
            <w:r w:rsidR="00F61262" w:rsidRPr="0028544C">
              <w:rPr>
                <w:sz w:val="22"/>
                <w:szCs w:val="22"/>
              </w:rPr>
              <w:tab/>
            </w:r>
          </w:p>
        </w:tc>
        <w:tc>
          <w:tcPr>
            <w:tcW w:w="6369" w:type="dxa"/>
            <w:shd w:val="clear" w:color="auto" w:fill="FFFFFF"/>
            <w:vAlign w:val="bottom"/>
          </w:tcPr>
          <w:p w14:paraId="152906DC" w14:textId="77777777" w:rsidR="00A84EFD" w:rsidRPr="0028544C" w:rsidRDefault="00845CAB" w:rsidP="008B10AE">
            <w:pPr>
              <w:shd w:val="clear" w:color="auto" w:fill="FFFFFF"/>
              <w:jc w:val="both"/>
              <w:rPr>
                <w:sz w:val="22"/>
                <w:szCs w:val="22"/>
              </w:rPr>
            </w:pPr>
            <w:r w:rsidRPr="0028544C">
              <w:rPr>
                <w:sz w:val="22"/>
                <w:szCs w:val="22"/>
              </w:rPr>
              <w:t xml:space="preserve">Omit </w:t>
            </w:r>
            <w:r w:rsidR="0088551B" w:rsidRPr="0028544C">
              <w:rPr>
                <w:sz w:val="22"/>
                <w:szCs w:val="22"/>
              </w:rPr>
              <w:t>“</w:t>
            </w:r>
            <w:r w:rsidRPr="0028544C">
              <w:rPr>
                <w:sz w:val="22"/>
                <w:szCs w:val="22"/>
              </w:rPr>
              <w:t>$2,000</w:t>
            </w:r>
            <w:r w:rsidR="0088551B" w:rsidRPr="0028544C">
              <w:rPr>
                <w:sz w:val="22"/>
                <w:szCs w:val="22"/>
              </w:rPr>
              <w:t>”</w:t>
            </w:r>
            <w:r w:rsidRPr="0028544C">
              <w:rPr>
                <w:sz w:val="22"/>
                <w:szCs w:val="22"/>
              </w:rPr>
              <w:t xml:space="preserve">, substitute </w:t>
            </w:r>
            <w:r w:rsidR="0088551B" w:rsidRPr="0028544C">
              <w:rPr>
                <w:sz w:val="22"/>
                <w:szCs w:val="22"/>
              </w:rPr>
              <w:t>“</w:t>
            </w:r>
            <w:r w:rsidRPr="0028544C">
              <w:rPr>
                <w:sz w:val="22"/>
                <w:szCs w:val="22"/>
              </w:rPr>
              <w:t>$2,500</w:t>
            </w:r>
            <w:r w:rsidR="0088551B" w:rsidRPr="0028544C">
              <w:rPr>
                <w:sz w:val="22"/>
                <w:szCs w:val="22"/>
              </w:rPr>
              <w:t>”</w:t>
            </w:r>
            <w:r w:rsidRPr="0028544C">
              <w:rPr>
                <w:sz w:val="22"/>
                <w:szCs w:val="22"/>
              </w:rPr>
              <w:t>.</w:t>
            </w:r>
          </w:p>
        </w:tc>
      </w:tr>
      <w:tr w:rsidR="00A84EFD" w:rsidRPr="0028544C" w14:paraId="51CBA5BA" w14:textId="77777777" w:rsidTr="00F61262">
        <w:trPr>
          <w:trHeight w:val="173"/>
          <w:jc w:val="center"/>
        </w:trPr>
        <w:tc>
          <w:tcPr>
            <w:tcW w:w="3460" w:type="dxa"/>
            <w:shd w:val="clear" w:color="auto" w:fill="FFFFFF"/>
            <w:vAlign w:val="bottom"/>
          </w:tcPr>
          <w:p w14:paraId="2273F2D5" w14:textId="28DD9347" w:rsidR="00A84EFD" w:rsidRPr="0028544C" w:rsidRDefault="00845CAB" w:rsidP="00FB064C">
            <w:pPr>
              <w:shd w:val="clear" w:color="auto" w:fill="FFFFFF"/>
              <w:tabs>
                <w:tab w:val="left" w:leader="dot" w:pos="3168"/>
              </w:tabs>
              <w:jc w:val="both"/>
              <w:rPr>
                <w:sz w:val="22"/>
                <w:szCs w:val="22"/>
              </w:rPr>
            </w:pPr>
            <w:r w:rsidRPr="0028544C">
              <w:rPr>
                <w:sz w:val="22"/>
                <w:szCs w:val="22"/>
              </w:rPr>
              <w:t>Section 43(3)(a)</w:t>
            </w:r>
            <w:r w:rsidR="00F61262" w:rsidRPr="0028544C">
              <w:rPr>
                <w:sz w:val="22"/>
                <w:szCs w:val="22"/>
              </w:rPr>
              <w:tab/>
            </w:r>
          </w:p>
        </w:tc>
        <w:tc>
          <w:tcPr>
            <w:tcW w:w="6369" w:type="dxa"/>
            <w:shd w:val="clear" w:color="auto" w:fill="FFFFFF"/>
            <w:vAlign w:val="bottom"/>
          </w:tcPr>
          <w:p w14:paraId="55379E95" w14:textId="77777777" w:rsidR="00A84EFD" w:rsidRPr="0028544C" w:rsidRDefault="00845CAB" w:rsidP="008B10AE">
            <w:pPr>
              <w:shd w:val="clear" w:color="auto" w:fill="FFFFFF"/>
              <w:jc w:val="both"/>
              <w:rPr>
                <w:sz w:val="22"/>
                <w:szCs w:val="22"/>
              </w:rPr>
            </w:pPr>
            <w:r w:rsidRPr="0028544C">
              <w:rPr>
                <w:sz w:val="22"/>
                <w:szCs w:val="22"/>
              </w:rPr>
              <w:t>Omit</w:t>
            </w:r>
            <w:r w:rsidR="0088551B" w:rsidRPr="0028544C">
              <w:rPr>
                <w:sz w:val="22"/>
                <w:szCs w:val="22"/>
              </w:rPr>
              <w:t>”</w:t>
            </w:r>
            <w:r w:rsidRPr="0028544C">
              <w:rPr>
                <w:sz w:val="22"/>
                <w:szCs w:val="22"/>
              </w:rPr>
              <w:t>$20,000</w:t>
            </w:r>
            <w:r w:rsidR="0088551B" w:rsidRPr="0028544C">
              <w:rPr>
                <w:sz w:val="22"/>
                <w:szCs w:val="22"/>
              </w:rPr>
              <w:t>”</w:t>
            </w:r>
            <w:r w:rsidRPr="0028544C">
              <w:rPr>
                <w:sz w:val="22"/>
                <w:szCs w:val="22"/>
              </w:rPr>
              <w:t xml:space="preserve">, substitute </w:t>
            </w:r>
            <w:r w:rsidR="0088551B" w:rsidRPr="0028544C">
              <w:rPr>
                <w:sz w:val="22"/>
                <w:szCs w:val="22"/>
              </w:rPr>
              <w:t>“</w:t>
            </w:r>
            <w:r w:rsidRPr="0028544C">
              <w:rPr>
                <w:sz w:val="22"/>
                <w:szCs w:val="22"/>
              </w:rPr>
              <w:t>$25,000</w:t>
            </w:r>
            <w:r w:rsidR="0088551B" w:rsidRPr="0028544C">
              <w:rPr>
                <w:sz w:val="22"/>
                <w:szCs w:val="22"/>
              </w:rPr>
              <w:t>”</w:t>
            </w:r>
            <w:r w:rsidRPr="0028544C">
              <w:rPr>
                <w:sz w:val="22"/>
                <w:szCs w:val="22"/>
              </w:rPr>
              <w:t>.</w:t>
            </w:r>
          </w:p>
        </w:tc>
      </w:tr>
      <w:tr w:rsidR="00A84EFD" w:rsidRPr="0028544C" w14:paraId="1DCF1F80" w14:textId="77777777" w:rsidTr="00F61262">
        <w:trPr>
          <w:trHeight w:val="168"/>
          <w:jc w:val="center"/>
        </w:trPr>
        <w:tc>
          <w:tcPr>
            <w:tcW w:w="3460" w:type="dxa"/>
            <w:shd w:val="clear" w:color="auto" w:fill="FFFFFF"/>
            <w:vAlign w:val="bottom"/>
          </w:tcPr>
          <w:p w14:paraId="0CA1A41E" w14:textId="3B3CDC56" w:rsidR="00A84EFD" w:rsidRPr="0028544C" w:rsidRDefault="00845CAB" w:rsidP="00FB064C">
            <w:pPr>
              <w:shd w:val="clear" w:color="auto" w:fill="FFFFFF"/>
              <w:tabs>
                <w:tab w:val="left" w:leader="dot" w:pos="3168"/>
              </w:tabs>
              <w:jc w:val="both"/>
              <w:rPr>
                <w:sz w:val="22"/>
                <w:szCs w:val="22"/>
              </w:rPr>
            </w:pPr>
            <w:r w:rsidRPr="0028544C">
              <w:rPr>
                <w:sz w:val="22"/>
                <w:szCs w:val="22"/>
              </w:rPr>
              <w:t>Section 43(4)(a)</w:t>
            </w:r>
            <w:r w:rsidR="00F61262" w:rsidRPr="0028544C">
              <w:rPr>
                <w:sz w:val="22"/>
                <w:szCs w:val="22"/>
              </w:rPr>
              <w:tab/>
            </w:r>
          </w:p>
        </w:tc>
        <w:tc>
          <w:tcPr>
            <w:tcW w:w="6369" w:type="dxa"/>
            <w:shd w:val="clear" w:color="auto" w:fill="FFFFFF"/>
            <w:vAlign w:val="bottom"/>
          </w:tcPr>
          <w:p w14:paraId="3021DAAE" w14:textId="77777777" w:rsidR="00A84EFD" w:rsidRPr="0028544C" w:rsidRDefault="00845CAB" w:rsidP="008B10AE">
            <w:pPr>
              <w:shd w:val="clear" w:color="auto" w:fill="FFFFFF"/>
              <w:jc w:val="both"/>
              <w:rPr>
                <w:sz w:val="22"/>
                <w:szCs w:val="22"/>
              </w:rPr>
            </w:pPr>
            <w:r w:rsidRPr="0028544C">
              <w:rPr>
                <w:sz w:val="22"/>
                <w:szCs w:val="22"/>
              </w:rPr>
              <w:t xml:space="preserve">Omit </w:t>
            </w:r>
            <w:r w:rsidR="0088551B" w:rsidRPr="0028544C">
              <w:rPr>
                <w:sz w:val="22"/>
                <w:szCs w:val="22"/>
              </w:rPr>
              <w:t>“</w:t>
            </w:r>
            <w:r w:rsidRPr="0028544C">
              <w:rPr>
                <w:sz w:val="22"/>
                <w:szCs w:val="22"/>
              </w:rPr>
              <w:t>$20,000</w:t>
            </w:r>
            <w:r w:rsidR="0088551B" w:rsidRPr="0028544C">
              <w:rPr>
                <w:sz w:val="22"/>
                <w:szCs w:val="22"/>
              </w:rPr>
              <w:t>”</w:t>
            </w:r>
            <w:r w:rsidRPr="0028544C">
              <w:rPr>
                <w:sz w:val="22"/>
                <w:szCs w:val="22"/>
              </w:rPr>
              <w:t xml:space="preserve">, substitute </w:t>
            </w:r>
            <w:r w:rsidR="0088551B" w:rsidRPr="0028544C">
              <w:rPr>
                <w:sz w:val="22"/>
                <w:szCs w:val="22"/>
              </w:rPr>
              <w:t>“</w:t>
            </w:r>
            <w:r w:rsidRPr="0028544C">
              <w:rPr>
                <w:sz w:val="22"/>
                <w:szCs w:val="22"/>
              </w:rPr>
              <w:t>$25,000</w:t>
            </w:r>
            <w:r w:rsidR="0088551B" w:rsidRPr="0028544C">
              <w:rPr>
                <w:sz w:val="22"/>
                <w:szCs w:val="22"/>
              </w:rPr>
              <w:t>”</w:t>
            </w:r>
            <w:r w:rsidRPr="0028544C">
              <w:rPr>
                <w:sz w:val="22"/>
                <w:szCs w:val="22"/>
              </w:rPr>
              <w:t>.</w:t>
            </w:r>
          </w:p>
        </w:tc>
      </w:tr>
      <w:tr w:rsidR="00A84EFD" w:rsidRPr="0028544C" w14:paraId="02FBE013" w14:textId="77777777" w:rsidTr="00F61262">
        <w:trPr>
          <w:trHeight w:val="168"/>
          <w:jc w:val="center"/>
        </w:trPr>
        <w:tc>
          <w:tcPr>
            <w:tcW w:w="3460" w:type="dxa"/>
            <w:shd w:val="clear" w:color="auto" w:fill="FFFFFF"/>
            <w:vAlign w:val="bottom"/>
          </w:tcPr>
          <w:p w14:paraId="2DF8469F" w14:textId="31FD753B" w:rsidR="00A84EFD" w:rsidRPr="0028544C" w:rsidRDefault="00845CAB" w:rsidP="00FB064C">
            <w:pPr>
              <w:shd w:val="clear" w:color="auto" w:fill="FFFFFF"/>
              <w:tabs>
                <w:tab w:val="left" w:leader="dot" w:pos="3168"/>
              </w:tabs>
              <w:jc w:val="both"/>
              <w:rPr>
                <w:sz w:val="22"/>
                <w:szCs w:val="22"/>
              </w:rPr>
            </w:pPr>
            <w:r w:rsidRPr="0028544C">
              <w:rPr>
                <w:sz w:val="22"/>
                <w:szCs w:val="22"/>
              </w:rPr>
              <w:t>Section 43(5)</w:t>
            </w:r>
            <w:r w:rsidR="00F61262" w:rsidRPr="0028544C">
              <w:rPr>
                <w:sz w:val="22"/>
                <w:szCs w:val="22"/>
              </w:rPr>
              <w:tab/>
            </w:r>
          </w:p>
        </w:tc>
        <w:tc>
          <w:tcPr>
            <w:tcW w:w="6369" w:type="dxa"/>
            <w:shd w:val="clear" w:color="auto" w:fill="FFFFFF"/>
            <w:vAlign w:val="bottom"/>
          </w:tcPr>
          <w:p w14:paraId="28BA026D" w14:textId="77777777" w:rsidR="00A84EFD" w:rsidRPr="0028544C" w:rsidRDefault="00845CAB" w:rsidP="008B10AE">
            <w:pPr>
              <w:shd w:val="clear" w:color="auto" w:fill="FFFFFF"/>
              <w:jc w:val="both"/>
              <w:rPr>
                <w:sz w:val="22"/>
                <w:szCs w:val="22"/>
              </w:rPr>
            </w:pPr>
            <w:r w:rsidRPr="0028544C">
              <w:rPr>
                <w:sz w:val="22"/>
                <w:szCs w:val="22"/>
              </w:rPr>
              <w:t xml:space="preserve">Omit </w:t>
            </w:r>
            <w:r w:rsidR="0088551B" w:rsidRPr="0028544C">
              <w:rPr>
                <w:sz w:val="22"/>
                <w:szCs w:val="22"/>
              </w:rPr>
              <w:t>“</w:t>
            </w:r>
            <w:r w:rsidRPr="0028544C">
              <w:rPr>
                <w:sz w:val="22"/>
                <w:szCs w:val="22"/>
              </w:rPr>
              <w:t>$7</w:t>
            </w:r>
            <w:r w:rsidR="0088551B" w:rsidRPr="0028544C">
              <w:rPr>
                <w:sz w:val="22"/>
                <w:szCs w:val="22"/>
              </w:rPr>
              <w:t>”</w:t>
            </w:r>
            <w:r w:rsidRPr="0028544C">
              <w:rPr>
                <w:sz w:val="22"/>
                <w:szCs w:val="22"/>
              </w:rPr>
              <w:t xml:space="preserve">, substitute </w:t>
            </w:r>
            <w:r w:rsidR="0088551B" w:rsidRPr="0028544C">
              <w:rPr>
                <w:sz w:val="22"/>
                <w:szCs w:val="22"/>
              </w:rPr>
              <w:t>“</w:t>
            </w:r>
            <w:r w:rsidRPr="0028544C">
              <w:rPr>
                <w:sz w:val="22"/>
                <w:szCs w:val="22"/>
              </w:rPr>
              <w:t>$10</w:t>
            </w:r>
            <w:r w:rsidR="0088551B" w:rsidRPr="0028544C">
              <w:rPr>
                <w:sz w:val="22"/>
                <w:szCs w:val="22"/>
              </w:rPr>
              <w:t>”</w:t>
            </w:r>
            <w:r w:rsidRPr="0028544C">
              <w:rPr>
                <w:sz w:val="22"/>
                <w:szCs w:val="22"/>
              </w:rPr>
              <w:t>.</w:t>
            </w:r>
          </w:p>
        </w:tc>
      </w:tr>
      <w:tr w:rsidR="00A84EFD" w:rsidRPr="0028544C" w14:paraId="3E853872" w14:textId="77777777" w:rsidTr="00F61262">
        <w:trPr>
          <w:trHeight w:val="173"/>
          <w:jc w:val="center"/>
        </w:trPr>
        <w:tc>
          <w:tcPr>
            <w:tcW w:w="3460" w:type="dxa"/>
            <w:shd w:val="clear" w:color="auto" w:fill="FFFFFF"/>
            <w:vAlign w:val="bottom"/>
          </w:tcPr>
          <w:p w14:paraId="13CFEF87" w14:textId="638730FF" w:rsidR="00A84EFD" w:rsidRPr="0028544C" w:rsidRDefault="00845CAB" w:rsidP="00FB064C">
            <w:pPr>
              <w:shd w:val="clear" w:color="auto" w:fill="FFFFFF"/>
              <w:tabs>
                <w:tab w:val="left" w:leader="dot" w:pos="3168"/>
              </w:tabs>
              <w:jc w:val="both"/>
              <w:rPr>
                <w:sz w:val="22"/>
                <w:szCs w:val="22"/>
              </w:rPr>
            </w:pPr>
            <w:r w:rsidRPr="0028544C">
              <w:rPr>
                <w:sz w:val="22"/>
                <w:szCs w:val="22"/>
              </w:rPr>
              <w:t>Section 43(7)</w:t>
            </w:r>
            <w:r w:rsidR="00F61262" w:rsidRPr="0028544C">
              <w:rPr>
                <w:sz w:val="22"/>
                <w:szCs w:val="22"/>
              </w:rPr>
              <w:tab/>
            </w:r>
          </w:p>
        </w:tc>
        <w:tc>
          <w:tcPr>
            <w:tcW w:w="6369" w:type="dxa"/>
            <w:shd w:val="clear" w:color="auto" w:fill="FFFFFF"/>
            <w:vAlign w:val="bottom"/>
          </w:tcPr>
          <w:p w14:paraId="2B24D17B" w14:textId="77777777" w:rsidR="00A84EFD" w:rsidRPr="0028544C" w:rsidRDefault="00845CAB" w:rsidP="008B10AE">
            <w:pPr>
              <w:shd w:val="clear" w:color="auto" w:fill="FFFFFF"/>
              <w:jc w:val="both"/>
              <w:rPr>
                <w:sz w:val="22"/>
                <w:szCs w:val="22"/>
              </w:rPr>
            </w:pPr>
            <w:r w:rsidRPr="0028544C">
              <w:rPr>
                <w:sz w:val="22"/>
                <w:szCs w:val="22"/>
              </w:rPr>
              <w:t xml:space="preserve">Omit </w:t>
            </w:r>
            <w:r w:rsidR="0088551B" w:rsidRPr="0028544C">
              <w:rPr>
                <w:sz w:val="22"/>
                <w:szCs w:val="22"/>
              </w:rPr>
              <w:t>“</w:t>
            </w:r>
            <w:r w:rsidRPr="0028544C">
              <w:rPr>
                <w:sz w:val="22"/>
                <w:szCs w:val="22"/>
              </w:rPr>
              <w:t>$700</w:t>
            </w:r>
            <w:r w:rsidR="0088551B" w:rsidRPr="0028544C">
              <w:rPr>
                <w:sz w:val="22"/>
                <w:szCs w:val="22"/>
              </w:rPr>
              <w:t>”</w:t>
            </w:r>
            <w:r w:rsidRPr="0028544C">
              <w:rPr>
                <w:sz w:val="22"/>
                <w:szCs w:val="22"/>
              </w:rPr>
              <w:t xml:space="preserve"> (wherever occurring), substitute </w:t>
            </w:r>
            <w:r w:rsidR="0088551B" w:rsidRPr="0028544C">
              <w:rPr>
                <w:sz w:val="22"/>
                <w:szCs w:val="22"/>
              </w:rPr>
              <w:t>“</w:t>
            </w:r>
            <w:r w:rsidRPr="0028544C">
              <w:rPr>
                <w:sz w:val="22"/>
                <w:szCs w:val="22"/>
              </w:rPr>
              <w:t>$1,000</w:t>
            </w:r>
            <w:r w:rsidR="0088551B" w:rsidRPr="0028544C">
              <w:rPr>
                <w:sz w:val="22"/>
                <w:szCs w:val="22"/>
              </w:rPr>
              <w:t>”</w:t>
            </w:r>
            <w:r w:rsidRPr="0028544C">
              <w:rPr>
                <w:sz w:val="22"/>
                <w:szCs w:val="22"/>
              </w:rPr>
              <w:t>.</w:t>
            </w:r>
          </w:p>
        </w:tc>
      </w:tr>
      <w:tr w:rsidR="00A84EFD" w:rsidRPr="0028544C" w14:paraId="06AA2F21" w14:textId="77777777" w:rsidTr="00F61262">
        <w:trPr>
          <w:trHeight w:val="163"/>
          <w:jc w:val="center"/>
        </w:trPr>
        <w:tc>
          <w:tcPr>
            <w:tcW w:w="3460" w:type="dxa"/>
            <w:shd w:val="clear" w:color="auto" w:fill="FFFFFF"/>
            <w:vAlign w:val="bottom"/>
          </w:tcPr>
          <w:p w14:paraId="17D34250" w14:textId="546F9B4D" w:rsidR="00A84EFD" w:rsidRPr="0028544C" w:rsidRDefault="00845CAB" w:rsidP="00FB064C">
            <w:pPr>
              <w:shd w:val="clear" w:color="auto" w:fill="FFFFFF"/>
              <w:tabs>
                <w:tab w:val="left" w:leader="dot" w:pos="3168"/>
              </w:tabs>
              <w:jc w:val="both"/>
              <w:rPr>
                <w:sz w:val="22"/>
                <w:szCs w:val="22"/>
              </w:rPr>
            </w:pPr>
            <w:r w:rsidRPr="0028544C">
              <w:rPr>
                <w:sz w:val="22"/>
                <w:szCs w:val="22"/>
              </w:rPr>
              <w:t>Section 44(1)</w:t>
            </w:r>
            <w:r w:rsidR="00F61262" w:rsidRPr="0028544C">
              <w:rPr>
                <w:sz w:val="22"/>
                <w:szCs w:val="22"/>
              </w:rPr>
              <w:tab/>
            </w:r>
          </w:p>
        </w:tc>
        <w:tc>
          <w:tcPr>
            <w:tcW w:w="6369" w:type="dxa"/>
            <w:shd w:val="clear" w:color="auto" w:fill="FFFFFF"/>
            <w:vAlign w:val="bottom"/>
          </w:tcPr>
          <w:p w14:paraId="1EA3A2D3" w14:textId="77777777" w:rsidR="00A84EFD" w:rsidRPr="0028544C" w:rsidRDefault="00845CAB" w:rsidP="008B10AE">
            <w:pPr>
              <w:shd w:val="clear" w:color="auto" w:fill="FFFFFF"/>
              <w:jc w:val="both"/>
              <w:rPr>
                <w:sz w:val="22"/>
                <w:szCs w:val="22"/>
              </w:rPr>
            </w:pPr>
            <w:r w:rsidRPr="0028544C">
              <w:rPr>
                <w:sz w:val="22"/>
                <w:szCs w:val="22"/>
              </w:rPr>
              <w:t xml:space="preserve">Omit </w:t>
            </w:r>
            <w:r w:rsidR="0088551B" w:rsidRPr="0028544C">
              <w:rPr>
                <w:sz w:val="22"/>
                <w:szCs w:val="22"/>
              </w:rPr>
              <w:t>“</w:t>
            </w:r>
            <w:r w:rsidRPr="0028544C">
              <w:rPr>
                <w:sz w:val="22"/>
                <w:szCs w:val="22"/>
              </w:rPr>
              <w:t>$450</w:t>
            </w:r>
            <w:r w:rsidR="0088551B" w:rsidRPr="0028544C">
              <w:rPr>
                <w:sz w:val="22"/>
                <w:szCs w:val="22"/>
              </w:rPr>
              <w:t>”</w:t>
            </w:r>
            <w:r w:rsidRPr="0028544C">
              <w:rPr>
                <w:sz w:val="22"/>
                <w:szCs w:val="22"/>
              </w:rPr>
              <w:t xml:space="preserve">, substitute </w:t>
            </w:r>
            <w:r w:rsidR="0088551B" w:rsidRPr="0028544C">
              <w:rPr>
                <w:sz w:val="22"/>
                <w:szCs w:val="22"/>
              </w:rPr>
              <w:t>“</w:t>
            </w:r>
            <w:r w:rsidRPr="0028544C">
              <w:rPr>
                <w:sz w:val="22"/>
                <w:szCs w:val="22"/>
              </w:rPr>
              <w:t>$650</w:t>
            </w:r>
            <w:r w:rsidR="0088551B" w:rsidRPr="0028544C">
              <w:rPr>
                <w:sz w:val="22"/>
                <w:szCs w:val="22"/>
              </w:rPr>
              <w:t>”</w:t>
            </w:r>
            <w:r w:rsidRPr="0028544C">
              <w:rPr>
                <w:sz w:val="22"/>
                <w:szCs w:val="22"/>
              </w:rPr>
              <w:t>.</w:t>
            </w:r>
          </w:p>
        </w:tc>
      </w:tr>
      <w:tr w:rsidR="00A84EFD" w:rsidRPr="0028544C" w14:paraId="5919685B" w14:textId="77777777" w:rsidTr="00F61262">
        <w:trPr>
          <w:trHeight w:val="173"/>
          <w:jc w:val="center"/>
        </w:trPr>
        <w:tc>
          <w:tcPr>
            <w:tcW w:w="3460" w:type="dxa"/>
            <w:shd w:val="clear" w:color="auto" w:fill="FFFFFF"/>
            <w:vAlign w:val="bottom"/>
          </w:tcPr>
          <w:p w14:paraId="49DEBA7D" w14:textId="1EE7BCA6" w:rsidR="00A84EFD" w:rsidRPr="0028544C" w:rsidRDefault="00845CAB" w:rsidP="00FB064C">
            <w:pPr>
              <w:shd w:val="clear" w:color="auto" w:fill="FFFFFF"/>
              <w:tabs>
                <w:tab w:val="left" w:leader="dot" w:pos="3168"/>
              </w:tabs>
              <w:jc w:val="both"/>
              <w:rPr>
                <w:sz w:val="22"/>
                <w:szCs w:val="22"/>
              </w:rPr>
            </w:pPr>
            <w:r w:rsidRPr="0028544C">
              <w:rPr>
                <w:sz w:val="22"/>
                <w:szCs w:val="22"/>
              </w:rPr>
              <w:t>Section 45</w:t>
            </w:r>
            <w:r w:rsidR="00FB064C">
              <w:rPr>
                <w:sz w:val="22"/>
                <w:szCs w:val="22"/>
              </w:rPr>
              <w:t>(2)</w:t>
            </w:r>
            <w:r w:rsidRPr="0028544C">
              <w:rPr>
                <w:sz w:val="22"/>
                <w:szCs w:val="22"/>
              </w:rPr>
              <w:t>(a)</w:t>
            </w:r>
            <w:r w:rsidR="00F61262" w:rsidRPr="0028544C">
              <w:rPr>
                <w:sz w:val="22"/>
                <w:szCs w:val="22"/>
              </w:rPr>
              <w:tab/>
            </w:r>
          </w:p>
        </w:tc>
        <w:tc>
          <w:tcPr>
            <w:tcW w:w="6369" w:type="dxa"/>
            <w:shd w:val="clear" w:color="auto" w:fill="FFFFFF"/>
            <w:vAlign w:val="bottom"/>
          </w:tcPr>
          <w:p w14:paraId="00A51B6A" w14:textId="77777777" w:rsidR="00A84EFD" w:rsidRPr="0028544C" w:rsidRDefault="00845CAB" w:rsidP="008B10AE">
            <w:pPr>
              <w:shd w:val="clear" w:color="auto" w:fill="FFFFFF"/>
              <w:jc w:val="both"/>
              <w:rPr>
                <w:sz w:val="22"/>
                <w:szCs w:val="22"/>
              </w:rPr>
            </w:pPr>
            <w:r w:rsidRPr="0028544C">
              <w:rPr>
                <w:sz w:val="22"/>
                <w:szCs w:val="22"/>
              </w:rPr>
              <w:t xml:space="preserve">Omit </w:t>
            </w:r>
            <w:r w:rsidR="0088551B" w:rsidRPr="0028544C">
              <w:rPr>
                <w:sz w:val="22"/>
                <w:szCs w:val="22"/>
              </w:rPr>
              <w:t>“</w:t>
            </w:r>
            <w:r w:rsidRPr="0028544C">
              <w:rPr>
                <w:sz w:val="22"/>
                <w:szCs w:val="22"/>
              </w:rPr>
              <w:t>$57</w:t>
            </w:r>
            <w:r w:rsidR="0088551B" w:rsidRPr="0028544C">
              <w:rPr>
                <w:sz w:val="22"/>
                <w:szCs w:val="22"/>
              </w:rPr>
              <w:t>”</w:t>
            </w:r>
            <w:r w:rsidRPr="0028544C">
              <w:rPr>
                <w:sz w:val="22"/>
                <w:szCs w:val="22"/>
              </w:rPr>
              <w:t xml:space="preserve">, substitute </w:t>
            </w:r>
            <w:r w:rsidR="0088551B" w:rsidRPr="0028544C">
              <w:rPr>
                <w:sz w:val="22"/>
                <w:szCs w:val="22"/>
              </w:rPr>
              <w:t>“</w:t>
            </w:r>
            <w:r w:rsidRPr="0028544C">
              <w:rPr>
                <w:sz w:val="22"/>
                <w:szCs w:val="22"/>
              </w:rPr>
              <w:t>$80</w:t>
            </w:r>
            <w:r w:rsidR="0088551B" w:rsidRPr="0028544C">
              <w:rPr>
                <w:sz w:val="22"/>
                <w:szCs w:val="22"/>
              </w:rPr>
              <w:t>”</w:t>
            </w:r>
            <w:r w:rsidRPr="0028544C">
              <w:rPr>
                <w:sz w:val="22"/>
                <w:szCs w:val="22"/>
              </w:rPr>
              <w:t>.</w:t>
            </w:r>
          </w:p>
        </w:tc>
      </w:tr>
      <w:tr w:rsidR="00A84EFD" w:rsidRPr="0028544C" w14:paraId="0C66F9DD" w14:textId="77777777" w:rsidTr="00F61262">
        <w:trPr>
          <w:trHeight w:val="173"/>
          <w:jc w:val="center"/>
        </w:trPr>
        <w:tc>
          <w:tcPr>
            <w:tcW w:w="3460" w:type="dxa"/>
            <w:shd w:val="clear" w:color="auto" w:fill="FFFFFF"/>
            <w:vAlign w:val="bottom"/>
          </w:tcPr>
          <w:p w14:paraId="3EC54367" w14:textId="66B89385" w:rsidR="00A84EFD" w:rsidRPr="0028544C" w:rsidRDefault="00845CAB" w:rsidP="00FB064C">
            <w:pPr>
              <w:shd w:val="clear" w:color="auto" w:fill="FFFFFF"/>
              <w:tabs>
                <w:tab w:val="left" w:leader="dot" w:pos="3168"/>
              </w:tabs>
              <w:jc w:val="both"/>
              <w:rPr>
                <w:sz w:val="22"/>
                <w:szCs w:val="22"/>
              </w:rPr>
            </w:pPr>
            <w:r w:rsidRPr="0028544C">
              <w:rPr>
                <w:sz w:val="22"/>
                <w:szCs w:val="22"/>
              </w:rPr>
              <w:t>Section 45(3)</w:t>
            </w:r>
            <w:r w:rsidR="00F61262" w:rsidRPr="0028544C">
              <w:rPr>
                <w:sz w:val="22"/>
                <w:szCs w:val="22"/>
              </w:rPr>
              <w:tab/>
            </w:r>
          </w:p>
        </w:tc>
        <w:tc>
          <w:tcPr>
            <w:tcW w:w="6369" w:type="dxa"/>
            <w:shd w:val="clear" w:color="auto" w:fill="FFFFFF"/>
            <w:vAlign w:val="bottom"/>
          </w:tcPr>
          <w:p w14:paraId="30B78B47" w14:textId="77777777" w:rsidR="00A84EFD" w:rsidRPr="0028544C" w:rsidRDefault="00845CAB" w:rsidP="008B10AE">
            <w:pPr>
              <w:shd w:val="clear" w:color="auto" w:fill="FFFFFF"/>
              <w:jc w:val="both"/>
              <w:rPr>
                <w:sz w:val="22"/>
                <w:szCs w:val="22"/>
              </w:rPr>
            </w:pPr>
            <w:r w:rsidRPr="0028544C">
              <w:rPr>
                <w:sz w:val="22"/>
                <w:szCs w:val="22"/>
              </w:rPr>
              <w:t xml:space="preserve">Omit </w:t>
            </w:r>
            <w:r w:rsidR="0088551B" w:rsidRPr="0028544C">
              <w:rPr>
                <w:sz w:val="22"/>
                <w:szCs w:val="22"/>
              </w:rPr>
              <w:t>“</w:t>
            </w:r>
            <w:r w:rsidRPr="0028544C">
              <w:rPr>
                <w:sz w:val="22"/>
                <w:szCs w:val="22"/>
              </w:rPr>
              <w:t>$15</w:t>
            </w:r>
            <w:r w:rsidR="0088551B" w:rsidRPr="0028544C">
              <w:rPr>
                <w:sz w:val="22"/>
                <w:szCs w:val="22"/>
              </w:rPr>
              <w:t>”</w:t>
            </w:r>
            <w:r w:rsidRPr="0028544C">
              <w:rPr>
                <w:sz w:val="22"/>
                <w:szCs w:val="22"/>
              </w:rPr>
              <w:t xml:space="preserve">, substitute </w:t>
            </w:r>
            <w:r w:rsidR="0088551B" w:rsidRPr="0028544C">
              <w:rPr>
                <w:sz w:val="22"/>
                <w:szCs w:val="22"/>
              </w:rPr>
              <w:t>“</w:t>
            </w:r>
            <w:r w:rsidRPr="0028544C">
              <w:rPr>
                <w:sz w:val="22"/>
                <w:szCs w:val="22"/>
              </w:rPr>
              <w:t>$21</w:t>
            </w:r>
            <w:r w:rsidR="0088551B" w:rsidRPr="0028544C">
              <w:rPr>
                <w:sz w:val="22"/>
                <w:szCs w:val="22"/>
              </w:rPr>
              <w:t>”</w:t>
            </w:r>
            <w:r w:rsidRPr="0028544C">
              <w:rPr>
                <w:sz w:val="22"/>
                <w:szCs w:val="22"/>
              </w:rPr>
              <w:t>.</w:t>
            </w:r>
          </w:p>
        </w:tc>
      </w:tr>
      <w:tr w:rsidR="00A84EFD" w:rsidRPr="0028544C" w14:paraId="610D2343" w14:textId="77777777" w:rsidTr="00F61262">
        <w:trPr>
          <w:trHeight w:val="163"/>
          <w:jc w:val="center"/>
        </w:trPr>
        <w:tc>
          <w:tcPr>
            <w:tcW w:w="3460" w:type="dxa"/>
            <w:shd w:val="clear" w:color="auto" w:fill="FFFFFF"/>
            <w:vAlign w:val="bottom"/>
          </w:tcPr>
          <w:p w14:paraId="658C494E" w14:textId="52003693" w:rsidR="00A84EFD" w:rsidRPr="0028544C" w:rsidRDefault="00845CAB" w:rsidP="00FB064C">
            <w:pPr>
              <w:shd w:val="clear" w:color="auto" w:fill="FFFFFF"/>
              <w:tabs>
                <w:tab w:val="left" w:leader="dot" w:pos="3168"/>
              </w:tabs>
              <w:jc w:val="both"/>
              <w:rPr>
                <w:sz w:val="22"/>
                <w:szCs w:val="22"/>
              </w:rPr>
            </w:pPr>
            <w:r w:rsidRPr="0028544C">
              <w:rPr>
                <w:sz w:val="22"/>
                <w:szCs w:val="22"/>
              </w:rPr>
              <w:t>Section 45(4)</w:t>
            </w:r>
            <w:r w:rsidR="00F61262" w:rsidRPr="0028544C">
              <w:rPr>
                <w:sz w:val="22"/>
                <w:szCs w:val="22"/>
              </w:rPr>
              <w:tab/>
            </w:r>
          </w:p>
        </w:tc>
        <w:tc>
          <w:tcPr>
            <w:tcW w:w="6369" w:type="dxa"/>
            <w:shd w:val="clear" w:color="auto" w:fill="FFFFFF"/>
            <w:vAlign w:val="bottom"/>
          </w:tcPr>
          <w:p w14:paraId="51E5341D" w14:textId="77777777" w:rsidR="00A84EFD" w:rsidRPr="0028544C" w:rsidRDefault="00845CAB" w:rsidP="008B10AE">
            <w:pPr>
              <w:shd w:val="clear" w:color="auto" w:fill="FFFFFF"/>
              <w:jc w:val="both"/>
              <w:rPr>
                <w:sz w:val="22"/>
                <w:szCs w:val="22"/>
              </w:rPr>
            </w:pPr>
            <w:r w:rsidRPr="0028544C">
              <w:rPr>
                <w:sz w:val="22"/>
                <w:szCs w:val="22"/>
              </w:rPr>
              <w:t xml:space="preserve">Omit </w:t>
            </w:r>
            <w:r w:rsidR="0088551B" w:rsidRPr="0028544C">
              <w:rPr>
                <w:sz w:val="22"/>
                <w:szCs w:val="22"/>
              </w:rPr>
              <w:t>“</w:t>
            </w:r>
            <w:r w:rsidRPr="0028544C">
              <w:rPr>
                <w:sz w:val="22"/>
                <w:szCs w:val="22"/>
              </w:rPr>
              <w:t>$7</w:t>
            </w:r>
            <w:r w:rsidR="0088551B" w:rsidRPr="0028544C">
              <w:rPr>
                <w:sz w:val="22"/>
                <w:szCs w:val="22"/>
              </w:rPr>
              <w:t>”</w:t>
            </w:r>
            <w:r w:rsidRPr="0028544C">
              <w:rPr>
                <w:sz w:val="22"/>
                <w:szCs w:val="22"/>
              </w:rPr>
              <w:t xml:space="preserve">, substitute </w:t>
            </w:r>
            <w:r w:rsidR="0088551B" w:rsidRPr="0028544C">
              <w:rPr>
                <w:sz w:val="22"/>
                <w:szCs w:val="22"/>
              </w:rPr>
              <w:t>“</w:t>
            </w:r>
            <w:r w:rsidRPr="0028544C">
              <w:rPr>
                <w:sz w:val="22"/>
                <w:szCs w:val="22"/>
              </w:rPr>
              <w:t>$10</w:t>
            </w:r>
            <w:r w:rsidR="0088551B" w:rsidRPr="0028544C">
              <w:rPr>
                <w:sz w:val="22"/>
                <w:szCs w:val="22"/>
              </w:rPr>
              <w:t>”</w:t>
            </w:r>
            <w:r w:rsidRPr="0028544C">
              <w:rPr>
                <w:sz w:val="22"/>
                <w:szCs w:val="22"/>
              </w:rPr>
              <w:t>.</w:t>
            </w:r>
          </w:p>
        </w:tc>
      </w:tr>
      <w:tr w:rsidR="00A84EFD" w:rsidRPr="0028544C" w14:paraId="1D4F8E5A" w14:textId="77777777" w:rsidTr="00F61262">
        <w:trPr>
          <w:trHeight w:val="197"/>
          <w:jc w:val="center"/>
        </w:trPr>
        <w:tc>
          <w:tcPr>
            <w:tcW w:w="3460" w:type="dxa"/>
            <w:tcBorders>
              <w:bottom w:val="single" w:sz="4" w:space="0" w:color="auto"/>
            </w:tcBorders>
            <w:shd w:val="clear" w:color="auto" w:fill="FFFFFF"/>
            <w:vAlign w:val="bottom"/>
          </w:tcPr>
          <w:p w14:paraId="500E9C4D" w14:textId="19806B75" w:rsidR="00A84EFD" w:rsidRPr="0028544C" w:rsidRDefault="00845CAB" w:rsidP="00FB064C">
            <w:pPr>
              <w:shd w:val="clear" w:color="auto" w:fill="FFFFFF"/>
              <w:tabs>
                <w:tab w:val="left" w:leader="dot" w:pos="3168"/>
              </w:tabs>
              <w:jc w:val="both"/>
              <w:rPr>
                <w:sz w:val="22"/>
                <w:szCs w:val="22"/>
              </w:rPr>
            </w:pPr>
            <w:r w:rsidRPr="0028544C">
              <w:rPr>
                <w:sz w:val="22"/>
                <w:szCs w:val="22"/>
              </w:rPr>
              <w:t>Section 46(2)(a)(</w:t>
            </w:r>
            <w:proofErr w:type="spellStart"/>
            <w:r w:rsidRPr="0028544C">
              <w:rPr>
                <w:sz w:val="22"/>
                <w:szCs w:val="22"/>
              </w:rPr>
              <w:t>i</w:t>
            </w:r>
            <w:proofErr w:type="spellEnd"/>
            <w:r w:rsidRPr="0028544C">
              <w:rPr>
                <w:sz w:val="22"/>
                <w:szCs w:val="22"/>
              </w:rPr>
              <w:t>)</w:t>
            </w:r>
            <w:r w:rsidR="00F61262" w:rsidRPr="0028544C">
              <w:rPr>
                <w:sz w:val="22"/>
                <w:szCs w:val="22"/>
              </w:rPr>
              <w:tab/>
            </w:r>
          </w:p>
        </w:tc>
        <w:tc>
          <w:tcPr>
            <w:tcW w:w="6369" w:type="dxa"/>
            <w:tcBorders>
              <w:bottom w:val="single" w:sz="4" w:space="0" w:color="auto"/>
            </w:tcBorders>
            <w:shd w:val="clear" w:color="auto" w:fill="FFFFFF"/>
            <w:vAlign w:val="bottom"/>
          </w:tcPr>
          <w:p w14:paraId="5B8F2371" w14:textId="77777777" w:rsidR="00A84EFD" w:rsidRPr="0028544C" w:rsidRDefault="00845CAB" w:rsidP="008B10AE">
            <w:pPr>
              <w:shd w:val="clear" w:color="auto" w:fill="FFFFFF"/>
              <w:jc w:val="both"/>
              <w:rPr>
                <w:sz w:val="22"/>
                <w:szCs w:val="22"/>
              </w:rPr>
            </w:pPr>
            <w:r w:rsidRPr="0028544C">
              <w:rPr>
                <w:sz w:val="22"/>
                <w:szCs w:val="22"/>
              </w:rPr>
              <w:t xml:space="preserve">Omit </w:t>
            </w:r>
            <w:r w:rsidR="0088551B" w:rsidRPr="0028544C">
              <w:rPr>
                <w:sz w:val="22"/>
                <w:szCs w:val="22"/>
              </w:rPr>
              <w:t>“</w:t>
            </w:r>
            <w:r w:rsidRPr="0028544C">
              <w:rPr>
                <w:sz w:val="22"/>
                <w:szCs w:val="22"/>
              </w:rPr>
              <w:t>$57</w:t>
            </w:r>
            <w:r w:rsidR="0088551B" w:rsidRPr="0028544C">
              <w:rPr>
                <w:sz w:val="22"/>
                <w:szCs w:val="22"/>
              </w:rPr>
              <w:t>”</w:t>
            </w:r>
            <w:r w:rsidRPr="0028544C">
              <w:rPr>
                <w:sz w:val="22"/>
                <w:szCs w:val="22"/>
              </w:rPr>
              <w:t xml:space="preserve">, substitute </w:t>
            </w:r>
            <w:r w:rsidR="0088551B" w:rsidRPr="0028544C">
              <w:rPr>
                <w:sz w:val="22"/>
                <w:szCs w:val="22"/>
              </w:rPr>
              <w:t>“</w:t>
            </w:r>
            <w:r w:rsidRPr="0028544C">
              <w:rPr>
                <w:sz w:val="22"/>
                <w:szCs w:val="22"/>
              </w:rPr>
              <w:t>$80</w:t>
            </w:r>
            <w:r w:rsidR="0088551B" w:rsidRPr="0028544C">
              <w:rPr>
                <w:sz w:val="22"/>
                <w:szCs w:val="22"/>
              </w:rPr>
              <w:t>”</w:t>
            </w:r>
            <w:r w:rsidRPr="0028544C">
              <w:rPr>
                <w:sz w:val="22"/>
                <w:szCs w:val="22"/>
              </w:rPr>
              <w:t>.</w:t>
            </w:r>
          </w:p>
        </w:tc>
      </w:tr>
    </w:tbl>
    <w:p w14:paraId="4753712E" w14:textId="77777777" w:rsidR="00FB064C" w:rsidRDefault="00FB064C" w:rsidP="008B10AE">
      <w:pPr>
        <w:shd w:val="clear" w:color="auto" w:fill="FFFFFF"/>
        <w:tabs>
          <w:tab w:val="left" w:pos="4500"/>
        </w:tabs>
        <w:spacing w:before="480"/>
        <w:jc w:val="right"/>
        <w:rPr>
          <w:sz w:val="24"/>
          <w:szCs w:val="22"/>
        </w:rPr>
      </w:pPr>
    </w:p>
    <w:p w14:paraId="1014E68B" w14:textId="6729C601" w:rsidR="00A84EFD" w:rsidRPr="0028544C" w:rsidRDefault="00FD2EC3" w:rsidP="008B10AE">
      <w:pPr>
        <w:shd w:val="clear" w:color="auto" w:fill="FFFFFF"/>
        <w:tabs>
          <w:tab w:val="left" w:pos="4500"/>
        </w:tabs>
        <w:spacing w:before="480"/>
        <w:jc w:val="right"/>
        <w:rPr>
          <w:sz w:val="24"/>
          <w:szCs w:val="22"/>
        </w:rPr>
      </w:pPr>
      <w:r w:rsidRPr="0028544C">
        <w:rPr>
          <w:noProof/>
          <w:sz w:val="24"/>
          <w:szCs w:val="22"/>
          <w:lang w:val="en-AU" w:eastAsia="en-AU"/>
        </w:rPr>
        <w:lastRenderedPageBreak/>
        <mc:AlternateContent>
          <mc:Choice Requires="wps">
            <w:drawing>
              <wp:anchor distT="0" distB="0" distL="114300" distR="114300" simplePos="0" relativeHeight="251660288" behindDoc="0" locked="0" layoutInCell="1" allowOverlap="1" wp14:anchorId="412DA163" wp14:editId="0E95179A">
                <wp:simplePos x="0" y="0"/>
                <wp:positionH relativeFrom="column">
                  <wp:posOffset>2942539</wp:posOffset>
                </wp:positionH>
                <wp:positionV relativeFrom="paragraph">
                  <wp:posOffset>144526</wp:posOffset>
                </wp:positionV>
                <wp:extent cx="402336" cy="0"/>
                <wp:effectExtent l="0" t="0" r="17145" b="19050"/>
                <wp:wrapNone/>
                <wp:docPr id="2" name="Straight Connector 2"/>
                <wp:cNvGraphicFramePr/>
                <a:graphic xmlns:a="http://schemas.openxmlformats.org/drawingml/2006/main">
                  <a:graphicData uri="http://schemas.microsoft.com/office/word/2010/wordprocessingShape">
                    <wps:wsp>
                      <wps:cNvCnPr/>
                      <wps:spPr>
                        <a:xfrm>
                          <a:off x="0" y="0"/>
                          <a:ext cx="4023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6A0ED6"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31.7pt,11.4pt" to="263.4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" strokecolor="black [3040]"/>
            </w:pict>
          </mc:Fallback>
        </mc:AlternateContent>
      </w:r>
      <w:r w:rsidR="00845CAB" w:rsidRPr="0028544C">
        <w:rPr>
          <w:sz w:val="24"/>
          <w:szCs w:val="22"/>
        </w:rPr>
        <w:t>SCHEDULE 2</w:t>
      </w:r>
      <w:r w:rsidR="008B10AE" w:rsidRPr="0028544C">
        <w:rPr>
          <w:sz w:val="24"/>
          <w:szCs w:val="22"/>
        </w:rPr>
        <w:tab/>
      </w:r>
      <w:r w:rsidR="00845CAB" w:rsidRPr="0028544C">
        <w:rPr>
          <w:sz w:val="24"/>
          <w:szCs w:val="22"/>
        </w:rPr>
        <w:t>Section 8</w:t>
      </w:r>
    </w:p>
    <w:p w14:paraId="0CDD1FCA" w14:textId="77777777" w:rsidR="00A84EFD" w:rsidRPr="0028544C" w:rsidRDefault="00845CAB" w:rsidP="008B10AE">
      <w:pPr>
        <w:shd w:val="clear" w:color="auto" w:fill="FFFFFF"/>
        <w:spacing w:before="120" w:after="60"/>
        <w:jc w:val="center"/>
        <w:rPr>
          <w:sz w:val="24"/>
          <w:szCs w:val="22"/>
        </w:rPr>
      </w:pPr>
      <w:r w:rsidRPr="0028544C">
        <w:rPr>
          <w:sz w:val="24"/>
          <w:szCs w:val="22"/>
        </w:rPr>
        <w:t>FORMAL AMENDMENTS</w:t>
      </w:r>
    </w:p>
    <w:p w14:paraId="1A195231" w14:textId="77777777" w:rsidR="00A84EFD" w:rsidRPr="0028544C" w:rsidRDefault="00845CAB" w:rsidP="008B10AE">
      <w:pPr>
        <w:shd w:val="clear" w:color="auto" w:fill="FFFFFF"/>
        <w:spacing w:after="60"/>
        <w:ind w:firstLine="288"/>
        <w:jc w:val="both"/>
        <w:rPr>
          <w:sz w:val="24"/>
          <w:szCs w:val="22"/>
        </w:rPr>
      </w:pPr>
      <w:r w:rsidRPr="0028544C">
        <w:rPr>
          <w:sz w:val="24"/>
          <w:szCs w:val="22"/>
        </w:rPr>
        <w:t xml:space="preserve">1. The following provisions of the Principal Act are amended by omitting the words </w:t>
      </w:r>
      <w:r w:rsidR="0088551B" w:rsidRPr="0028544C">
        <w:rPr>
          <w:sz w:val="24"/>
          <w:szCs w:val="22"/>
        </w:rPr>
        <w:t>“</w:t>
      </w:r>
      <w:r w:rsidRPr="0028544C">
        <w:rPr>
          <w:sz w:val="24"/>
          <w:szCs w:val="22"/>
        </w:rPr>
        <w:t>of this Act</w:t>
      </w:r>
      <w:r w:rsidR="0088551B" w:rsidRPr="0028544C">
        <w:rPr>
          <w:sz w:val="24"/>
          <w:szCs w:val="22"/>
        </w:rPr>
        <w:t>”</w:t>
      </w:r>
      <w:r w:rsidRPr="0028544C">
        <w:rPr>
          <w:sz w:val="24"/>
          <w:szCs w:val="22"/>
        </w:rPr>
        <w:t xml:space="preserve">, </w:t>
      </w:r>
      <w:r w:rsidR="0088551B" w:rsidRPr="0028544C">
        <w:rPr>
          <w:sz w:val="24"/>
          <w:szCs w:val="22"/>
        </w:rPr>
        <w:t>“</w:t>
      </w:r>
      <w:r w:rsidRPr="0028544C">
        <w:rPr>
          <w:sz w:val="24"/>
          <w:szCs w:val="22"/>
        </w:rPr>
        <w:t>of this section</w:t>
      </w:r>
      <w:r w:rsidR="0088551B" w:rsidRPr="0028544C">
        <w:rPr>
          <w:sz w:val="24"/>
          <w:szCs w:val="22"/>
        </w:rPr>
        <w:t>”</w:t>
      </w:r>
      <w:r w:rsidRPr="0028544C">
        <w:rPr>
          <w:sz w:val="24"/>
          <w:szCs w:val="22"/>
        </w:rPr>
        <w:t xml:space="preserve"> and </w:t>
      </w:r>
      <w:r w:rsidR="0088551B" w:rsidRPr="0028544C">
        <w:rPr>
          <w:sz w:val="24"/>
          <w:szCs w:val="22"/>
        </w:rPr>
        <w:t>“</w:t>
      </w:r>
      <w:r w:rsidRPr="0028544C">
        <w:rPr>
          <w:sz w:val="24"/>
          <w:szCs w:val="22"/>
        </w:rPr>
        <w:t>of this Part</w:t>
      </w:r>
      <w:r w:rsidR="0088551B" w:rsidRPr="0028544C">
        <w:rPr>
          <w:sz w:val="24"/>
          <w:szCs w:val="22"/>
        </w:rPr>
        <w:t>”</w:t>
      </w:r>
      <w:r w:rsidRPr="0028544C">
        <w:rPr>
          <w:sz w:val="24"/>
          <w:szCs w:val="22"/>
        </w:rPr>
        <w:t xml:space="preserve"> (wherever occurring):</w:t>
      </w:r>
      <w:r w:rsidRPr="0028544C">
        <w:rPr>
          <w:rFonts w:eastAsia="Times New Roman"/>
          <w:sz w:val="24"/>
          <w:szCs w:val="22"/>
        </w:rPr>
        <w:t>—</w:t>
      </w:r>
    </w:p>
    <w:p w14:paraId="0C98A353" w14:textId="0DA142F8" w:rsidR="00A84EFD" w:rsidRPr="0028544C" w:rsidRDefault="00845CAB" w:rsidP="00FB064C">
      <w:pPr>
        <w:shd w:val="clear" w:color="auto" w:fill="FFFFFF"/>
        <w:spacing w:after="60"/>
        <w:ind w:firstLine="288"/>
        <w:jc w:val="both"/>
        <w:rPr>
          <w:sz w:val="24"/>
          <w:szCs w:val="22"/>
        </w:rPr>
      </w:pPr>
      <w:r w:rsidRPr="0028544C">
        <w:rPr>
          <w:sz w:val="24"/>
          <w:szCs w:val="22"/>
        </w:rPr>
        <w:t xml:space="preserve">Sections 2(1), 5(1) (definitions of </w:t>
      </w:r>
      <w:r w:rsidR="0088551B" w:rsidRPr="0028544C">
        <w:rPr>
          <w:sz w:val="24"/>
          <w:szCs w:val="22"/>
        </w:rPr>
        <w:t>“</w:t>
      </w:r>
      <w:r w:rsidRPr="0028544C">
        <w:rPr>
          <w:sz w:val="24"/>
          <w:szCs w:val="22"/>
        </w:rPr>
        <w:t>Compensation Tribunal</w:t>
      </w:r>
      <w:r w:rsidR="0088551B" w:rsidRPr="0028544C">
        <w:rPr>
          <w:sz w:val="24"/>
          <w:szCs w:val="22"/>
        </w:rPr>
        <w:t>”</w:t>
      </w:r>
      <w:r w:rsidRPr="0028544C">
        <w:rPr>
          <w:sz w:val="24"/>
          <w:szCs w:val="22"/>
        </w:rPr>
        <w:t xml:space="preserve">, </w:t>
      </w:r>
      <w:r w:rsidR="0088551B" w:rsidRPr="0028544C">
        <w:rPr>
          <w:sz w:val="24"/>
          <w:szCs w:val="22"/>
        </w:rPr>
        <w:t>“</w:t>
      </w:r>
      <w:r w:rsidRPr="0028544C">
        <w:rPr>
          <w:sz w:val="24"/>
          <w:szCs w:val="22"/>
        </w:rPr>
        <w:t>employee</w:t>
      </w:r>
      <w:r w:rsidR="0088551B" w:rsidRPr="0028544C">
        <w:rPr>
          <w:sz w:val="24"/>
          <w:szCs w:val="22"/>
        </w:rPr>
        <w:t>”</w:t>
      </w:r>
      <w:r w:rsidRPr="0028544C">
        <w:rPr>
          <w:sz w:val="24"/>
          <w:szCs w:val="22"/>
        </w:rPr>
        <w:t xml:space="preserve">, </w:t>
      </w:r>
      <w:r w:rsidR="0088551B" w:rsidRPr="0028544C">
        <w:rPr>
          <w:sz w:val="24"/>
          <w:szCs w:val="22"/>
        </w:rPr>
        <w:t>“</w:t>
      </w:r>
      <w:r w:rsidRPr="0028544C">
        <w:rPr>
          <w:sz w:val="24"/>
          <w:szCs w:val="22"/>
        </w:rPr>
        <w:t>injury</w:t>
      </w:r>
      <w:r w:rsidR="0088551B" w:rsidRPr="0028544C">
        <w:rPr>
          <w:sz w:val="24"/>
          <w:szCs w:val="22"/>
        </w:rPr>
        <w:t>”</w:t>
      </w:r>
      <w:r w:rsidRPr="0028544C">
        <w:rPr>
          <w:sz w:val="24"/>
          <w:szCs w:val="22"/>
        </w:rPr>
        <w:t xml:space="preserve">, </w:t>
      </w:r>
      <w:r w:rsidR="0088551B" w:rsidRPr="0028544C">
        <w:rPr>
          <w:sz w:val="24"/>
          <w:szCs w:val="22"/>
        </w:rPr>
        <w:t>“</w:t>
      </w:r>
      <w:r w:rsidRPr="0028544C">
        <w:rPr>
          <w:sz w:val="24"/>
          <w:szCs w:val="22"/>
        </w:rPr>
        <w:t>the Commissioner</w:t>
      </w:r>
      <w:r w:rsidR="0088551B" w:rsidRPr="0028544C">
        <w:rPr>
          <w:sz w:val="24"/>
          <w:szCs w:val="22"/>
        </w:rPr>
        <w:t>”</w:t>
      </w:r>
      <w:r w:rsidRPr="0028544C">
        <w:rPr>
          <w:sz w:val="24"/>
          <w:szCs w:val="22"/>
        </w:rPr>
        <w:t xml:space="preserve"> and </w:t>
      </w:r>
      <w:r w:rsidR="0088551B" w:rsidRPr="0028544C">
        <w:rPr>
          <w:sz w:val="24"/>
          <w:szCs w:val="22"/>
        </w:rPr>
        <w:t>“</w:t>
      </w:r>
      <w:r w:rsidRPr="0028544C">
        <w:rPr>
          <w:sz w:val="24"/>
          <w:szCs w:val="22"/>
        </w:rPr>
        <w:t>the proclaimed date</w:t>
      </w:r>
      <w:r w:rsidR="0088551B" w:rsidRPr="0028544C">
        <w:rPr>
          <w:sz w:val="24"/>
          <w:szCs w:val="22"/>
        </w:rPr>
        <w:t>”</w:t>
      </w:r>
      <w:r w:rsidRPr="0028544C">
        <w:rPr>
          <w:sz w:val="24"/>
          <w:szCs w:val="22"/>
        </w:rPr>
        <w:t>), (8) and (10), 6, 8(2)(b), (c) and (d) and (4)(b) and (c), 19(4), 23(3), 25(6) and (7), 27(3), 29(2)(b), 31(5), 32(3) and (4), 33(1) and (3)(a), 34(1), (2), (3), (4) and (5), 35, 37(5), (6) and (9)(c), 38(5)(a) and (b), 39(3), (8) and (11), 42(3), 43(2), (3)(a), (4)(a), (7)(a), (8) and (9), 45(3), (4), (6), (9) and (12), 46(5), 47(b), 49(1), (3), (4), (5) and (6)(a), 50(1)(a), 51, 52(1), (2), (3),</w:t>
      </w:r>
      <w:r w:rsidR="008B10AE" w:rsidRPr="0028544C">
        <w:rPr>
          <w:sz w:val="24"/>
          <w:szCs w:val="22"/>
        </w:rPr>
        <w:t xml:space="preserve"> </w:t>
      </w:r>
      <w:r w:rsidRPr="0028544C">
        <w:rPr>
          <w:sz w:val="24"/>
          <w:szCs w:val="22"/>
        </w:rPr>
        <w:t>(5)(b), (6)(b), (7) and (8), 53(3), 54(2)(c), (3), (4) and (6)(a), 55(3)(a) and (4), 57(3),</w:t>
      </w:r>
      <w:r w:rsidR="00FB064C">
        <w:rPr>
          <w:sz w:val="24"/>
          <w:szCs w:val="22"/>
        </w:rPr>
        <w:t xml:space="preserve"> </w:t>
      </w:r>
      <w:r w:rsidRPr="0028544C">
        <w:rPr>
          <w:sz w:val="24"/>
          <w:szCs w:val="22"/>
        </w:rPr>
        <w:t>58(</w:t>
      </w:r>
      <w:r w:rsidR="00FB064C">
        <w:rPr>
          <w:sz w:val="24"/>
          <w:szCs w:val="22"/>
        </w:rPr>
        <w:t>1</w:t>
      </w:r>
      <w:r w:rsidRPr="0028544C">
        <w:rPr>
          <w:sz w:val="24"/>
          <w:szCs w:val="22"/>
        </w:rPr>
        <w:t>)(a)</w:t>
      </w:r>
      <w:r w:rsidR="00FB064C">
        <w:rPr>
          <w:sz w:val="24"/>
          <w:szCs w:val="22"/>
        </w:rPr>
        <w:t xml:space="preserve"> </w:t>
      </w:r>
      <w:r w:rsidRPr="0028544C">
        <w:rPr>
          <w:sz w:val="24"/>
          <w:szCs w:val="22"/>
        </w:rPr>
        <w:t>and</w:t>
      </w:r>
      <w:r w:rsidR="00FB064C">
        <w:rPr>
          <w:sz w:val="24"/>
          <w:szCs w:val="22"/>
        </w:rPr>
        <w:t xml:space="preserve"> </w:t>
      </w:r>
      <w:r w:rsidRPr="0028544C">
        <w:rPr>
          <w:sz w:val="24"/>
          <w:szCs w:val="22"/>
        </w:rPr>
        <w:t>(5),</w:t>
      </w:r>
      <w:r w:rsidR="00FB064C">
        <w:rPr>
          <w:sz w:val="24"/>
          <w:szCs w:val="22"/>
        </w:rPr>
        <w:t xml:space="preserve"> </w:t>
      </w:r>
      <w:r w:rsidRPr="0028544C">
        <w:rPr>
          <w:sz w:val="24"/>
          <w:szCs w:val="22"/>
        </w:rPr>
        <w:t>60(4),</w:t>
      </w:r>
      <w:r w:rsidR="00FB064C">
        <w:rPr>
          <w:sz w:val="24"/>
          <w:szCs w:val="22"/>
        </w:rPr>
        <w:t xml:space="preserve"> </w:t>
      </w:r>
      <w:r w:rsidRPr="0028544C">
        <w:rPr>
          <w:sz w:val="24"/>
          <w:szCs w:val="22"/>
        </w:rPr>
        <w:t>61(2)(b),</w:t>
      </w:r>
      <w:r w:rsidR="00FB064C">
        <w:rPr>
          <w:sz w:val="24"/>
          <w:szCs w:val="22"/>
        </w:rPr>
        <w:t xml:space="preserve"> </w:t>
      </w:r>
      <w:r w:rsidRPr="0028544C">
        <w:rPr>
          <w:sz w:val="24"/>
          <w:szCs w:val="22"/>
        </w:rPr>
        <w:t>(3),</w:t>
      </w:r>
      <w:r w:rsidR="00FB064C">
        <w:rPr>
          <w:sz w:val="24"/>
          <w:szCs w:val="22"/>
        </w:rPr>
        <w:t xml:space="preserve"> </w:t>
      </w:r>
      <w:r w:rsidRPr="0028544C">
        <w:rPr>
          <w:sz w:val="24"/>
          <w:szCs w:val="22"/>
        </w:rPr>
        <w:t>(4)</w:t>
      </w:r>
      <w:r w:rsidR="00FB064C">
        <w:rPr>
          <w:sz w:val="24"/>
          <w:szCs w:val="22"/>
        </w:rPr>
        <w:t xml:space="preserve"> </w:t>
      </w:r>
      <w:r w:rsidRPr="0028544C">
        <w:rPr>
          <w:sz w:val="24"/>
          <w:szCs w:val="22"/>
        </w:rPr>
        <w:t>and</w:t>
      </w:r>
      <w:r w:rsidR="00FB064C">
        <w:rPr>
          <w:sz w:val="24"/>
          <w:szCs w:val="22"/>
        </w:rPr>
        <w:t xml:space="preserve"> </w:t>
      </w:r>
      <w:r w:rsidRPr="0028544C">
        <w:rPr>
          <w:sz w:val="24"/>
          <w:szCs w:val="22"/>
        </w:rPr>
        <w:t>(5),</w:t>
      </w:r>
      <w:r w:rsidR="00FB064C">
        <w:rPr>
          <w:sz w:val="24"/>
          <w:szCs w:val="22"/>
        </w:rPr>
        <w:t xml:space="preserve"> </w:t>
      </w:r>
      <w:r w:rsidRPr="0028544C">
        <w:rPr>
          <w:sz w:val="24"/>
          <w:szCs w:val="22"/>
        </w:rPr>
        <w:t>62(2),</w:t>
      </w:r>
      <w:r w:rsidR="00FB064C">
        <w:rPr>
          <w:sz w:val="24"/>
          <w:szCs w:val="22"/>
        </w:rPr>
        <w:t xml:space="preserve"> </w:t>
      </w:r>
      <w:r w:rsidRPr="0028544C">
        <w:rPr>
          <w:sz w:val="24"/>
          <w:szCs w:val="22"/>
        </w:rPr>
        <w:t>63(</w:t>
      </w:r>
      <w:r w:rsidR="00FB064C">
        <w:rPr>
          <w:sz w:val="24"/>
          <w:szCs w:val="22"/>
        </w:rPr>
        <w:t>1</w:t>
      </w:r>
      <w:r w:rsidRPr="0028544C">
        <w:rPr>
          <w:sz w:val="24"/>
          <w:szCs w:val="22"/>
        </w:rPr>
        <w:t>),</w:t>
      </w:r>
      <w:r w:rsidR="00FB064C">
        <w:rPr>
          <w:sz w:val="24"/>
          <w:szCs w:val="22"/>
        </w:rPr>
        <w:t xml:space="preserve"> </w:t>
      </w:r>
      <w:r w:rsidRPr="0028544C">
        <w:rPr>
          <w:sz w:val="24"/>
          <w:szCs w:val="22"/>
        </w:rPr>
        <w:t>(2),</w:t>
      </w:r>
      <w:r w:rsidR="00FB064C">
        <w:rPr>
          <w:sz w:val="24"/>
          <w:szCs w:val="22"/>
        </w:rPr>
        <w:t xml:space="preserve"> </w:t>
      </w:r>
      <w:r w:rsidRPr="0028544C">
        <w:rPr>
          <w:sz w:val="24"/>
          <w:szCs w:val="22"/>
        </w:rPr>
        <w:t>(5),</w:t>
      </w:r>
      <w:r w:rsidR="00FB064C">
        <w:rPr>
          <w:sz w:val="24"/>
          <w:szCs w:val="22"/>
        </w:rPr>
        <w:t xml:space="preserve"> </w:t>
      </w:r>
      <w:r w:rsidRPr="0028544C">
        <w:rPr>
          <w:sz w:val="24"/>
          <w:szCs w:val="22"/>
        </w:rPr>
        <w:t>(6),</w:t>
      </w:r>
      <w:r w:rsidR="00FB064C">
        <w:rPr>
          <w:sz w:val="24"/>
          <w:szCs w:val="22"/>
        </w:rPr>
        <w:t xml:space="preserve"> </w:t>
      </w:r>
      <w:r w:rsidRPr="0028544C">
        <w:rPr>
          <w:sz w:val="24"/>
          <w:szCs w:val="22"/>
        </w:rPr>
        <w:t>(7) and (8), 72, 74</w:t>
      </w:r>
      <w:r w:rsidR="00FB064C">
        <w:rPr>
          <w:sz w:val="24"/>
          <w:szCs w:val="22"/>
        </w:rPr>
        <w:t>(4), 76</w:t>
      </w:r>
      <w:r w:rsidRPr="0028544C">
        <w:rPr>
          <w:sz w:val="24"/>
          <w:szCs w:val="22"/>
        </w:rPr>
        <w:t>(5), 78, 85(5) and (7), 89(e), 90(5), 92(1) and (2), 97(c), 99(9), 100(3)(a), (4) and (5), 101(3), 102(1), (2) and (5), 103(5), (6) and (7), 104(3), (4), (5),</w:t>
      </w:r>
      <w:r w:rsidR="00FB064C">
        <w:rPr>
          <w:sz w:val="24"/>
          <w:szCs w:val="22"/>
        </w:rPr>
        <w:t xml:space="preserve"> </w:t>
      </w:r>
      <w:r w:rsidRPr="0028544C">
        <w:rPr>
          <w:sz w:val="24"/>
          <w:szCs w:val="22"/>
        </w:rPr>
        <w:t>(6), (7), (8), (9), (10),</w:t>
      </w:r>
      <w:r w:rsidR="00FB064C">
        <w:rPr>
          <w:sz w:val="24"/>
          <w:szCs w:val="22"/>
        </w:rPr>
        <w:t xml:space="preserve"> (11), (12), (13) and (14), 105</w:t>
      </w:r>
      <w:r w:rsidRPr="0028544C">
        <w:rPr>
          <w:sz w:val="24"/>
          <w:szCs w:val="22"/>
        </w:rPr>
        <w:t>(2), 107(1), (8) and (9), 108(2) and (3), 117(3) and (4) and 123(1)(b).</w:t>
      </w:r>
    </w:p>
    <w:p w14:paraId="56BE6544" w14:textId="77777777" w:rsidR="00A84EFD" w:rsidRPr="0028544C" w:rsidRDefault="00845CAB" w:rsidP="008B10AE">
      <w:pPr>
        <w:shd w:val="clear" w:color="auto" w:fill="FFFFFF"/>
        <w:spacing w:after="60"/>
        <w:ind w:firstLine="288"/>
        <w:jc w:val="both"/>
        <w:rPr>
          <w:sz w:val="24"/>
          <w:szCs w:val="22"/>
        </w:rPr>
      </w:pPr>
      <w:r w:rsidRPr="0028544C">
        <w:rPr>
          <w:sz w:val="24"/>
          <w:szCs w:val="22"/>
        </w:rPr>
        <w:t>2. The Principal Act is further amended as set out in the following table:</w:t>
      </w:r>
      <w:r w:rsidRPr="0028544C">
        <w:rPr>
          <w:rFonts w:eastAsia="Times New Roman"/>
          <w:sz w:val="24"/>
          <w:szCs w:val="22"/>
        </w:rPr>
        <w:t>—</w:t>
      </w:r>
    </w:p>
    <w:tbl>
      <w:tblPr>
        <w:tblW w:w="5000" w:type="pct"/>
        <w:jc w:val="center"/>
        <w:tblLayout w:type="fixed"/>
        <w:tblCellMar>
          <w:left w:w="40" w:type="dxa"/>
          <w:right w:w="40" w:type="dxa"/>
        </w:tblCellMar>
        <w:tblLook w:val="0000" w:firstRow="0" w:lastRow="0" w:firstColumn="0" w:lastColumn="0" w:noHBand="0" w:noVBand="0"/>
      </w:tblPr>
      <w:tblGrid>
        <w:gridCol w:w="3460"/>
        <w:gridCol w:w="6369"/>
      </w:tblGrid>
      <w:tr w:rsidR="00A84EFD" w:rsidRPr="0028544C" w14:paraId="51BA4589" w14:textId="77777777" w:rsidTr="0028544C">
        <w:trPr>
          <w:trHeight w:val="377"/>
          <w:jc w:val="center"/>
        </w:trPr>
        <w:tc>
          <w:tcPr>
            <w:tcW w:w="3460" w:type="dxa"/>
            <w:tcBorders>
              <w:top w:val="single" w:sz="4" w:space="0" w:color="auto"/>
              <w:bottom w:val="single" w:sz="4" w:space="0" w:color="auto"/>
            </w:tcBorders>
            <w:shd w:val="clear" w:color="auto" w:fill="FFFFFF"/>
            <w:vAlign w:val="center"/>
          </w:tcPr>
          <w:p w14:paraId="613FD1CB" w14:textId="77777777" w:rsidR="00A84EFD" w:rsidRPr="0028544C" w:rsidRDefault="00845CAB" w:rsidP="0028544C">
            <w:pPr>
              <w:shd w:val="clear" w:color="auto" w:fill="FFFFFF"/>
              <w:rPr>
                <w:sz w:val="22"/>
                <w:szCs w:val="22"/>
              </w:rPr>
            </w:pPr>
            <w:r w:rsidRPr="0028544C">
              <w:rPr>
                <w:sz w:val="22"/>
                <w:szCs w:val="22"/>
              </w:rPr>
              <w:t>Provision</w:t>
            </w:r>
          </w:p>
        </w:tc>
        <w:tc>
          <w:tcPr>
            <w:tcW w:w="6369" w:type="dxa"/>
            <w:tcBorders>
              <w:top w:val="single" w:sz="4" w:space="0" w:color="auto"/>
              <w:bottom w:val="single" w:sz="4" w:space="0" w:color="auto"/>
            </w:tcBorders>
            <w:shd w:val="clear" w:color="auto" w:fill="FFFFFF"/>
            <w:vAlign w:val="center"/>
          </w:tcPr>
          <w:p w14:paraId="68604EC2" w14:textId="77777777" w:rsidR="00A84EFD" w:rsidRPr="0028544C" w:rsidRDefault="00845CAB" w:rsidP="0028544C">
            <w:pPr>
              <w:shd w:val="clear" w:color="auto" w:fill="FFFFFF"/>
              <w:rPr>
                <w:sz w:val="22"/>
                <w:szCs w:val="22"/>
              </w:rPr>
            </w:pPr>
            <w:r w:rsidRPr="0028544C">
              <w:rPr>
                <w:sz w:val="22"/>
                <w:szCs w:val="22"/>
              </w:rPr>
              <w:t>Amendment</w:t>
            </w:r>
          </w:p>
        </w:tc>
      </w:tr>
      <w:tr w:rsidR="00A84EFD" w:rsidRPr="0028544C" w14:paraId="753447E6" w14:textId="77777777" w:rsidTr="00265B26">
        <w:trPr>
          <w:trHeight w:val="461"/>
          <w:jc w:val="center"/>
        </w:trPr>
        <w:tc>
          <w:tcPr>
            <w:tcW w:w="3460" w:type="dxa"/>
            <w:tcBorders>
              <w:top w:val="single" w:sz="4" w:space="0" w:color="auto"/>
            </w:tcBorders>
            <w:shd w:val="clear" w:color="auto" w:fill="FFFFFF"/>
          </w:tcPr>
          <w:p w14:paraId="720A8989" w14:textId="0066AE54" w:rsidR="00A84EFD" w:rsidRPr="0028544C" w:rsidRDefault="00845CAB" w:rsidP="00FB064C">
            <w:pPr>
              <w:shd w:val="clear" w:color="auto" w:fill="FFFFFF"/>
              <w:tabs>
                <w:tab w:val="left" w:leader="dot" w:pos="3168"/>
              </w:tabs>
              <w:jc w:val="both"/>
              <w:rPr>
                <w:sz w:val="22"/>
                <w:szCs w:val="22"/>
              </w:rPr>
            </w:pPr>
            <w:r w:rsidRPr="0028544C">
              <w:rPr>
                <w:sz w:val="22"/>
                <w:szCs w:val="22"/>
              </w:rPr>
              <w:t>Section</w:t>
            </w:r>
            <w:r w:rsidR="00C312B9">
              <w:rPr>
                <w:sz w:val="22"/>
                <w:szCs w:val="22"/>
              </w:rPr>
              <w:t xml:space="preserve"> </w:t>
            </w:r>
            <w:r w:rsidRPr="0028544C">
              <w:rPr>
                <w:sz w:val="22"/>
                <w:szCs w:val="22"/>
              </w:rPr>
              <w:t>4(1)</w:t>
            </w:r>
            <w:r w:rsidR="005A47E0" w:rsidRPr="0028544C">
              <w:rPr>
                <w:sz w:val="22"/>
                <w:szCs w:val="22"/>
              </w:rPr>
              <w:tab/>
            </w:r>
          </w:p>
        </w:tc>
        <w:tc>
          <w:tcPr>
            <w:tcW w:w="6369" w:type="dxa"/>
            <w:tcBorders>
              <w:top w:val="single" w:sz="4" w:space="0" w:color="auto"/>
            </w:tcBorders>
            <w:shd w:val="clear" w:color="auto" w:fill="FFFFFF"/>
          </w:tcPr>
          <w:p w14:paraId="194B34C6" w14:textId="77777777" w:rsidR="00A84EFD" w:rsidRPr="0028544C" w:rsidRDefault="00845CAB" w:rsidP="008B10AE">
            <w:pPr>
              <w:shd w:val="clear" w:color="auto" w:fill="FFFFFF"/>
              <w:jc w:val="both"/>
              <w:rPr>
                <w:sz w:val="22"/>
                <w:szCs w:val="22"/>
              </w:rPr>
            </w:pPr>
            <w:r w:rsidRPr="0028544C">
              <w:rPr>
                <w:sz w:val="22"/>
                <w:szCs w:val="22"/>
              </w:rPr>
              <w:t xml:space="preserve">Omit </w:t>
            </w:r>
            <w:r w:rsidR="0088551B" w:rsidRPr="0028544C">
              <w:rPr>
                <w:sz w:val="22"/>
                <w:szCs w:val="22"/>
              </w:rPr>
              <w:t>“</w:t>
            </w:r>
            <w:r w:rsidRPr="0028544C">
              <w:rPr>
                <w:sz w:val="22"/>
                <w:szCs w:val="22"/>
              </w:rPr>
              <w:t>the First Schedule to this Act</w:t>
            </w:r>
            <w:r w:rsidR="0088551B" w:rsidRPr="0028544C">
              <w:rPr>
                <w:sz w:val="22"/>
                <w:szCs w:val="22"/>
              </w:rPr>
              <w:t>”</w:t>
            </w:r>
            <w:r w:rsidRPr="0028544C">
              <w:rPr>
                <w:sz w:val="22"/>
                <w:szCs w:val="22"/>
              </w:rPr>
              <w:t xml:space="preserve">, substitute </w:t>
            </w:r>
            <w:r w:rsidR="0088551B" w:rsidRPr="0028544C">
              <w:rPr>
                <w:sz w:val="22"/>
                <w:szCs w:val="22"/>
              </w:rPr>
              <w:t>“</w:t>
            </w:r>
            <w:r w:rsidRPr="0028544C">
              <w:rPr>
                <w:sz w:val="22"/>
                <w:szCs w:val="22"/>
              </w:rPr>
              <w:t>Schedule 1</w:t>
            </w:r>
            <w:r w:rsidR="0088551B" w:rsidRPr="0028544C">
              <w:rPr>
                <w:sz w:val="22"/>
                <w:szCs w:val="22"/>
              </w:rPr>
              <w:t>”</w:t>
            </w:r>
            <w:r w:rsidRPr="0028544C">
              <w:rPr>
                <w:sz w:val="22"/>
                <w:szCs w:val="22"/>
              </w:rPr>
              <w:t>.</w:t>
            </w:r>
          </w:p>
        </w:tc>
      </w:tr>
      <w:tr w:rsidR="00A84EFD" w:rsidRPr="0028544C" w14:paraId="297C589E" w14:textId="77777777" w:rsidTr="00265B26">
        <w:trPr>
          <w:trHeight w:val="187"/>
          <w:jc w:val="center"/>
        </w:trPr>
        <w:tc>
          <w:tcPr>
            <w:tcW w:w="3460" w:type="dxa"/>
            <w:shd w:val="clear" w:color="auto" w:fill="FFFFFF"/>
          </w:tcPr>
          <w:p w14:paraId="71B736B1" w14:textId="614A7490" w:rsidR="00A84EFD" w:rsidRPr="0028544C" w:rsidRDefault="00845CAB" w:rsidP="00FB064C">
            <w:pPr>
              <w:shd w:val="clear" w:color="auto" w:fill="FFFFFF"/>
              <w:tabs>
                <w:tab w:val="left" w:leader="dot" w:pos="3168"/>
              </w:tabs>
              <w:jc w:val="both"/>
              <w:rPr>
                <w:sz w:val="22"/>
                <w:szCs w:val="22"/>
              </w:rPr>
            </w:pPr>
            <w:r w:rsidRPr="0028544C">
              <w:rPr>
                <w:sz w:val="22"/>
                <w:szCs w:val="22"/>
              </w:rPr>
              <w:t>Section 8(1)</w:t>
            </w:r>
            <w:r w:rsidR="005A47E0" w:rsidRPr="0028544C">
              <w:rPr>
                <w:sz w:val="22"/>
                <w:szCs w:val="22"/>
              </w:rPr>
              <w:tab/>
            </w:r>
          </w:p>
        </w:tc>
        <w:tc>
          <w:tcPr>
            <w:tcW w:w="6369" w:type="dxa"/>
            <w:shd w:val="clear" w:color="auto" w:fill="FFFFFF"/>
          </w:tcPr>
          <w:p w14:paraId="1CBA131F" w14:textId="69E32D0C" w:rsidR="00A84EFD" w:rsidRPr="0028544C" w:rsidRDefault="00845CAB" w:rsidP="00FB064C">
            <w:pPr>
              <w:shd w:val="clear" w:color="auto" w:fill="FFFFFF"/>
              <w:jc w:val="both"/>
              <w:rPr>
                <w:sz w:val="22"/>
                <w:szCs w:val="22"/>
              </w:rPr>
            </w:pPr>
            <w:r w:rsidRPr="0028544C">
              <w:rPr>
                <w:sz w:val="22"/>
                <w:szCs w:val="22"/>
              </w:rPr>
              <w:t xml:space="preserve">Omit </w:t>
            </w:r>
            <w:r w:rsidR="0088551B" w:rsidRPr="0028544C">
              <w:rPr>
                <w:sz w:val="22"/>
                <w:szCs w:val="22"/>
              </w:rPr>
              <w:t>“</w:t>
            </w:r>
            <w:r w:rsidRPr="0028544C">
              <w:rPr>
                <w:sz w:val="22"/>
                <w:szCs w:val="22"/>
              </w:rPr>
              <w:t>of this sub-section</w:t>
            </w:r>
            <w:r w:rsidR="00FB064C">
              <w:rPr>
                <w:sz w:val="22"/>
                <w:szCs w:val="22"/>
              </w:rPr>
              <w:t>”</w:t>
            </w:r>
            <w:r w:rsidRPr="0028544C">
              <w:rPr>
                <w:sz w:val="22"/>
                <w:szCs w:val="22"/>
              </w:rPr>
              <w:t>.</w:t>
            </w:r>
          </w:p>
        </w:tc>
      </w:tr>
      <w:tr w:rsidR="00A84EFD" w:rsidRPr="0028544C" w14:paraId="6325259C" w14:textId="77777777" w:rsidTr="00265B26">
        <w:trPr>
          <w:trHeight w:val="178"/>
          <w:jc w:val="center"/>
        </w:trPr>
        <w:tc>
          <w:tcPr>
            <w:tcW w:w="3460" w:type="dxa"/>
            <w:shd w:val="clear" w:color="auto" w:fill="FFFFFF"/>
          </w:tcPr>
          <w:p w14:paraId="22605C66" w14:textId="7D953CCD" w:rsidR="00A84EFD" w:rsidRPr="0028544C" w:rsidRDefault="00845CAB" w:rsidP="00FB064C">
            <w:pPr>
              <w:shd w:val="clear" w:color="auto" w:fill="FFFFFF"/>
              <w:tabs>
                <w:tab w:val="left" w:leader="dot" w:pos="3168"/>
              </w:tabs>
              <w:jc w:val="both"/>
              <w:rPr>
                <w:sz w:val="22"/>
                <w:szCs w:val="22"/>
              </w:rPr>
            </w:pPr>
            <w:r w:rsidRPr="0028544C">
              <w:rPr>
                <w:sz w:val="22"/>
                <w:szCs w:val="22"/>
              </w:rPr>
              <w:t>Section 8(3)</w:t>
            </w:r>
            <w:r w:rsidR="005A47E0" w:rsidRPr="0028544C">
              <w:rPr>
                <w:sz w:val="22"/>
                <w:szCs w:val="22"/>
              </w:rPr>
              <w:tab/>
            </w:r>
          </w:p>
        </w:tc>
        <w:tc>
          <w:tcPr>
            <w:tcW w:w="6369" w:type="dxa"/>
            <w:shd w:val="clear" w:color="auto" w:fill="FFFFFF"/>
          </w:tcPr>
          <w:p w14:paraId="65C574F7" w14:textId="77777777" w:rsidR="00A84EFD" w:rsidRPr="0028544C" w:rsidRDefault="00845CAB" w:rsidP="008B10AE">
            <w:pPr>
              <w:shd w:val="clear" w:color="auto" w:fill="FFFFFF"/>
              <w:jc w:val="both"/>
              <w:rPr>
                <w:sz w:val="22"/>
                <w:szCs w:val="22"/>
              </w:rPr>
            </w:pPr>
            <w:r w:rsidRPr="0028544C">
              <w:rPr>
                <w:sz w:val="22"/>
                <w:szCs w:val="22"/>
              </w:rPr>
              <w:t xml:space="preserve">Omit </w:t>
            </w:r>
            <w:r w:rsidR="0088551B" w:rsidRPr="0028544C">
              <w:rPr>
                <w:sz w:val="22"/>
                <w:szCs w:val="22"/>
              </w:rPr>
              <w:t>“</w:t>
            </w:r>
            <w:r w:rsidRPr="0028544C">
              <w:rPr>
                <w:sz w:val="22"/>
                <w:szCs w:val="22"/>
              </w:rPr>
              <w:t>of this Act</w:t>
            </w:r>
            <w:r w:rsidR="0088551B" w:rsidRPr="0028544C">
              <w:rPr>
                <w:sz w:val="22"/>
                <w:szCs w:val="22"/>
              </w:rPr>
              <w:t>”</w:t>
            </w:r>
            <w:r w:rsidRPr="0028544C">
              <w:rPr>
                <w:sz w:val="22"/>
                <w:szCs w:val="22"/>
              </w:rPr>
              <w:t xml:space="preserve"> (second occurring).</w:t>
            </w:r>
          </w:p>
        </w:tc>
      </w:tr>
      <w:tr w:rsidR="00A84EFD" w:rsidRPr="0028544C" w14:paraId="04D904FC" w14:textId="77777777" w:rsidTr="00265B26">
        <w:trPr>
          <w:trHeight w:val="355"/>
          <w:jc w:val="center"/>
        </w:trPr>
        <w:tc>
          <w:tcPr>
            <w:tcW w:w="3460" w:type="dxa"/>
            <w:shd w:val="clear" w:color="auto" w:fill="FFFFFF"/>
          </w:tcPr>
          <w:p w14:paraId="2320B182" w14:textId="77777777" w:rsidR="00A84EFD" w:rsidRPr="0028544C" w:rsidRDefault="00845CAB" w:rsidP="005A47E0">
            <w:pPr>
              <w:shd w:val="clear" w:color="auto" w:fill="FFFFFF"/>
              <w:tabs>
                <w:tab w:val="left" w:leader="dot" w:pos="3168"/>
              </w:tabs>
              <w:jc w:val="both"/>
              <w:rPr>
                <w:sz w:val="22"/>
                <w:szCs w:val="22"/>
              </w:rPr>
            </w:pPr>
            <w:r w:rsidRPr="0028544C">
              <w:rPr>
                <w:sz w:val="22"/>
                <w:szCs w:val="22"/>
              </w:rPr>
              <w:t>Section 16</w:t>
            </w:r>
            <w:r w:rsidR="005A47E0" w:rsidRPr="0028544C">
              <w:rPr>
                <w:sz w:val="22"/>
                <w:szCs w:val="22"/>
              </w:rPr>
              <w:tab/>
            </w:r>
          </w:p>
        </w:tc>
        <w:tc>
          <w:tcPr>
            <w:tcW w:w="6369" w:type="dxa"/>
            <w:shd w:val="clear" w:color="auto" w:fill="FFFFFF"/>
          </w:tcPr>
          <w:p w14:paraId="384687EB" w14:textId="77777777" w:rsidR="00A84EFD" w:rsidRPr="0028544C" w:rsidRDefault="00845CAB" w:rsidP="008B10AE">
            <w:pPr>
              <w:shd w:val="clear" w:color="auto" w:fill="FFFFFF"/>
              <w:jc w:val="both"/>
              <w:rPr>
                <w:sz w:val="22"/>
                <w:szCs w:val="22"/>
              </w:rPr>
            </w:pPr>
            <w:r w:rsidRPr="0028544C">
              <w:rPr>
                <w:sz w:val="22"/>
                <w:szCs w:val="22"/>
              </w:rPr>
              <w:t xml:space="preserve">Omit </w:t>
            </w:r>
            <w:r w:rsidR="0088551B" w:rsidRPr="0028544C">
              <w:rPr>
                <w:sz w:val="22"/>
                <w:szCs w:val="22"/>
              </w:rPr>
              <w:t>“</w:t>
            </w:r>
            <w:r w:rsidRPr="0028544C">
              <w:rPr>
                <w:sz w:val="22"/>
                <w:szCs w:val="22"/>
              </w:rPr>
              <w:t>Public Service of the Commonwealth</w:t>
            </w:r>
            <w:r w:rsidR="0088551B" w:rsidRPr="0028544C">
              <w:rPr>
                <w:sz w:val="22"/>
                <w:szCs w:val="22"/>
              </w:rPr>
              <w:t>”</w:t>
            </w:r>
            <w:r w:rsidRPr="0028544C">
              <w:rPr>
                <w:sz w:val="22"/>
                <w:szCs w:val="22"/>
              </w:rPr>
              <w:t xml:space="preserve"> (wherever occurring), substitute </w:t>
            </w:r>
            <w:r w:rsidR="0088551B" w:rsidRPr="0028544C">
              <w:rPr>
                <w:sz w:val="22"/>
                <w:szCs w:val="22"/>
              </w:rPr>
              <w:t>“</w:t>
            </w:r>
            <w:r w:rsidRPr="0028544C">
              <w:rPr>
                <w:sz w:val="22"/>
                <w:szCs w:val="22"/>
              </w:rPr>
              <w:t>Australian Public Service</w:t>
            </w:r>
            <w:r w:rsidR="0088551B" w:rsidRPr="0028544C">
              <w:rPr>
                <w:sz w:val="22"/>
                <w:szCs w:val="22"/>
              </w:rPr>
              <w:t>”</w:t>
            </w:r>
            <w:r w:rsidRPr="0028544C">
              <w:rPr>
                <w:sz w:val="22"/>
                <w:szCs w:val="22"/>
              </w:rPr>
              <w:t>.</w:t>
            </w:r>
          </w:p>
        </w:tc>
      </w:tr>
      <w:tr w:rsidR="00A84EFD" w:rsidRPr="0028544C" w14:paraId="568DD9CC" w14:textId="77777777" w:rsidTr="00265B26">
        <w:trPr>
          <w:trHeight w:val="355"/>
          <w:jc w:val="center"/>
        </w:trPr>
        <w:tc>
          <w:tcPr>
            <w:tcW w:w="3460" w:type="dxa"/>
            <w:shd w:val="clear" w:color="auto" w:fill="FFFFFF"/>
          </w:tcPr>
          <w:p w14:paraId="14A0FD62" w14:textId="7E92EDD2" w:rsidR="00A84EFD" w:rsidRPr="0028544C" w:rsidRDefault="00845CAB" w:rsidP="00FB064C">
            <w:pPr>
              <w:shd w:val="clear" w:color="auto" w:fill="FFFFFF"/>
              <w:tabs>
                <w:tab w:val="left" w:leader="dot" w:pos="3168"/>
              </w:tabs>
              <w:jc w:val="both"/>
              <w:rPr>
                <w:sz w:val="22"/>
                <w:szCs w:val="22"/>
              </w:rPr>
            </w:pPr>
            <w:r w:rsidRPr="0028544C">
              <w:rPr>
                <w:sz w:val="22"/>
                <w:szCs w:val="22"/>
              </w:rPr>
              <w:t>Section 18(1)</w:t>
            </w:r>
            <w:r w:rsidR="005A47E0" w:rsidRPr="0028544C">
              <w:rPr>
                <w:sz w:val="22"/>
                <w:szCs w:val="22"/>
              </w:rPr>
              <w:tab/>
            </w:r>
          </w:p>
        </w:tc>
        <w:tc>
          <w:tcPr>
            <w:tcW w:w="6369" w:type="dxa"/>
            <w:shd w:val="clear" w:color="auto" w:fill="FFFFFF"/>
          </w:tcPr>
          <w:p w14:paraId="7F25572A" w14:textId="77777777" w:rsidR="00A84EFD" w:rsidRPr="0028544C" w:rsidRDefault="00845CAB" w:rsidP="008B10AE">
            <w:pPr>
              <w:shd w:val="clear" w:color="auto" w:fill="FFFFFF"/>
              <w:jc w:val="both"/>
              <w:rPr>
                <w:sz w:val="22"/>
                <w:szCs w:val="22"/>
              </w:rPr>
            </w:pPr>
            <w:r w:rsidRPr="0028544C">
              <w:rPr>
                <w:sz w:val="22"/>
                <w:szCs w:val="22"/>
              </w:rPr>
              <w:t xml:space="preserve">Omit </w:t>
            </w:r>
            <w:r w:rsidR="0088551B" w:rsidRPr="0028544C">
              <w:rPr>
                <w:sz w:val="22"/>
                <w:szCs w:val="22"/>
              </w:rPr>
              <w:t>“</w:t>
            </w:r>
            <w:r w:rsidRPr="0028544C">
              <w:rPr>
                <w:sz w:val="22"/>
                <w:szCs w:val="22"/>
              </w:rPr>
              <w:t>the Second Schedule to this Act</w:t>
            </w:r>
            <w:r w:rsidR="0088551B" w:rsidRPr="0028544C">
              <w:rPr>
                <w:sz w:val="22"/>
                <w:szCs w:val="22"/>
              </w:rPr>
              <w:t>”</w:t>
            </w:r>
            <w:r w:rsidRPr="0028544C">
              <w:rPr>
                <w:sz w:val="22"/>
                <w:szCs w:val="22"/>
              </w:rPr>
              <w:t xml:space="preserve">, substitute </w:t>
            </w:r>
            <w:r w:rsidR="0088551B" w:rsidRPr="0028544C">
              <w:rPr>
                <w:sz w:val="22"/>
                <w:szCs w:val="22"/>
              </w:rPr>
              <w:t>“</w:t>
            </w:r>
            <w:r w:rsidRPr="0028544C">
              <w:rPr>
                <w:sz w:val="22"/>
                <w:szCs w:val="22"/>
              </w:rPr>
              <w:t>Schedule 2</w:t>
            </w:r>
            <w:r w:rsidR="0088551B" w:rsidRPr="0028544C">
              <w:rPr>
                <w:sz w:val="22"/>
                <w:szCs w:val="22"/>
              </w:rPr>
              <w:t>”</w:t>
            </w:r>
            <w:r w:rsidRPr="0028544C">
              <w:rPr>
                <w:sz w:val="22"/>
                <w:szCs w:val="22"/>
              </w:rPr>
              <w:t>.</w:t>
            </w:r>
          </w:p>
        </w:tc>
      </w:tr>
      <w:tr w:rsidR="00A84EFD" w:rsidRPr="0028544C" w14:paraId="0D6CCD6C" w14:textId="77777777" w:rsidTr="00265B26">
        <w:trPr>
          <w:trHeight w:val="360"/>
          <w:jc w:val="center"/>
        </w:trPr>
        <w:tc>
          <w:tcPr>
            <w:tcW w:w="3460" w:type="dxa"/>
            <w:shd w:val="clear" w:color="auto" w:fill="FFFFFF"/>
          </w:tcPr>
          <w:p w14:paraId="1AE9448C" w14:textId="041E93A5" w:rsidR="00A84EFD" w:rsidRPr="0028544C" w:rsidRDefault="00845CAB" w:rsidP="00FB064C">
            <w:pPr>
              <w:shd w:val="clear" w:color="auto" w:fill="FFFFFF"/>
              <w:tabs>
                <w:tab w:val="left" w:leader="dot" w:pos="3168"/>
              </w:tabs>
              <w:jc w:val="both"/>
              <w:rPr>
                <w:sz w:val="22"/>
                <w:szCs w:val="22"/>
              </w:rPr>
            </w:pPr>
            <w:r w:rsidRPr="0028544C">
              <w:rPr>
                <w:sz w:val="22"/>
                <w:szCs w:val="22"/>
              </w:rPr>
              <w:t>Section 24(4)</w:t>
            </w:r>
            <w:r w:rsidR="005A47E0" w:rsidRPr="0028544C">
              <w:rPr>
                <w:sz w:val="22"/>
                <w:szCs w:val="22"/>
              </w:rPr>
              <w:tab/>
            </w:r>
          </w:p>
        </w:tc>
        <w:tc>
          <w:tcPr>
            <w:tcW w:w="6369" w:type="dxa"/>
            <w:shd w:val="clear" w:color="auto" w:fill="FFFFFF"/>
          </w:tcPr>
          <w:p w14:paraId="01F775BF" w14:textId="77777777" w:rsidR="00A84EFD" w:rsidRPr="0028544C" w:rsidRDefault="00845CAB" w:rsidP="008B10AE">
            <w:pPr>
              <w:shd w:val="clear" w:color="auto" w:fill="FFFFFF"/>
              <w:jc w:val="both"/>
              <w:rPr>
                <w:sz w:val="22"/>
                <w:szCs w:val="22"/>
              </w:rPr>
            </w:pPr>
            <w:r w:rsidRPr="0028544C">
              <w:rPr>
                <w:sz w:val="22"/>
                <w:szCs w:val="22"/>
              </w:rPr>
              <w:t xml:space="preserve">Omit </w:t>
            </w:r>
            <w:r w:rsidR="0088551B" w:rsidRPr="0028544C">
              <w:rPr>
                <w:sz w:val="22"/>
                <w:szCs w:val="22"/>
              </w:rPr>
              <w:t>“</w:t>
            </w:r>
            <w:r w:rsidRPr="0028544C">
              <w:rPr>
                <w:sz w:val="22"/>
                <w:szCs w:val="22"/>
              </w:rPr>
              <w:t>the Third Schedule to this Act</w:t>
            </w:r>
            <w:r w:rsidR="0088551B" w:rsidRPr="0028544C">
              <w:rPr>
                <w:sz w:val="22"/>
                <w:szCs w:val="22"/>
              </w:rPr>
              <w:t>”</w:t>
            </w:r>
            <w:r w:rsidRPr="0028544C">
              <w:rPr>
                <w:sz w:val="22"/>
                <w:szCs w:val="22"/>
              </w:rPr>
              <w:t xml:space="preserve">, substitute </w:t>
            </w:r>
            <w:r w:rsidR="0088551B" w:rsidRPr="0028544C">
              <w:rPr>
                <w:sz w:val="22"/>
                <w:szCs w:val="22"/>
              </w:rPr>
              <w:t>“</w:t>
            </w:r>
            <w:r w:rsidRPr="0028544C">
              <w:rPr>
                <w:sz w:val="22"/>
                <w:szCs w:val="22"/>
              </w:rPr>
              <w:t>Schedule 3</w:t>
            </w:r>
            <w:r w:rsidR="0088551B" w:rsidRPr="0028544C">
              <w:rPr>
                <w:sz w:val="22"/>
                <w:szCs w:val="22"/>
              </w:rPr>
              <w:t>”</w:t>
            </w:r>
            <w:r w:rsidRPr="0028544C">
              <w:rPr>
                <w:sz w:val="22"/>
                <w:szCs w:val="22"/>
              </w:rPr>
              <w:t>.</w:t>
            </w:r>
          </w:p>
        </w:tc>
      </w:tr>
      <w:tr w:rsidR="00A84EFD" w:rsidRPr="0028544C" w14:paraId="01C88DC8" w14:textId="77777777" w:rsidTr="00265B26">
        <w:trPr>
          <w:trHeight w:val="374"/>
          <w:jc w:val="center"/>
        </w:trPr>
        <w:tc>
          <w:tcPr>
            <w:tcW w:w="3460" w:type="dxa"/>
            <w:shd w:val="clear" w:color="auto" w:fill="FFFFFF"/>
          </w:tcPr>
          <w:p w14:paraId="22116215" w14:textId="03182B47" w:rsidR="00A84EFD" w:rsidRPr="0028544C" w:rsidRDefault="00845CAB" w:rsidP="00FB064C">
            <w:pPr>
              <w:shd w:val="clear" w:color="auto" w:fill="FFFFFF"/>
              <w:tabs>
                <w:tab w:val="left" w:leader="dot" w:pos="3168"/>
              </w:tabs>
              <w:jc w:val="both"/>
              <w:rPr>
                <w:sz w:val="22"/>
                <w:szCs w:val="22"/>
              </w:rPr>
            </w:pPr>
            <w:r w:rsidRPr="0028544C">
              <w:rPr>
                <w:sz w:val="22"/>
                <w:szCs w:val="22"/>
              </w:rPr>
              <w:t>Section 25(10)(a)</w:t>
            </w:r>
            <w:r w:rsidR="005A47E0" w:rsidRPr="0028544C">
              <w:rPr>
                <w:sz w:val="22"/>
                <w:szCs w:val="22"/>
              </w:rPr>
              <w:tab/>
            </w:r>
          </w:p>
        </w:tc>
        <w:tc>
          <w:tcPr>
            <w:tcW w:w="6369" w:type="dxa"/>
            <w:shd w:val="clear" w:color="auto" w:fill="FFFFFF"/>
          </w:tcPr>
          <w:p w14:paraId="0FEC92CD" w14:textId="755504A9" w:rsidR="00A84EFD" w:rsidRPr="0028544C" w:rsidRDefault="00845CAB" w:rsidP="00FB064C">
            <w:pPr>
              <w:shd w:val="clear" w:color="auto" w:fill="FFFFFF"/>
              <w:jc w:val="both"/>
              <w:rPr>
                <w:sz w:val="22"/>
                <w:szCs w:val="22"/>
              </w:rPr>
            </w:pPr>
            <w:r w:rsidRPr="0028544C">
              <w:rPr>
                <w:sz w:val="22"/>
                <w:szCs w:val="22"/>
              </w:rPr>
              <w:t xml:space="preserve">Omit </w:t>
            </w:r>
            <w:r w:rsidR="0088551B" w:rsidRPr="0028544C">
              <w:rPr>
                <w:sz w:val="22"/>
                <w:szCs w:val="22"/>
              </w:rPr>
              <w:t>“</w:t>
            </w:r>
            <w:r w:rsidRPr="0028544C">
              <w:rPr>
                <w:sz w:val="22"/>
                <w:szCs w:val="22"/>
              </w:rPr>
              <w:t>, or sub-section (2) of section 8, of this Act</w:t>
            </w:r>
            <w:r w:rsidR="0088551B" w:rsidRPr="0028544C">
              <w:rPr>
                <w:sz w:val="22"/>
                <w:szCs w:val="22"/>
              </w:rPr>
              <w:t>”</w:t>
            </w:r>
            <w:r w:rsidRPr="0028544C">
              <w:rPr>
                <w:sz w:val="22"/>
                <w:szCs w:val="22"/>
              </w:rPr>
              <w:t xml:space="preserve">, substitute </w:t>
            </w:r>
            <w:r w:rsidR="0088551B" w:rsidRPr="0028544C">
              <w:rPr>
                <w:sz w:val="22"/>
                <w:szCs w:val="22"/>
              </w:rPr>
              <w:t>“</w:t>
            </w:r>
            <w:r w:rsidR="00FB064C">
              <w:rPr>
                <w:sz w:val="22"/>
                <w:szCs w:val="22"/>
              </w:rPr>
              <w:t>or sub-section (2) of section 8”</w:t>
            </w:r>
            <w:r w:rsidRPr="0028544C">
              <w:rPr>
                <w:sz w:val="22"/>
                <w:szCs w:val="22"/>
              </w:rPr>
              <w:t>.</w:t>
            </w:r>
          </w:p>
        </w:tc>
      </w:tr>
      <w:tr w:rsidR="00A84EFD" w:rsidRPr="0028544C" w14:paraId="2F5218D2" w14:textId="77777777" w:rsidTr="00265B26">
        <w:trPr>
          <w:trHeight w:val="178"/>
          <w:jc w:val="center"/>
        </w:trPr>
        <w:tc>
          <w:tcPr>
            <w:tcW w:w="3460" w:type="dxa"/>
            <w:shd w:val="clear" w:color="auto" w:fill="FFFFFF"/>
          </w:tcPr>
          <w:p w14:paraId="05F3D3D4" w14:textId="5140F598" w:rsidR="00A84EFD" w:rsidRPr="0028544C" w:rsidRDefault="00845CAB" w:rsidP="00FB064C">
            <w:pPr>
              <w:shd w:val="clear" w:color="auto" w:fill="FFFFFF"/>
              <w:tabs>
                <w:tab w:val="left" w:leader="dot" w:pos="3168"/>
              </w:tabs>
              <w:jc w:val="both"/>
              <w:rPr>
                <w:sz w:val="22"/>
                <w:szCs w:val="22"/>
              </w:rPr>
            </w:pPr>
            <w:r w:rsidRPr="0028544C">
              <w:rPr>
                <w:sz w:val="22"/>
                <w:szCs w:val="22"/>
              </w:rPr>
              <w:t>Section 38(5)</w:t>
            </w:r>
            <w:r w:rsidR="005A47E0" w:rsidRPr="0028544C">
              <w:rPr>
                <w:sz w:val="22"/>
                <w:szCs w:val="22"/>
              </w:rPr>
              <w:tab/>
            </w:r>
          </w:p>
        </w:tc>
        <w:tc>
          <w:tcPr>
            <w:tcW w:w="6369" w:type="dxa"/>
            <w:shd w:val="clear" w:color="auto" w:fill="FFFFFF"/>
          </w:tcPr>
          <w:p w14:paraId="761218E6" w14:textId="77777777" w:rsidR="00A84EFD" w:rsidRPr="0028544C" w:rsidRDefault="00C312B9" w:rsidP="008B10AE">
            <w:pPr>
              <w:shd w:val="clear" w:color="auto" w:fill="FFFFFF"/>
              <w:jc w:val="both"/>
              <w:rPr>
                <w:sz w:val="22"/>
                <w:szCs w:val="22"/>
              </w:rPr>
            </w:pPr>
            <w:r>
              <w:rPr>
                <w:sz w:val="22"/>
                <w:szCs w:val="22"/>
              </w:rPr>
              <w:t>Omit</w:t>
            </w:r>
            <w:r w:rsidR="003B66E9" w:rsidRPr="0028544C">
              <w:rPr>
                <w:sz w:val="22"/>
                <w:szCs w:val="22"/>
              </w:rPr>
              <w:t xml:space="preserve"> </w:t>
            </w:r>
            <w:r>
              <w:rPr>
                <w:sz w:val="22"/>
                <w:szCs w:val="22"/>
              </w:rPr>
              <w:t>“</w:t>
            </w:r>
            <w:r w:rsidR="00845CAB" w:rsidRPr="0028544C">
              <w:rPr>
                <w:sz w:val="22"/>
                <w:szCs w:val="22"/>
              </w:rPr>
              <w:t>of this Act</w:t>
            </w:r>
            <w:r w:rsidR="0088551B" w:rsidRPr="0028544C">
              <w:rPr>
                <w:sz w:val="22"/>
                <w:szCs w:val="22"/>
              </w:rPr>
              <w:t>”</w:t>
            </w:r>
            <w:r w:rsidR="00845CAB" w:rsidRPr="0028544C">
              <w:rPr>
                <w:sz w:val="22"/>
                <w:szCs w:val="22"/>
              </w:rPr>
              <w:t xml:space="preserve"> (first occurring).</w:t>
            </w:r>
          </w:p>
        </w:tc>
      </w:tr>
      <w:tr w:rsidR="00A84EFD" w:rsidRPr="0028544C" w14:paraId="7048547F" w14:textId="77777777" w:rsidTr="00265B26">
        <w:trPr>
          <w:trHeight w:val="182"/>
          <w:jc w:val="center"/>
        </w:trPr>
        <w:tc>
          <w:tcPr>
            <w:tcW w:w="3460" w:type="dxa"/>
            <w:shd w:val="clear" w:color="auto" w:fill="FFFFFF"/>
          </w:tcPr>
          <w:p w14:paraId="7B8F02C8" w14:textId="441AA7E8" w:rsidR="00A84EFD" w:rsidRPr="0028544C" w:rsidRDefault="00845CAB" w:rsidP="00FB064C">
            <w:pPr>
              <w:shd w:val="clear" w:color="auto" w:fill="FFFFFF"/>
              <w:tabs>
                <w:tab w:val="left" w:leader="dot" w:pos="3168"/>
              </w:tabs>
              <w:jc w:val="both"/>
              <w:rPr>
                <w:sz w:val="22"/>
                <w:szCs w:val="22"/>
              </w:rPr>
            </w:pPr>
            <w:r w:rsidRPr="0028544C">
              <w:rPr>
                <w:sz w:val="22"/>
                <w:szCs w:val="22"/>
              </w:rPr>
              <w:t>Section 41(4)</w:t>
            </w:r>
            <w:r w:rsidR="005A47E0" w:rsidRPr="0028544C">
              <w:rPr>
                <w:sz w:val="22"/>
                <w:szCs w:val="22"/>
              </w:rPr>
              <w:tab/>
            </w:r>
          </w:p>
        </w:tc>
        <w:tc>
          <w:tcPr>
            <w:tcW w:w="6369" w:type="dxa"/>
            <w:shd w:val="clear" w:color="auto" w:fill="FFFFFF"/>
          </w:tcPr>
          <w:p w14:paraId="386AB256" w14:textId="77777777" w:rsidR="00A84EFD" w:rsidRPr="0028544C" w:rsidRDefault="00845CAB" w:rsidP="008B10AE">
            <w:pPr>
              <w:shd w:val="clear" w:color="auto" w:fill="FFFFFF"/>
              <w:jc w:val="both"/>
              <w:rPr>
                <w:sz w:val="22"/>
                <w:szCs w:val="22"/>
              </w:rPr>
            </w:pPr>
            <w:r w:rsidRPr="0028544C">
              <w:rPr>
                <w:sz w:val="22"/>
                <w:szCs w:val="22"/>
              </w:rPr>
              <w:t xml:space="preserve">Omit </w:t>
            </w:r>
            <w:r w:rsidR="0088551B" w:rsidRPr="0028544C">
              <w:rPr>
                <w:sz w:val="22"/>
                <w:szCs w:val="22"/>
              </w:rPr>
              <w:t>“</w:t>
            </w:r>
            <w:r w:rsidRPr="0028544C">
              <w:rPr>
                <w:sz w:val="22"/>
                <w:szCs w:val="22"/>
              </w:rPr>
              <w:t>of this Act</w:t>
            </w:r>
            <w:r w:rsidR="0088551B" w:rsidRPr="0028544C">
              <w:rPr>
                <w:sz w:val="22"/>
                <w:szCs w:val="22"/>
              </w:rPr>
              <w:t>”</w:t>
            </w:r>
            <w:r w:rsidRPr="0028544C">
              <w:rPr>
                <w:sz w:val="22"/>
                <w:szCs w:val="22"/>
              </w:rPr>
              <w:t>.</w:t>
            </w:r>
          </w:p>
        </w:tc>
      </w:tr>
      <w:tr w:rsidR="00A84EFD" w:rsidRPr="0028544C" w14:paraId="5886B477" w14:textId="77777777" w:rsidTr="00265B26">
        <w:trPr>
          <w:trHeight w:val="182"/>
          <w:jc w:val="center"/>
        </w:trPr>
        <w:tc>
          <w:tcPr>
            <w:tcW w:w="3460" w:type="dxa"/>
            <w:shd w:val="clear" w:color="auto" w:fill="FFFFFF"/>
          </w:tcPr>
          <w:p w14:paraId="21DE8260" w14:textId="4DA83809" w:rsidR="00A84EFD" w:rsidRPr="0028544C" w:rsidRDefault="00845CAB" w:rsidP="00FB064C">
            <w:pPr>
              <w:shd w:val="clear" w:color="auto" w:fill="FFFFFF"/>
              <w:tabs>
                <w:tab w:val="left" w:leader="dot" w:pos="3168"/>
              </w:tabs>
              <w:jc w:val="both"/>
              <w:rPr>
                <w:sz w:val="22"/>
                <w:szCs w:val="22"/>
              </w:rPr>
            </w:pPr>
            <w:r w:rsidRPr="0028544C">
              <w:rPr>
                <w:sz w:val="22"/>
                <w:szCs w:val="22"/>
              </w:rPr>
              <w:t>Section</w:t>
            </w:r>
            <w:r w:rsidR="00C312B9">
              <w:rPr>
                <w:sz w:val="22"/>
                <w:szCs w:val="22"/>
              </w:rPr>
              <w:t xml:space="preserve"> </w:t>
            </w:r>
            <w:r w:rsidRPr="0028544C">
              <w:rPr>
                <w:sz w:val="22"/>
                <w:szCs w:val="22"/>
              </w:rPr>
              <w:t>41(12)</w:t>
            </w:r>
            <w:r w:rsidR="005A47E0" w:rsidRPr="0028544C">
              <w:rPr>
                <w:sz w:val="22"/>
                <w:szCs w:val="22"/>
              </w:rPr>
              <w:tab/>
            </w:r>
          </w:p>
        </w:tc>
        <w:tc>
          <w:tcPr>
            <w:tcW w:w="6369" w:type="dxa"/>
            <w:shd w:val="clear" w:color="auto" w:fill="FFFFFF"/>
          </w:tcPr>
          <w:p w14:paraId="703C68A0" w14:textId="77777777" w:rsidR="00A84EFD" w:rsidRPr="0028544C" w:rsidRDefault="00845CAB" w:rsidP="008B10AE">
            <w:pPr>
              <w:shd w:val="clear" w:color="auto" w:fill="FFFFFF"/>
              <w:jc w:val="both"/>
              <w:rPr>
                <w:sz w:val="22"/>
                <w:szCs w:val="22"/>
              </w:rPr>
            </w:pPr>
            <w:r w:rsidRPr="0028544C">
              <w:rPr>
                <w:sz w:val="22"/>
                <w:szCs w:val="22"/>
              </w:rPr>
              <w:t xml:space="preserve">Omit </w:t>
            </w:r>
            <w:r w:rsidR="0088551B" w:rsidRPr="0028544C">
              <w:rPr>
                <w:sz w:val="22"/>
                <w:szCs w:val="22"/>
              </w:rPr>
              <w:t>“</w:t>
            </w:r>
            <w:r w:rsidRPr="0028544C">
              <w:rPr>
                <w:sz w:val="22"/>
                <w:szCs w:val="22"/>
              </w:rPr>
              <w:t>of this Act</w:t>
            </w:r>
            <w:r w:rsidR="0088551B" w:rsidRPr="0028544C">
              <w:rPr>
                <w:sz w:val="22"/>
                <w:szCs w:val="22"/>
              </w:rPr>
              <w:t>”</w:t>
            </w:r>
            <w:r w:rsidRPr="0028544C">
              <w:rPr>
                <w:sz w:val="22"/>
                <w:szCs w:val="22"/>
              </w:rPr>
              <w:t>.</w:t>
            </w:r>
          </w:p>
        </w:tc>
      </w:tr>
      <w:tr w:rsidR="00A84EFD" w:rsidRPr="0028544C" w14:paraId="6E438582" w14:textId="77777777" w:rsidTr="00265B26">
        <w:trPr>
          <w:trHeight w:val="178"/>
          <w:jc w:val="center"/>
        </w:trPr>
        <w:tc>
          <w:tcPr>
            <w:tcW w:w="3460" w:type="dxa"/>
            <w:shd w:val="clear" w:color="auto" w:fill="FFFFFF"/>
          </w:tcPr>
          <w:p w14:paraId="42C61A43" w14:textId="497A996B" w:rsidR="00A84EFD" w:rsidRPr="0028544C" w:rsidRDefault="00845CAB" w:rsidP="00FB064C">
            <w:pPr>
              <w:shd w:val="clear" w:color="auto" w:fill="FFFFFF"/>
              <w:tabs>
                <w:tab w:val="left" w:leader="dot" w:pos="3168"/>
              </w:tabs>
              <w:jc w:val="both"/>
              <w:rPr>
                <w:sz w:val="22"/>
                <w:szCs w:val="22"/>
              </w:rPr>
            </w:pPr>
            <w:r w:rsidRPr="0028544C">
              <w:rPr>
                <w:sz w:val="22"/>
                <w:szCs w:val="22"/>
              </w:rPr>
              <w:t>Section</w:t>
            </w:r>
            <w:r w:rsidR="00C312B9">
              <w:rPr>
                <w:sz w:val="22"/>
                <w:szCs w:val="22"/>
              </w:rPr>
              <w:t xml:space="preserve"> </w:t>
            </w:r>
            <w:r w:rsidRPr="0028544C">
              <w:rPr>
                <w:sz w:val="22"/>
                <w:szCs w:val="22"/>
              </w:rPr>
              <w:t>42(10)</w:t>
            </w:r>
            <w:r w:rsidR="005A47E0" w:rsidRPr="0028544C">
              <w:rPr>
                <w:sz w:val="22"/>
                <w:szCs w:val="22"/>
              </w:rPr>
              <w:tab/>
            </w:r>
          </w:p>
        </w:tc>
        <w:tc>
          <w:tcPr>
            <w:tcW w:w="6369" w:type="dxa"/>
            <w:shd w:val="clear" w:color="auto" w:fill="FFFFFF"/>
          </w:tcPr>
          <w:p w14:paraId="44EA5ECC" w14:textId="77777777" w:rsidR="00A84EFD" w:rsidRPr="0028544C" w:rsidRDefault="00845CAB" w:rsidP="008B10AE">
            <w:pPr>
              <w:shd w:val="clear" w:color="auto" w:fill="FFFFFF"/>
              <w:jc w:val="both"/>
              <w:rPr>
                <w:sz w:val="22"/>
                <w:szCs w:val="22"/>
              </w:rPr>
            </w:pPr>
            <w:r w:rsidRPr="0028544C">
              <w:rPr>
                <w:sz w:val="22"/>
                <w:szCs w:val="22"/>
              </w:rPr>
              <w:t xml:space="preserve">Omit </w:t>
            </w:r>
            <w:r w:rsidR="0088551B" w:rsidRPr="0028544C">
              <w:rPr>
                <w:sz w:val="22"/>
                <w:szCs w:val="22"/>
              </w:rPr>
              <w:t>“</w:t>
            </w:r>
            <w:r w:rsidRPr="0028544C">
              <w:rPr>
                <w:sz w:val="22"/>
                <w:szCs w:val="22"/>
              </w:rPr>
              <w:t>of this Act</w:t>
            </w:r>
            <w:r w:rsidR="0088551B" w:rsidRPr="0028544C">
              <w:rPr>
                <w:sz w:val="22"/>
                <w:szCs w:val="22"/>
              </w:rPr>
              <w:t>”</w:t>
            </w:r>
            <w:r w:rsidRPr="0028544C">
              <w:rPr>
                <w:sz w:val="22"/>
                <w:szCs w:val="22"/>
              </w:rPr>
              <w:t>.</w:t>
            </w:r>
          </w:p>
        </w:tc>
      </w:tr>
      <w:tr w:rsidR="00A84EFD" w:rsidRPr="0028544C" w14:paraId="5351EBB0" w14:textId="77777777" w:rsidTr="00265B26">
        <w:trPr>
          <w:trHeight w:val="182"/>
          <w:jc w:val="center"/>
        </w:trPr>
        <w:tc>
          <w:tcPr>
            <w:tcW w:w="3460" w:type="dxa"/>
            <w:shd w:val="clear" w:color="auto" w:fill="FFFFFF"/>
          </w:tcPr>
          <w:p w14:paraId="2F65BE6B" w14:textId="7F5C8A24" w:rsidR="00A84EFD" w:rsidRPr="0028544C" w:rsidRDefault="00845CAB" w:rsidP="00FB064C">
            <w:pPr>
              <w:shd w:val="clear" w:color="auto" w:fill="FFFFFF"/>
              <w:tabs>
                <w:tab w:val="left" w:leader="dot" w:pos="3168"/>
              </w:tabs>
              <w:jc w:val="both"/>
              <w:rPr>
                <w:sz w:val="22"/>
                <w:szCs w:val="22"/>
              </w:rPr>
            </w:pPr>
            <w:r w:rsidRPr="0028544C">
              <w:rPr>
                <w:sz w:val="22"/>
                <w:szCs w:val="22"/>
              </w:rPr>
              <w:t>Section 45</w:t>
            </w:r>
            <w:r w:rsidRPr="0028544C">
              <w:rPr>
                <w:smallCaps/>
                <w:sz w:val="22"/>
                <w:szCs w:val="22"/>
              </w:rPr>
              <w:t>(2a)</w:t>
            </w:r>
            <w:r w:rsidR="005A47E0" w:rsidRPr="0028544C">
              <w:rPr>
                <w:smallCaps/>
                <w:sz w:val="22"/>
                <w:szCs w:val="22"/>
              </w:rPr>
              <w:tab/>
            </w:r>
          </w:p>
        </w:tc>
        <w:tc>
          <w:tcPr>
            <w:tcW w:w="6369" w:type="dxa"/>
            <w:shd w:val="clear" w:color="auto" w:fill="FFFFFF"/>
          </w:tcPr>
          <w:p w14:paraId="6D46E1D0" w14:textId="77777777" w:rsidR="00A84EFD" w:rsidRPr="0028544C" w:rsidRDefault="00845CAB" w:rsidP="008B10AE">
            <w:pPr>
              <w:shd w:val="clear" w:color="auto" w:fill="FFFFFF"/>
              <w:jc w:val="both"/>
              <w:rPr>
                <w:sz w:val="22"/>
                <w:szCs w:val="22"/>
              </w:rPr>
            </w:pPr>
            <w:r w:rsidRPr="0028544C">
              <w:rPr>
                <w:sz w:val="22"/>
                <w:szCs w:val="22"/>
              </w:rPr>
              <w:t xml:space="preserve">Omit </w:t>
            </w:r>
            <w:r w:rsidR="0088551B" w:rsidRPr="0028544C">
              <w:rPr>
                <w:sz w:val="22"/>
                <w:szCs w:val="22"/>
              </w:rPr>
              <w:t>“</w:t>
            </w:r>
            <w:r w:rsidRPr="0028544C">
              <w:rPr>
                <w:sz w:val="22"/>
                <w:szCs w:val="22"/>
              </w:rPr>
              <w:t>of this section</w:t>
            </w:r>
            <w:r w:rsidR="0088551B" w:rsidRPr="0028544C">
              <w:rPr>
                <w:sz w:val="22"/>
                <w:szCs w:val="22"/>
              </w:rPr>
              <w:t>”</w:t>
            </w:r>
            <w:r w:rsidRPr="0028544C">
              <w:rPr>
                <w:sz w:val="22"/>
                <w:szCs w:val="22"/>
              </w:rPr>
              <w:t xml:space="preserve"> (second occurring).</w:t>
            </w:r>
          </w:p>
        </w:tc>
      </w:tr>
      <w:tr w:rsidR="00A84EFD" w:rsidRPr="0028544C" w14:paraId="5B58F31E" w14:textId="77777777" w:rsidTr="00265B26">
        <w:trPr>
          <w:trHeight w:val="173"/>
          <w:jc w:val="center"/>
        </w:trPr>
        <w:tc>
          <w:tcPr>
            <w:tcW w:w="3460" w:type="dxa"/>
            <w:shd w:val="clear" w:color="auto" w:fill="FFFFFF"/>
          </w:tcPr>
          <w:p w14:paraId="08CB93FC" w14:textId="77777777" w:rsidR="00A84EFD" w:rsidRPr="0028544C" w:rsidRDefault="00845CAB" w:rsidP="005A47E0">
            <w:pPr>
              <w:shd w:val="clear" w:color="auto" w:fill="FFFFFF"/>
              <w:tabs>
                <w:tab w:val="left" w:leader="dot" w:pos="3168"/>
              </w:tabs>
              <w:jc w:val="both"/>
              <w:rPr>
                <w:sz w:val="22"/>
                <w:szCs w:val="22"/>
              </w:rPr>
            </w:pPr>
            <w:r w:rsidRPr="0028544C">
              <w:rPr>
                <w:sz w:val="22"/>
                <w:szCs w:val="22"/>
              </w:rPr>
              <w:t>Section 47</w:t>
            </w:r>
            <w:r w:rsidR="005A47E0" w:rsidRPr="0028544C">
              <w:rPr>
                <w:sz w:val="22"/>
                <w:szCs w:val="22"/>
              </w:rPr>
              <w:tab/>
            </w:r>
          </w:p>
        </w:tc>
        <w:tc>
          <w:tcPr>
            <w:tcW w:w="6369" w:type="dxa"/>
            <w:shd w:val="clear" w:color="auto" w:fill="FFFFFF"/>
          </w:tcPr>
          <w:p w14:paraId="04F8E43F" w14:textId="77777777" w:rsidR="00A84EFD" w:rsidRPr="0028544C" w:rsidRDefault="00845CAB" w:rsidP="008B10AE">
            <w:pPr>
              <w:shd w:val="clear" w:color="auto" w:fill="FFFFFF"/>
              <w:jc w:val="both"/>
              <w:rPr>
                <w:sz w:val="22"/>
                <w:szCs w:val="22"/>
              </w:rPr>
            </w:pPr>
            <w:r w:rsidRPr="0028544C">
              <w:rPr>
                <w:sz w:val="22"/>
                <w:szCs w:val="22"/>
              </w:rPr>
              <w:t xml:space="preserve">Omit </w:t>
            </w:r>
            <w:r w:rsidR="0088551B" w:rsidRPr="0028544C">
              <w:rPr>
                <w:sz w:val="22"/>
                <w:szCs w:val="22"/>
              </w:rPr>
              <w:t>“</w:t>
            </w:r>
            <w:r w:rsidRPr="0028544C">
              <w:rPr>
                <w:sz w:val="22"/>
                <w:szCs w:val="22"/>
              </w:rPr>
              <w:t>of this Act</w:t>
            </w:r>
            <w:r w:rsidR="0088551B" w:rsidRPr="0028544C">
              <w:rPr>
                <w:sz w:val="22"/>
                <w:szCs w:val="22"/>
              </w:rPr>
              <w:t>”</w:t>
            </w:r>
            <w:r w:rsidRPr="0028544C">
              <w:rPr>
                <w:sz w:val="22"/>
                <w:szCs w:val="22"/>
              </w:rPr>
              <w:t xml:space="preserve"> (first and second occurring).</w:t>
            </w:r>
          </w:p>
        </w:tc>
      </w:tr>
      <w:tr w:rsidR="00A84EFD" w:rsidRPr="0028544C" w14:paraId="4ABBCF4C" w14:textId="77777777" w:rsidTr="00265B26">
        <w:trPr>
          <w:trHeight w:val="182"/>
          <w:jc w:val="center"/>
        </w:trPr>
        <w:tc>
          <w:tcPr>
            <w:tcW w:w="3460" w:type="dxa"/>
            <w:shd w:val="clear" w:color="auto" w:fill="FFFFFF"/>
          </w:tcPr>
          <w:p w14:paraId="7E73A282" w14:textId="7043A9DF" w:rsidR="00A84EFD" w:rsidRPr="0028544C" w:rsidRDefault="00845CAB" w:rsidP="00FB064C">
            <w:pPr>
              <w:shd w:val="clear" w:color="auto" w:fill="FFFFFF"/>
              <w:tabs>
                <w:tab w:val="left" w:leader="dot" w:pos="3168"/>
              </w:tabs>
              <w:jc w:val="both"/>
              <w:rPr>
                <w:sz w:val="22"/>
                <w:szCs w:val="22"/>
              </w:rPr>
            </w:pPr>
            <w:r w:rsidRPr="0028544C">
              <w:rPr>
                <w:sz w:val="22"/>
                <w:szCs w:val="22"/>
              </w:rPr>
              <w:t>Section 50(2)(a)</w:t>
            </w:r>
            <w:r w:rsidR="005A47E0" w:rsidRPr="0028544C">
              <w:rPr>
                <w:sz w:val="22"/>
                <w:szCs w:val="22"/>
              </w:rPr>
              <w:tab/>
            </w:r>
          </w:p>
        </w:tc>
        <w:tc>
          <w:tcPr>
            <w:tcW w:w="6369" w:type="dxa"/>
            <w:shd w:val="clear" w:color="auto" w:fill="FFFFFF"/>
          </w:tcPr>
          <w:p w14:paraId="352E428C" w14:textId="77777777" w:rsidR="00A84EFD" w:rsidRPr="0028544C" w:rsidRDefault="00845CAB" w:rsidP="008B10AE">
            <w:pPr>
              <w:shd w:val="clear" w:color="auto" w:fill="FFFFFF"/>
              <w:jc w:val="both"/>
              <w:rPr>
                <w:sz w:val="22"/>
                <w:szCs w:val="22"/>
              </w:rPr>
            </w:pPr>
            <w:r w:rsidRPr="0028544C">
              <w:rPr>
                <w:sz w:val="22"/>
                <w:szCs w:val="22"/>
              </w:rPr>
              <w:t xml:space="preserve">Omit </w:t>
            </w:r>
            <w:r w:rsidR="0088551B" w:rsidRPr="0028544C">
              <w:rPr>
                <w:sz w:val="22"/>
                <w:szCs w:val="22"/>
              </w:rPr>
              <w:t>“</w:t>
            </w:r>
            <w:r w:rsidRPr="0028544C">
              <w:rPr>
                <w:sz w:val="22"/>
                <w:szCs w:val="22"/>
              </w:rPr>
              <w:t>of this Act</w:t>
            </w:r>
            <w:r w:rsidR="0088551B" w:rsidRPr="0028544C">
              <w:rPr>
                <w:sz w:val="22"/>
                <w:szCs w:val="22"/>
              </w:rPr>
              <w:t>”</w:t>
            </w:r>
            <w:r w:rsidRPr="0028544C">
              <w:rPr>
                <w:sz w:val="22"/>
                <w:szCs w:val="22"/>
              </w:rPr>
              <w:t xml:space="preserve"> (second occurring).</w:t>
            </w:r>
          </w:p>
        </w:tc>
      </w:tr>
      <w:tr w:rsidR="00A84EFD" w:rsidRPr="0028544C" w14:paraId="613F9EB7" w14:textId="77777777" w:rsidTr="00265B26">
        <w:trPr>
          <w:trHeight w:val="350"/>
          <w:jc w:val="center"/>
        </w:trPr>
        <w:tc>
          <w:tcPr>
            <w:tcW w:w="3460" w:type="dxa"/>
            <w:shd w:val="clear" w:color="auto" w:fill="FFFFFF"/>
          </w:tcPr>
          <w:p w14:paraId="220C79AB" w14:textId="6ED8D408" w:rsidR="00A84EFD" w:rsidRPr="0028544C" w:rsidRDefault="00845CAB" w:rsidP="00FB064C">
            <w:pPr>
              <w:shd w:val="clear" w:color="auto" w:fill="FFFFFF"/>
              <w:tabs>
                <w:tab w:val="left" w:leader="dot" w:pos="3168"/>
              </w:tabs>
              <w:jc w:val="both"/>
              <w:rPr>
                <w:sz w:val="22"/>
                <w:szCs w:val="22"/>
              </w:rPr>
            </w:pPr>
            <w:r w:rsidRPr="0028544C">
              <w:rPr>
                <w:sz w:val="22"/>
                <w:szCs w:val="22"/>
              </w:rPr>
              <w:t>Section 54(5)</w:t>
            </w:r>
            <w:r w:rsidR="005A47E0" w:rsidRPr="0028544C">
              <w:rPr>
                <w:sz w:val="22"/>
                <w:szCs w:val="22"/>
              </w:rPr>
              <w:tab/>
            </w:r>
          </w:p>
        </w:tc>
        <w:tc>
          <w:tcPr>
            <w:tcW w:w="6369" w:type="dxa"/>
            <w:shd w:val="clear" w:color="auto" w:fill="FFFFFF"/>
          </w:tcPr>
          <w:p w14:paraId="53A44D8B" w14:textId="77777777" w:rsidR="00A84EFD" w:rsidRPr="0028544C" w:rsidRDefault="00845CAB" w:rsidP="008B10AE">
            <w:pPr>
              <w:shd w:val="clear" w:color="auto" w:fill="FFFFFF"/>
              <w:jc w:val="both"/>
              <w:rPr>
                <w:sz w:val="22"/>
                <w:szCs w:val="22"/>
              </w:rPr>
            </w:pPr>
            <w:r w:rsidRPr="0028544C">
              <w:rPr>
                <w:sz w:val="22"/>
                <w:szCs w:val="22"/>
              </w:rPr>
              <w:t xml:space="preserve">Omit </w:t>
            </w:r>
            <w:r w:rsidR="0088551B" w:rsidRPr="0028544C">
              <w:rPr>
                <w:sz w:val="22"/>
                <w:szCs w:val="22"/>
              </w:rPr>
              <w:t>“</w:t>
            </w:r>
            <w:r w:rsidRPr="0028544C">
              <w:rPr>
                <w:sz w:val="22"/>
                <w:szCs w:val="22"/>
              </w:rPr>
              <w:t>, or by virtue of section 44, of this Act,</w:t>
            </w:r>
            <w:r w:rsidR="0088551B" w:rsidRPr="0028544C">
              <w:rPr>
                <w:sz w:val="22"/>
                <w:szCs w:val="22"/>
              </w:rPr>
              <w:t>”</w:t>
            </w:r>
            <w:r w:rsidRPr="0028544C">
              <w:rPr>
                <w:sz w:val="22"/>
                <w:szCs w:val="22"/>
              </w:rPr>
              <w:t xml:space="preserve">, substitute </w:t>
            </w:r>
            <w:r w:rsidR="0088551B" w:rsidRPr="0028544C">
              <w:rPr>
                <w:sz w:val="22"/>
                <w:szCs w:val="22"/>
              </w:rPr>
              <w:t>“</w:t>
            </w:r>
            <w:r w:rsidRPr="0028544C">
              <w:rPr>
                <w:sz w:val="22"/>
                <w:szCs w:val="22"/>
              </w:rPr>
              <w:t>or by virtue of section 44,</w:t>
            </w:r>
            <w:r w:rsidR="0088551B" w:rsidRPr="0028544C">
              <w:rPr>
                <w:sz w:val="22"/>
                <w:szCs w:val="22"/>
              </w:rPr>
              <w:t>”</w:t>
            </w:r>
            <w:r w:rsidRPr="0028544C">
              <w:rPr>
                <w:sz w:val="22"/>
                <w:szCs w:val="22"/>
              </w:rPr>
              <w:t>.</w:t>
            </w:r>
          </w:p>
        </w:tc>
      </w:tr>
      <w:tr w:rsidR="00A84EFD" w:rsidRPr="0028544C" w14:paraId="6FC0A8F6" w14:textId="77777777" w:rsidTr="00265B26">
        <w:trPr>
          <w:trHeight w:val="187"/>
          <w:jc w:val="center"/>
        </w:trPr>
        <w:tc>
          <w:tcPr>
            <w:tcW w:w="3460" w:type="dxa"/>
            <w:shd w:val="clear" w:color="auto" w:fill="FFFFFF"/>
          </w:tcPr>
          <w:p w14:paraId="60B8CEC9" w14:textId="0F4B390F" w:rsidR="00A84EFD" w:rsidRPr="0028544C" w:rsidRDefault="00845CAB" w:rsidP="00FB064C">
            <w:pPr>
              <w:shd w:val="clear" w:color="auto" w:fill="FFFFFF"/>
              <w:tabs>
                <w:tab w:val="left" w:leader="dot" w:pos="3168"/>
              </w:tabs>
              <w:jc w:val="both"/>
              <w:rPr>
                <w:sz w:val="22"/>
                <w:szCs w:val="22"/>
              </w:rPr>
            </w:pPr>
            <w:r w:rsidRPr="0028544C">
              <w:rPr>
                <w:sz w:val="22"/>
                <w:szCs w:val="22"/>
              </w:rPr>
              <w:t>Section</w:t>
            </w:r>
            <w:r w:rsidR="00C312B9">
              <w:rPr>
                <w:sz w:val="22"/>
                <w:szCs w:val="22"/>
              </w:rPr>
              <w:t xml:space="preserve"> </w:t>
            </w:r>
            <w:r w:rsidRPr="0028544C">
              <w:rPr>
                <w:sz w:val="22"/>
                <w:szCs w:val="22"/>
              </w:rPr>
              <w:t>57(1)</w:t>
            </w:r>
            <w:r w:rsidR="005A47E0" w:rsidRPr="0028544C">
              <w:rPr>
                <w:sz w:val="22"/>
                <w:szCs w:val="22"/>
              </w:rPr>
              <w:tab/>
            </w:r>
          </w:p>
        </w:tc>
        <w:tc>
          <w:tcPr>
            <w:tcW w:w="6369" w:type="dxa"/>
            <w:shd w:val="clear" w:color="auto" w:fill="FFFFFF"/>
          </w:tcPr>
          <w:p w14:paraId="2CE1DBF9" w14:textId="77777777" w:rsidR="00A84EFD" w:rsidRPr="0028544C" w:rsidRDefault="00845CAB" w:rsidP="008B10AE">
            <w:pPr>
              <w:shd w:val="clear" w:color="auto" w:fill="FFFFFF"/>
              <w:jc w:val="both"/>
              <w:rPr>
                <w:sz w:val="22"/>
                <w:szCs w:val="22"/>
              </w:rPr>
            </w:pPr>
            <w:r w:rsidRPr="0028544C">
              <w:rPr>
                <w:sz w:val="22"/>
                <w:szCs w:val="22"/>
              </w:rPr>
              <w:t xml:space="preserve">Omit </w:t>
            </w:r>
            <w:r w:rsidR="0088551B" w:rsidRPr="0028544C">
              <w:rPr>
                <w:sz w:val="22"/>
                <w:szCs w:val="22"/>
              </w:rPr>
              <w:t>“</w:t>
            </w:r>
            <w:r w:rsidRPr="0028544C">
              <w:rPr>
                <w:sz w:val="22"/>
                <w:szCs w:val="22"/>
              </w:rPr>
              <w:t>of this Act</w:t>
            </w:r>
            <w:r w:rsidR="0088551B" w:rsidRPr="0028544C">
              <w:rPr>
                <w:sz w:val="22"/>
                <w:szCs w:val="22"/>
              </w:rPr>
              <w:t>”</w:t>
            </w:r>
            <w:r w:rsidRPr="0028544C">
              <w:rPr>
                <w:sz w:val="22"/>
                <w:szCs w:val="22"/>
              </w:rPr>
              <w:t xml:space="preserve"> (first occurring).</w:t>
            </w:r>
          </w:p>
        </w:tc>
      </w:tr>
      <w:tr w:rsidR="00A84EFD" w:rsidRPr="0028544C" w14:paraId="105BEDE2" w14:textId="77777777" w:rsidTr="00265B26">
        <w:trPr>
          <w:trHeight w:val="182"/>
          <w:jc w:val="center"/>
        </w:trPr>
        <w:tc>
          <w:tcPr>
            <w:tcW w:w="3460" w:type="dxa"/>
            <w:shd w:val="clear" w:color="auto" w:fill="FFFFFF"/>
          </w:tcPr>
          <w:p w14:paraId="4D1EC679" w14:textId="53D8BB8E" w:rsidR="00A84EFD" w:rsidRPr="0028544C" w:rsidRDefault="00845CAB" w:rsidP="00FB064C">
            <w:pPr>
              <w:shd w:val="clear" w:color="auto" w:fill="FFFFFF"/>
              <w:tabs>
                <w:tab w:val="left" w:leader="dot" w:pos="3168"/>
              </w:tabs>
              <w:jc w:val="both"/>
              <w:rPr>
                <w:sz w:val="22"/>
                <w:szCs w:val="22"/>
              </w:rPr>
            </w:pPr>
            <w:r w:rsidRPr="0028544C">
              <w:rPr>
                <w:sz w:val="22"/>
                <w:szCs w:val="22"/>
              </w:rPr>
              <w:t>Section 60(3)</w:t>
            </w:r>
            <w:r w:rsidR="005A47E0" w:rsidRPr="0028544C">
              <w:rPr>
                <w:sz w:val="22"/>
                <w:szCs w:val="22"/>
              </w:rPr>
              <w:tab/>
            </w:r>
          </w:p>
        </w:tc>
        <w:tc>
          <w:tcPr>
            <w:tcW w:w="6369" w:type="dxa"/>
            <w:shd w:val="clear" w:color="auto" w:fill="FFFFFF"/>
          </w:tcPr>
          <w:p w14:paraId="30B0F962" w14:textId="77777777" w:rsidR="00A84EFD" w:rsidRPr="0028544C" w:rsidRDefault="00845CAB" w:rsidP="008B10AE">
            <w:pPr>
              <w:shd w:val="clear" w:color="auto" w:fill="FFFFFF"/>
              <w:jc w:val="both"/>
              <w:rPr>
                <w:sz w:val="22"/>
                <w:szCs w:val="22"/>
              </w:rPr>
            </w:pPr>
            <w:r w:rsidRPr="0028544C">
              <w:rPr>
                <w:sz w:val="22"/>
                <w:szCs w:val="22"/>
              </w:rPr>
              <w:t xml:space="preserve">Omit </w:t>
            </w:r>
            <w:r w:rsidR="0088551B" w:rsidRPr="0028544C">
              <w:rPr>
                <w:sz w:val="22"/>
                <w:szCs w:val="22"/>
              </w:rPr>
              <w:t>“</w:t>
            </w:r>
            <w:r w:rsidRPr="0028544C">
              <w:rPr>
                <w:sz w:val="22"/>
                <w:szCs w:val="22"/>
              </w:rPr>
              <w:t>of this Act</w:t>
            </w:r>
            <w:r w:rsidR="0088551B" w:rsidRPr="0028544C">
              <w:rPr>
                <w:sz w:val="22"/>
                <w:szCs w:val="22"/>
              </w:rPr>
              <w:t>”</w:t>
            </w:r>
            <w:r w:rsidRPr="0028544C">
              <w:rPr>
                <w:sz w:val="22"/>
                <w:szCs w:val="22"/>
              </w:rPr>
              <w:t>.</w:t>
            </w:r>
          </w:p>
        </w:tc>
      </w:tr>
      <w:tr w:rsidR="00A84EFD" w:rsidRPr="0028544C" w14:paraId="31033EFF" w14:textId="77777777" w:rsidTr="00265B26">
        <w:trPr>
          <w:trHeight w:val="173"/>
          <w:jc w:val="center"/>
        </w:trPr>
        <w:tc>
          <w:tcPr>
            <w:tcW w:w="3460" w:type="dxa"/>
            <w:shd w:val="clear" w:color="auto" w:fill="FFFFFF"/>
          </w:tcPr>
          <w:p w14:paraId="31C1C34E" w14:textId="3CA01EE3" w:rsidR="00A84EFD" w:rsidRPr="0028544C" w:rsidRDefault="00845CAB" w:rsidP="00FB064C">
            <w:pPr>
              <w:shd w:val="clear" w:color="auto" w:fill="FFFFFF"/>
              <w:tabs>
                <w:tab w:val="left" w:leader="dot" w:pos="3168"/>
              </w:tabs>
              <w:jc w:val="both"/>
              <w:rPr>
                <w:sz w:val="22"/>
                <w:szCs w:val="22"/>
              </w:rPr>
            </w:pPr>
            <w:r w:rsidRPr="0028544C">
              <w:rPr>
                <w:sz w:val="22"/>
                <w:szCs w:val="22"/>
              </w:rPr>
              <w:t>Section 61(6)</w:t>
            </w:r>
            <w:r w:rsidR="005A47E0" w:rsidRPr="0028544C">
              <w:rPr>
                <w:sz w:val="22"/>
                <w:szCs w:val="22"/>
              </w:rPr>
              <w:tab/>
            </w:r>
          </w:p>
        </w:tc>
        <w:tc>
          <w:tcPr>
            <w:tcW w:w="6369" w:type="dxa"/>
            <w:shd w:val="clear" w:color="auto" w:fill="FFFFFF"/>
          </w:tcPr>
          <w:p w14:paraId="716E56C2" w14:textId="77777777" w:rsidR="00A84EFD" w:rsidRPr="0028544C" w:rsidRDefault="00845CAB" w:rsidP="008B10AE">
            <w:pPr>
              <w:shd w:val="clear" w:color="auto" w:fill="FFFFFF"/>
              <w:jc w:val="both"/>
              <w:rPr>
                <w:sz w:val="22"/>
                <w:szCs w:val="22"/>
              </w:rPr>
            </w:pPr>
            <w:r w:rsidRPr="0028544C">
              <w:rPr>
                <w:sz w:val="22"/>
                <w:szCs w:val="22"/>
              </w:rPr>
              <w:t xml:space="preserve">Omit </w:t>
            </w:r>
            <w:r w:rsidR="0088551B" w:rsidRPr="0028544C">
              <w:rPr>
                <w:sz w:val="22"/>
                <w:szCs w:val="22"/>
              </w:rPr>
              <w:t>“</w:t>
            </w:r>
            <w:r w:rsidRPr="0028544C">
              <w:rPr>
                <w:sz w:val="22"/>
                <w:szCs w:val="22"/>
              </w:rPr>
              <w:t>of this Act</w:t>
            </w:r>
            <w:r w:rsidR="0088551B" w:rsidRPr="0028544C">
              <w:rPr>
                <w:sz w:val="22"/>
                <w:szCs w:val="22"/>
              </w:rPr>
              <w:t>”</w:t>
            </w:r>
            <w:r w:rsidRPr="0028544C">
              <w:rPr>
                <w:sz w:val="22"/>
                <w:szCs w:val="22"/>
              </w:rPr>
              <w:t>.</w:t>
            </w:r>
          </w:p>
        </w:tc>
      </w:tr>
      <w:tr w:rsidR="00A84EFD" w:rsidRPr="0028544C" w14:paraId="6D9C3909" w14:textId="77777777" w:rsidTr="00265B26">
        <w:trPr>
          <w:trHeight w:val="350"/>
          <w:jc w:val="center"/>
        </w:trPr>
        <w:tc>
          <w:tcPr>
            <w:tcW w:w="3460" w:type="dxa"/>
            <w:shd w:val="clear" w:color="auto" w:fill="FFFFFF"/>
          </w:tcPr>
          <w:p w14:paraId="6494937A" w14:textId="75C9A6DB" w:rsidR="00A84EFD" w:rsidRPr="0028544C" w:rsidRDefault="00845CAB" w:rsidP="00FB064C">
            <w:pPr>
              <w:shd w:val="clear" w:color="auto" w:fill="FFFFFF"/>
              <w:tabs>
                <w:tab w:val="left" w:leader="dot" w:pos="3168"/>
              </w:tabs>
              <w:jc w:val="both"/>
              <w:rPr>
                <w:sz w:val="22"/>
                <w:szCs w:val="22"/>
              </w:rPr>
            </w:pPr>
            <w:r w:rsidRPr="0028544C">
              <w:rPr>
                <w:sz w:val="22"/>
                <w:szCs w:val="22"/>
              </w:rPr>
              <w:t>Section</w:t>
            </w:r>
            <w:r w:rsidR="00FB064C">
              <w:rPr>
                <w:sz w:val="22"/>
                <w:szCs w:val="22"/>
              </w:rPr>
              <w:t xml:space="preserve"> </w:t>
            </w:r>
            <w:r w:rsidRPr="0028544C">
              <w:rPr>
                <w:sz w:val="22"/>
                <w:szCs w:val="22"/>
              </w:rPr>
              <w:t>71</w:t>
            </w:r>
            <w:r w:rsidR="00FB064C">
              <w:rPr>
                <w:sz w:val="22"/>
                <w:szCs w:val="22"/>
              </w:rPr>
              <w:t>(</w:t>
            </w:r>
            <w:r w:rsidRPr="0028544C">
              <w:rPr>
                <w:sz w:val="22"/>
                <w:szCs w:val="22"/>
              </w:rPr>
              <w:t>1)</w:t>
            </w:r>
            <w:r w:rsidR="005A47E0" w:rsidRPr="0028544C">
              <w:rPr>
                <w:sz w:val="22"/>
                <w:szCs w:val="22"/>
              </w:rPr>
              <w:tab/>
            </w:r>
          </w:p>
        </w:tc>
        <w:tc>
          <w:tcPr>
            <w:tcW w:w="6369" w:type="dxa"/>
            <w:shd w:val="clear" w:color="auto" w:fill="FFFFFF"/>
          </w:tcPr>
          <w:p w14:paraId="32EA9D2B" w14:textId="77777777" w:rsidR="00A84EFD" w:rsidRPr="0028544C" w:rsidRDefault="00845CAB" w:rsidP="008B10AE">
            <w:pPr>
              <w:shd w:val="clear" w:color="auto" w:fill="FFFFFF"/>
              <w:jc w:val="both"/>
              <w:rPr>
                <w:sz w:val="22"/>
                <w:szCs w:val="22"/>
              </w:rPr>
            </w:pPr>
            <w:r w:rsidRPr="0028544C">
              <w:rPr>
                <w:sz w:val="22"/>
                <w:szCs w:val="22"/>
              </w:rPr>
              <w:t xml:space="preserve">Omit </w:t>
            </w:r>
            <w:r w:rsidR="0088551B" w:rsidRPr="0028544C">
              <w:rPr>
                <w:sz w:val="22"/>
                <w:szCs w:val="22"/>
              </w:rPr>
              <w:t>“</w:t>
            </w:r>
            <w:r w:rsidRPr="0028544C">
              <w:rPr>
                <w:sz w:val="22"/>
                <w:szCs w:val="22"/>
              </w:rPr>
              <w:t>Public Service of the Commonwealth</w:t>
            </w:r>
            <w:r w:rsidR="0088551B" w:rsidRPr="0028544C">
              <w:rPr>
                <w:sz w:val="22"/>
                <w:szCs w:val="22"/>
              </w:rPr>
              <w:t>”</w:t>
            </w:r>
            <w:r w:rsidRPr="0028544C">
              <w:rPr>
                <w:sz w:val="22"/>
                <w:szCs w:val="22"/>
              </w:rPr>
              <w:t xml:space="preserve"> (wherever occurring), substitute </w:t>
            </w:r>
            <w:r w:rsidR="0088551B" w:rsidRPr="0028544C">
              <w:rPr>
                <w:sz w:val="22"/>
                <w:szCs w:val="22"/>
              </w:rPr>
              <w:t>“</w:t>
            </w:r>
            <w:r w:rsidRPr="0028544C">
              <w:rPr>
                <w:sz w:val="22"/>
                <w:szCs w:val="22"/>
              </w:rPr>
              <w:t>Australian Public Service</w:t>
            </w:r>
            <w:r w:rsidR="0088551B" w:rsidRPr="0028544C">
              <w:rPr>
                <w:sz w:val="22"/>
                <w:szCs w:val="22"/>
              </w:rPr>
              <w:t>”</w:t>
            </w:r>
            <w:r w:rsidRPr="0028544C">
              <w:rPr>
                <w:sz w:val="22"/>
                <w:szCs w:val="22"/>
              </w:rPr>
              <w:t>.</w:t>
            </w:r>
          </w:p>
        </w:tc>
      </w:tr>
      <w:tr w:rsidR="00A84EFD" w:rsidRPr="0028544C" w14:paraId="0A5E67B2" w14:textId="77777777" w:rsidTr="00265B26">
        <w:trPr>
          <w:trHeight w:val="360"/>
          <w:jc w:val="center"/>
        </w:trPr>
        <w:tc>
          <w:tcPr>
            <w:tcW w:w="3460" w:type="dxa"/>
            <w:shd w:val="clear" w:color="auto" w:fill="FFFFFF"/>
          </w:tcPr>
          <w:p w14:paraId="1D44F3E0" w14:textId="77777777" w:rsidR="00A84EFD" w:rsidRPr="0028544C" w:rsidRDefault="00845CAB" w:rsidP="005A47E0">
            <w:pPr>
              <w:shd w:val="clear" w:color="auto" w:fill="FFFFFF"/>
              <w:tabs>
                <w:tab w:val="left" w:leader="dot" w:pos="3168"/>
              </w:tabs>
              <w:jc w:val="both"/>
              <w:rPr>
                <w:sz w:val="22"/>
                <w:szCs w:val="22"/>
              </w:rPr>
            </w:pPr>
            <w:r w:rsidRPr="0028544C">
              <w:rPr>
                <w:sz w:val="22"/>
                <w:szCs w:val="22"/>
              </w:rPr>
              <w:t>Section 73(1)</w:t>
            </w:r>
            <w:r w:rsidR="005A47E0" w:rsidRPr="0028544C">
              <w:rPr>
                <w:sz w:val="22"/>
                <w:szCs w:val="22"/>
              </w:rPr>
              <w:tab/>
            </w:r>
          </w:p>
        </w:tc>
        <w:tc>
          <w:tcPr>
            <w:tcW w:w="6369" w:type="dxa"/>
            <w:shd w:val="clear" w:color="auto" w:fill="FFFFFF"/>
          </w:tcPr>
          <w:p w14:paraId="794C9789" w14:textId="77777777" w:rsidR="00A84EFD" w:rsidRPr="0028544C" w:rsidRDefault="00845CAB" w:rsidP="008B10AE">
            <w:pPr>
              <w:shd w:val="clear" w:color="auto" w:fill="FFFFFF"/>
              <w:jc w:val="both"/>
              <w:rPr>
                <w:sz w:val="22"/>
                <w:szCs w:val="22"/>
              </w:rPr>
            </w:pPr>
            <w:r w:rsidRPr="0028544C">
              <w:rPr>
                <w:sz w:val="22"/>
                <w:szCs w:val="22"/>
              </w:rPr>
              <w:t xml:space="preserve">Omit </w:t>
            </w:r>
            <w:r w:rsidR="0088551B" w:rsidRPr="0028544C">
              <w:rPr>
                <w:sz w:val="22"/>
                <w:szCs w:val="22"/>
              </w:rPr>
              <w:t>“</w:t>
            </w:r>
            <w:r w:rsidRPr="0028544C">
              <w:rPr>
                <w:sz w:val="22"/>
                <w:szCs w:val="22"/>
              </w:rPr>
              <w:t>the Second Schedule to this Act</w:t>
            </w:r>
            <w:r w:rsidR="0088551B" w:rsidRPr="0028544C">
              <w:rPr>
                <w:sz w:val="22"/>
                <w:szCs w:val="22"/>
              </w:rPr>
              <w:t>”</w:t>
            </w:r>
            <w:r w:rsidRPr="0028544C">
              <w:rPr>
                <w:sz w:val="22"/>
                <w:szCs w:val="22"/>
              </w:rPr>
              <w:t xml:space="preserve">, substitute </w:t>
            </w:r>
            <w:r w:rsidR="0088551B" w:rsidRPr="0028544C">
              <w:rPr>
                <w:sz w:val="22"/>
                <w:szCs w:val="22"/>
              </w:rPr>
              <w:t>“</w:t>
            </w:r>
            <w:r w:rsidRPr="0028544C">
              <w:rPr>
                <w:sz w:val="22"/>
                <w:szCs w:val="22"/>
              </w:rPr>
              <w:t>Schedule 2</w:t>
            </w:r>
            <w:r w:rsidR="0088551B" w:rsidRPr="0028544C">
              <w:rPr>
                <w:sz w:val="22"/>
                <w:szCs w:val="22"/>
              </w:rPr>
              <w:t>”</w:t>
            </w:r>
            <w:r w:rsidRPr="0028544C">
              <w:rPr>
                <w:sz w:val="22"/>
                <w:szCs w:val="22"/>
              </w:rPr>
              <w:t>.</w:t>
            </w:r>
          </w:p>
        </w:tc>
      </w:tr>
      <w:tr w:rsidR="00A84EFD" w:rsidRPr="0028544C" w14:paraId="32E74305" w14:textId="77777777" w:rsidTr="00265B26">
        <w:trPr>
          <w:trHeight w:val="192"/>
          <w:jc w:val="center"/>
        </w:trPr>
        <w:tc>
          <w:tcPr>
            <w:tcW w:w="3460" w:type="dxa"/>
            <w:shd w:val="clear" w:color="auto" w:fill="FFFFFF"/>
          </w:tcPr>
          <w:p w14:paraId="62BCD421" w14:textId="7A74930B" w:rsidR="00A84EFD" w:rsidRPr="0028544C" w:rsidRDefault="00FB064C" w:rsidP="005A47E0">
            <w:pPr>
              <w:shd w:val="clear" w:color="auto" w:fill="FFFFFF"/>
              <w:tabs>
                <w:tab w:val="left" w:leader="dot" w:pos="3168"/>
              </w:tabs>
              <w:jc w:val="both"/>
              <w:rPr>
                <w:sz w:val="22"/>
                <w:szCs w:val="22"/>
              </w:rPr>
            </w:pPr>
            <w:r>
              <w:rPr>
                <w:sz w:val="22"/>
                <w:szCs w:val="22"/>
              </w:rPr>
              <w:t>Section 76</w:t>
            </w:r>
            <w:r w:rsidR="00845CAB" w:rsidRPr="0028544C">
              <w:rPr>
                <w:sz w:val="22"/>
                <w:szCs w:val="22"/>
              </w:rPr>
              <w:t>(3)</w:t>
            </w:r>
            <w:r w:rsidR="005A47E0" w:rsidRPr="0028544C">
              <w:rPr>
                <w:sz w:val="22"/>
                <w:szCs w:val="22"/>
              </w:rPr>
              <w:tab/>
            </w:r>
          </w:p>
        </w:tc>
        <w:tc>
          <w:tcPr>
            <w:tcW w:w="6369" w:type="dxa"/>
            <w:shd w:val="clear" w:color="auto" w:fill="FFFFFF"/>
          </w:tcPr>
          <w:p w14:paraId="0122E63C" w14:textId="77777777" w:rsidR="00A84EFD" w:rsidRPr="0028544C" w:rsidRDefault="00845CAB" w:rsidP="008B10AE">
            <w:pPr>
              <w:shd w:val="clear" w:color="auto" w:fill="FFFFFF"/>
              <w:jc w:val="both"/>
              <w:rPr>
                <w:sz w:val="22"/>
                <w:szCs w:val="22"/>
              </w:rPr>
            </w:pPr>
            <w:r w:rsidRPr="0028544C">
              <w:rPr>
                <w:sz w:val="22"/>
                <w:szCs w:val="22"/>
              </w:rPr>
              <w:t xml:space="preserve">Omit </w:t>
            </w:r>
            <w:r w:rsidR="0088551B" w:rsidRPr="0028544C">
              <w:rPr>
                <w:sz w:val="22"/>
                <w:szCs w:val="22"/>
              </w:rPr>
              <w:t>“</w:t>
            </w:r>
            <w:r w:rsidRPr="0028544C">
              <w:rPr>
                <w:sz w:val="22"/>
                <w:szCs w:val="22"/>
              </w:rPr>
              <w:t>of this Act</w:t>
            </w:r>
            <w:r w:rsidR="0088551B" w:rsidRPr="0028544C">
              <w:rPr>
                <w:sz w:val="22"/>
                <w:szCs w:val="22"/>
              </w:rPr>
              <w:t>”</w:t>
            </w:r>
            <w:r w:rsidRPr="0028544C">
              <w:rPr>
                <w:sz w:val="22"/>
                <w:szCs w:val="22"/>
              </w:rPr>
              <w:t>.</w:t>
            </w:r>
          </w:p>
        </w:tc>
      </w:tr>
      <w:tr w:rsidR="00A84EFD" w:rsidRPr="0028544C" w14:paraId="13730E5F" w14:textId="77777777" w:rsidTr="00265B26">
        <w:trPr>
          <w:trHeight w:val="178"/>
          <w:jc w:val="center"/>
        </w:trPr>
        <w:tc>
          <w:tcPr>
            <w:tcW w:w="3460" w:type="dxa"/>
            <w:shd w:val="clear" w:color="auto" w:fill="FFFFFF"/>
          </w:tcPr>
          <w:p w14:paraId="6D02EBA2" w14:textId="6539FC0A" w:rsidR="00A84EFD" w:rsidRPr="0028544C" w:rsidRDefault="00845CAB" w:rsidP="00FB064C">
            <w:pPr>
              <w:shd w:val="clear" w:color="auto" w:fill="FFFFFF"/>
              <w:tabs>
                <w:tab w:val="left" w:leader="dot" w:pos="3168"/>
              </w:tabs>
              <w:jc w:val="both"/>
              <w:rPr>
                <w:sz w:val="22"/>
                <w:szCs w:val="22"/>
              </w:rPr>
            </w:pPr>
            <w:r w:rsidRPr="0028544C">
              <w:rPr>
                <w:sz w:val="22"/>
                <w:szCs w:val="22"/>
              </w:rPr>
              <w:t>Section 76(4)</w:t>
            </w:r>
            <w:r w:rsidR="005A47E0" w:rsidRPr="0028544C">
              <w:rPr>
                <w:sz w:val="22"/>
                <w:szCs w:val="22"/>
              </w:rPr>
              <w:tab/>
            </w:r>
          </w:p>
        </w:tc>
        <w:tc>
          <w:tcPr>
            <w:tcW w:w="6369" w:type="dxa"/>
            <w:shd w:val="clear" w:color="auto" w:fill="FFFFFF"/>
          </w:tcPr>
          <w:p w14:paraId="2416A2DF" w14:textId="77777777" w:rsidR="00A84EFD" w:rsidRPr="0028544C" w:rsidRDefault="00845CAB" w:rsidP="008B10AE">
            <w:pPr>
              <w:shd w:val="clear" w:color="auto" w:fill="FFFFFF"/>
              <w:jc w:val="both"/>
              <w:rPr>
                <w:sz w:val="22"/>
                <w:szCs w:val="22"/>
              </w:rPr>
            </w:pPr>
            <w:r w:rsidRPr="0028544C">
              <w:rPr>
                <w:sz w:val="22"/>
                <w:szCs w:val="22"/>
              </w:rPr>
              <w:t xml:space="preserve">Omit </w:t>
            </w:r>
            <w:r w:rsidR="0088551B" w:rsidRPr="0028544C">
              <w:rPr>
                <w:sz w:val="22"/>
                <w:szCs w:val="22"/>
              </w:rPr>
              <w:t>“</w:t>
            </w:r>
            <w:r w:rsidRPr="0028544C">
              <w:rPr>
                <w:sz w:val="22"/>
                <w:szCs w:val="22"/>
              </w:rPr>
              <w:t>of this Act</w:t>
            </w:r>
            <w:r w:rsidR="0088551B" w:rsidRPr="0028544C">
              <w:rPr>
                <w:sz w:val="22"/>
                <w:szCs w:val="22"/>
              </w:rPr>
              <w:t>”</w:t>
            </w:r>
            <w:r w:rsidRPr="0028544C">
              <w:rPr>
                <w:sz w:val="22"/>
                <w:szCs w:val="22"/>
              </w:rPr>
              <w:t>.</w:t>
            </w:r>
          </w:p>
        </w:tc>
      </w:tr>
      <w:tr w:rsidR="00A84EFD" w:rsidRPr="0028544C" w14:paraId="77A0393F" w14:textId="77777777" w:rsidTr="00265B26">
        <w:trPr>
          <w:trHeight w:val="182"/>
          <w:jc w:val="center"/>
        </w:trPr>
        <w:tc>
          <w:tcPr>
            <w:tcW w:w="3460" w:type="dxa"/>
            <w:shd w:val="clear" w:color="auto" w:fill="FFFFFF"/>
          </w:tcPr>
          <w:p w14:paraId="3FFAFF52" w14:textId="7C86ECD0" w:rsidR="00A84EFD" w:rsidRPr="0028544C" w:rsidRDefault="00845CAB" w:rsidP="00FB064C">
            <w:pPr>
              <w:shd w:val="clear" w:color="auto" w:fill="FFFFFF"/>
              <w:tabs>
                <w:tab w:val="left" w:leader="dot" w:pos="3168"/>
              </w:tabs>
              <w:jc w:val="both"/>
              <w:rPr>
                <w:sz w:val="22"/>
                <w:szCs w:val="22"/>
              </w:rPr>
            </w:pPr>
            <w:r w:rsidRPr="0028544C">
              <w:rPr>
                <w:sz w:val="22"/>
                <w:szCs w:val="22"/>
              </w:rPr>
              <w:t>Section 90(3)</w:t>
            </w:r>
            <w:r w:rsidR="005A47E0" w:rsidRPr="0028544C">
              <w:rPr>
                <w:sz w:val="22"/>
                <w:szCs w:val="22"/>
              </w:rPr>
              <w:tab/>
            </w:r>
          </w:p>
        </w:tc>
        <w:tc>
          <w:tcPr>
            <w:tcW w:w="6369" w:type="dxa"/>
            <w:shd w:val="clear" w:color="auto" w:fill="FFFFFF"/>
          </w:tcPr>
          <w:p w14:paraId="1B21B818" w14:textId="77777777" w:rsidR="00A84EFD" w:rsidRPr="0028544C" w:rsidRDefault="00845CAB" w:rsidP="008B10AE">
            <w:pPr>
              <w:shd w:val="clear" w:color="auto" w:fill="FFFFFF"/>
              <w:jc w:val="both"/>
              <w:rPr>
                <w:sz w:val="22"/>
                <w:szCs w:val="22"/>
              </w:rPr>
            </w:pPr>
            <w:r w:rsidRPr="0028544C">
              <w:rPr>
                <w:sz w:val="22"/>
                <w:szCs w:val="22"/>
              </w:rPr>
              <w:t xml:space="preserve">Omit </w:t>
            </w:r>
            <w:r w:rsidR="0088551B" w:rsidRPr="0028544C">
              <w:rPr>
                <w:sz w:val="22"/>
                <w:szCs w:val="22"/>
              </w:rPr>
              <w:t>“</w:t>
            </w:r>
            <w:r w:rsidRPr="0028544C">
              <w:rPr>
                <w:sz w:val="22"/>
                <w:szCs w:val="22"/>
              </w:rPr>
              <w:t>of this Act</w:t>
            </w:r>
            <w:r w:rsidR="0088551B" w:rsidRPr="0028544C">
              <w:rPr>
                <w:sz w:val="22"/>
                <w:szCs w:val="22"/>
              </w:rPr>
              <w:t>”</w:t>
            </w:r>
            <w:r w:rsidRPr="0028544C">
              <w:rPr>
                <w:sz w:val="22"/>
                <w:szCs w:val="22"/>
              </w:rPr>
              <w:t>.</w:t>
            </w:r>
          </w:p>
        </w:tc>
      </w:tr>
      <w:tr w:rsidR="00A84EFD" w:rsidRPr="0028544C" w14:paraId="1491E96D" w14:textId="77777777" w:rsidTr="00265B26">
        <w:trPr>
          <w:trHeight w:val="178"/>
          <w:jc w:val="center"/>
        </w:trPr>
        <w:tc>
          <w:tcPr>
            <w:tcW w:w="3460" w:type="dxa"/>
            <w:shd w:val="clear" w:color="auto" w:fill="FFFFFF"/>
          </w:tcPr>
          <w:p w14:paraId="58C11F7F" w14:textId="5F37D7F4" w:rsidR="00A84EFD" w:rsidRPr="0028544C" w:rsidRDefault="00845CAB" w:rsidP="00FB064C">
            <w:pPr>
              <w:shd w:val="clear" w:color="auto" w:fill="FFFFFF"/>
              <w:tabs>
                <w:tab w:val="left" w:leader="dot" w:pos="3168"/>
              </w:tabs>
              <w:jc w:val="both"/>
              <w:rPr>
                <w:sz w:val="22"/>
                <w:szCs w:val="22"/>
              </w:rPr>
            </w:pPr>
            <w:r w:rsidRPr="0028544C">
              <w:rPr>
                <w:sz w:val="22"/>
                <w:szCs w:val="22"/>
              </w:rPr>
              <w:t>Section 90(4)</w:t>
            </w:r>
            <w:r w:rsidR="005A47E0" w:rsidRPr="0028544C">
              <w:rPr>
                <w:sz w:val="22"/>
                <w:szCs w:val="22"/>
              </w:rPr>
              <w:tab/>
            </w:r>
          </w:p>
        </w:tc>
        <w:tc>
          <w:tcPr>
            <w:tcW w:w="6369" w:type="dxa"/>
            <w:shd w:val="clear" w:color="auto" w:fill="FFFFFF"/>
          </w:tcPr>
          <w:p w14:paraId="03E21D7D" w14:textId="77777777" w:rsidR="00A84EFD" w:rsidRPr="0028544C" w:rsidRDefault="00845CAB" w:rsidP="008B10AE">
            <w:pPr>
              <w:shd w:val="clear" w:color="auto" w:fill="FFFFFF"/>
              <w:jc w:val="both"/>
              <w:rPr>
                <w:sz w:val="22"/>
                <w:szCs w:val="22"/>
              </w:rPr>
            </w:pPr>
            <w:r w:rsidRPr="0028544C">
              <w:rPr>
                <w:sz w:val="22"/>
                <w:szCs w:val="22"/>
              </w:rPr>
              <w:t xml:space="preserve">Omit </w:t>
            </w:r>
            <w:r w:rsidR="0088551B" w:rsidRPr="0028544C">
              <w:rPr>
                <w:sz w:val="22"/>
                <w:szCs w:val="22"/>
              </w:rPr>
              <w:t>“</w:t>
            </w:r>
            <w:r w:rsidRPr="0028544C">
              <w:rPr>
                <w:sz w:val="22"/>
                <w:szCs w:val="22"/>
              </w:rPr>
              <w:t>of this Act</w:t>
            </w:r>
            <w:r w:rsidR="0088551B" w:rsidRPr="0028544C">
              <w:rPr>
                <w:sz w:val="22"/>
                <w:szCs w:val="22"/>
              </w:rPr>
              <w:t>”</w:t>
            </w:r>
            <w:r w:rsidRPr="0028544C">
              <w:rPr>
                <w:sz w:val="22"/>
                <w:szCs w:val="22"/>
              </w:rPr>
              <w:t>.</w:t>
            </w:r>
          </w:p>
        </w:tc>
      </w:tr>
      <w:tr w:rsidR="00A84EFD" w:rsidRPr="0028544C" w14:paraId="3E40F3E6" w14:textId="77777777" w:rsidTr="00265B26">
        <w:trPr>
          <w:trHeight w:val="178"/>
          <w:jc w:val="center"/>
        </w:trPr>
        <w:tc>
          <w:tcPr>
            <w:tcW w:w="3460" w:type="dxa"/>
            <w:shd w:val="clear" w:color="auto" w:fill="FFFFFF"/>
          </w:tcPr>
          <w:p w14:paraId="3CB4CA19" w14:textId="7C649729" w:rsidR="00A84EFD" w:rsidRPr="0028544C" w:rsidRDefault="00845CAB" w:rsidP="00FB064C">
            <w:pPr>
              <w:shd w:val="clear" w:color="auto" w:fill="FFFFFF"/>
              <w:tabs>
                <w:tab w:val="left" w:leader="dot" w:pos="3168"/>
              </w:tabs>
              <w:jc w:val="both"/>
              <w:rPr>
                <w:sz w:val="22"/>
                <w:szCs w:val="22"/>
              </w:rPr>
            </w:pPr>
            <w:r w:rsidRPr="0028544C">
              <w:rPr>
                <w:sz w:val="22"/>
                <w:szCs w:val="22"/>
              </w:rPr>
              <w:t>Section 104(15)</w:t>
            </w:r>
            <w:r w:rsidR="005A47E0" w:rsidRPr="0028544C">
              <w:rPr>
                <w:sz w:val="22"/>
                <w:szCs w:val="22"/>
              </w:rPr>
              <w:tab/>
            </w:r>
          </w:p>
        </w:tc>
        <w:tc>
          <w:tcPr>
            <w:tcW w:w="6369" w:type="dxa"/>
            <w:shd w:val="clear" w:color="auto" w:fill="FFFFFF"/>
          </w:tcPr>
          <w:p w14:paraId="7EB9F034" w14:textId="59E60967" w:rsidR="00A84EFD" w:rsidRPr="0028544C" w:rsidRDefault="00845CAB" w:rsidP="00FB064C">
            <w:pPr>
              <w:shd w:val="clear" w:color="auto" w:fill="FFFFFF"/>
              <w:jc w:val="both"/>
              <w:rPr>
                <w:sz w:val="22"/>
                <w:szCs w:val="22"/>
              </w:rPr>
            </w:pPr>
            <w:r w:rsidRPr="0028544C">
              <w:rPr>
                <w:sz w:val="22"/>
                <w:szCs w:val="22"/>
              </w:rPr>
              <w:t xml:space="preserve">Omit </w:t>
            </w:r>
            <w:r w:rsidR="0088551B" w:rsidRPr="0028544C">
              <w:rPr>
                <w:sz w:val="22"/>
                <w:szCs w:val="22"/>
              </w:rPr>
              <w:t>“</w:t>
            </w:r>
            <w:r w:rsidRPr="0028544C">
              <w:rPr>
                <w:sz w:val="22"/>
                <w:szCs w:val="22"/>
              </w:rPr>
              <w:t>of this section</w:t>
            </w:r>
            <w:r w:rsidR="00FB064C">
              <w:rPr>
                <w:sz w:val="22"/>
                <w:szCs w:val="22"/>
              </w:rPr>
              <w:t>”</w:t>
            </w:r>
            <w:r w:rsidRPr="0028544C">
              <w:rPr>
                <w:sz w:val="22"/>
                <w:szCs w:val="22"/>
              </w:rPr>
              <w:t>.</w:t>
            </w:r>
          </w:p>
        </w:tc>
      </w:tr>
      <w:tr w:rsidR="00A84EFD" w:rsidRPr="0028544C" w14:paraId="180D397F" w14:textId="77777777" w:rsidTr="00265B26">
        <w:trPr>
          <w:trHeight w:val="178"/>
          <w:jc w:val="center"/>
        </w:trPr>
        <w:tc>
          <w:tcPr>
            <w:tcW w:w="3460" w:type="dxa"/>
            <w:shd w:val="clear" w:color="auto" w:fill="FFFFFF"/>
          </w:tcPr>
          <w:p w14:paraId="5CD9A5E1" w14:textId="3A07F2D6" w:rsidR="00A84EFD" w:rsidRPr="0028544C" w:rsidRDefault="00845CAB" w:rsidP="00FB064C">
            <w:pPr>
              <w:shd w:val="clear" w:color="auto" w:fill="FFFFFF"/>
              <w:tabs>
                <w:tab w:val="left" w:leader="dot" w:pos="3168"/>
              </w:tabs>
              <w:jc w:val="both"/>
              <w:rPr>
                <w:sz w:val="22"/>
                <w:szCs w:val="22"/>
              </w:rPr>
            </w:pPr>
            <w:r w:rsidRPr="0028544C">
              <w:rPr>
                <w:sz w:val="22"/>
                <w:szCs w:val="22"/>
              </w:rPr>
              <w:t>Section 107(4)</w:t>
            </w:r>
            <w:r w:rsidR="005A47E0" w:rsidRPr="0028544C">
              <w:rPr>
                <w:sz w:val="22"/>
                <w:szCs w:val="22"/>
              </w:rPr>
              <w:tab/>
            </w:r>
          </w:p>
        </w:tc>
        <w:tc>
          <w:tcPr>
            <w:tcW w:w="6369" w:type="dxa"/>
            <w:shd w:val="clear" w:color="auto" w:fill="FFFFFF"/>
          </w:tcPr>
          <w:p w14:paraId="24BD9516" w14:textId="77777777" w:rsidR="00A84EFD" w:rsidRPr="0028544C" w:rsidRDefault="00845CAB" w:rsidP="008B10AE">
            <w:pPr>
              <w:shd w:val="clear" w:color="auto" w:fill="FFFFFF"/>
              <w:jc w:val="both"/>
              <w:rPr>
                <w:sz w:val="22"/>
                <w:szCs w:val="22"/>
              </w:rPr>
            </w:pPr>
            <w:r w:rsidRPr="0028544C">
              <w:rPr>
                <w:sz w:val="22"/>
                <w:szCs w:val="22"/>
              </w:rPr>
              <w:t xml:space="preserve">Omit </w:t>
            </w:r>
            <w:r w:rsidR="0088551B" w:rsidRPr="0028544C">
              <w:rPr>
                <w:sz w:val="22"/>
                <w:szCs w:val="22"/>
              </w:rPr>
              <w:t>“</w:t>
            </w:r>
            <w:r w:rsidRPr="0028544C">
              <w:rPr>
                <w:sz w:val="22"/>
                <w:szCs w:val="22"/>
              </w:rPr>
              <w:t>of this Act</w:t>
            </w:r>
            <w:r w:rsidR="0088551B" w:rsidRPr="0028544C">
              <w:rPr>
                <w:sz w:val="22"/>
                <w:szCs w:val="22"/>
              </w:rPr>
              <w:t>”</w:t>
            </w:r>
            <w:r w:rsidRPr="0028544C">
              <w:rPr>
                <w:sz w:val="22"/>
                <w:szCs w:val="22"/>
              </w:rPr>
              <w:t>.</w:t>
            </w:r>
          </w:p>
        </w:tc>
      </w:tr>
      <w:tr w:rsidR="00A84EFD" w:rsidRPr="0028544C" w14:paraId="404541AB" w14:textId="77777777" w:rsidTr="00265B26">
        <w:trPr>
          <w:trHeight w:val="182"/>
          <w:jc w:val="center"/>
        </w:trPr>
        <w:tc>
          <w:tcPr>
            <w:tcW w:w="3460" w:type="dxa"/>
            <w:shd w:val="clear" w:color="auto" w:fill="FFFFFF"/>
          </w:tcPr>
          <w:p w14:paraId="4E638212" w14:textId="5DFBC7A5" w:rsidR="00A84EFD" w:rsidRPr="0028544C" w:rsidRDefault="00845CAB" w:rsidP="00FB064C">
            <w:pPr>
              <w:shd w:val="clear" w:color="auto" w:fill="FFFFFF"/>
              <w:tabs>
                <w:tab w:val="left" w:leader="dot" w:pos="3168"/>
              </w:tabs>
              <w:jc w:val="both"/>
              <w:rPr>
                <w:sz w:val="22"/>
                <w:szCs w:val="22"/>
              </w:rPr>
            </w:pPr>
            <w:r w:rsidRPr="0028544C">
              <w:rPr>
                <w:sz w:val="22"/>
                <w:szCs w:val="22"/>
              </w:rPr>
              <w:t>Section 117(5)</w:t>
            </w:r>
            <w:r w:rsidR="005A47E0" w:rsidRPr="0028544C">
              <w:rPr>
                <w:sz w:val="22"/>
                <w:szCs w:val="22"/>
              </w:rPr>
              <w:tab/>
            </w:r>
          </w:p>
        </w:tc>
        <w:tc>
          <w:tcPr>
            <w:tcW w:w="6369" w:type="dxa"/>
            <w:shd w:val="clear" w:color="auto" w:fill="FFFFFF"/>
          </w:tcPr>
          <w:p w14:paraId="5A81CA93" w14:textId="77777777" w:rsidR="00A84EFD" w:rsidRPr="0028544C" w:rsidRDefault="00845CAB" w:rsidP="008B10AE">
            <w:pPr>
              <w:shd w:val="clear" w:color="auto" w:fill="FFFFFF"/>
              <w:jc w:val="both"/>
              <w:rPr>
                <w:sz w:val="22"/>
                <w:szCs w:val="22"/>
              </w:rPr>
            </w:pPr>
            <w:r w:rsidRPr="0028544C">
              <w:rPr>
                <w:sz w:val="22"/>
                <w:szCs w:val="22"/>
              </w:rPr>
              <w:t xml:space="preserve">Omit </w:t>
            </w:r>
            <w:r w:rsidR="0088551B" w:rsidRPr="0028544C">
              <w:rPr>
                <w:sz w:val="22"/>
                <w:szCs w:val="22"/>
              </w:rPr>
              <w:t>“</w:t>
            </w:r>
            <w:r w:rsidRPr="0028544C">
              <w:rPr>
                <w:sz w:val="22"/>
                <w:szCs w:val="22"/>
              </w:rPr>
              <w:t>of this Act</w:t>
            </w:r>
            <w:r w:rsidR="0088551B" w:rsidRPr="0028544C">
              <w:rPr>
                <w:sz w:val="22"/>
                <w:szCs w:val="22"/>
              </w:rPr>
              <w:t>”</w:t>
            </w:r>
            <w:r w:rsidRPr="0028544C">
              <w:rPr>
                <w:sz w:val="22"/>
                <w:szCs w:val="22"/>
              </w:rPr>
              <w:t>.</w:t>
            </w:r>
          </w:p>
        </w:tc>
      </w:tr>
      <w:tr w:rsidR="00A84EFD" w:rsidRPr="0028544C" w14:paraId="42E7678E" w14:textId="77777777" w:rsidTr="00265B26">
        <w:trPr>
          <w:trHeight w:val="163"/>
          <w:jc w:val="center"/>
        </w:trPr>
        <w:tc>
          <w:tcPr>
            <w:tcW w:w="3460" w:type="dxa"/>
            <w:shd w:val="clear" w:color="auto" w:fill="FFFFFF"/>
          </w:tcPr>
          <w:p w14:paraId="3BF515E9" w14:textId="77777777" w:rsidR="00A84EFD" w:rsidRPr="0028544C" w:rsidRDefault="00845CAB" w:rsidP="005A47E0">
            <w:pPr>
              <w:shd w:val="clear" w:color="auto" w:fill="FFFFFF"/>
              <w:tabs>
                <w:tab w:val="left" w:leader="dot" w:pos="3168"/>
              </w:tabs>
              <w:jc w:val="both"/>
              <w:rPr>
                <w:sz w:val="22"/>
                <w:szCs w:val="22"/>
              </w:rPr>
            </w:pPr>
            <w:r w:rsidRPr="0028544C">
              <w:rPr>
                <w:sz w:val="22"/>
                <w:szCs w:val="22"/>
              </w:rPr>
              <w:t>The Schedules</w:t>
            </w:r>
            <w:r w:rsidR="005A47E0" w:rsidRPr="0028544C">
              <w:rPr>
                <w:sz w:val="22"/>
                <w:szCs w:val="22"/>
              </w:rPr>
              <w:tab/>
            </w:r>
          </w:p>
        </w:tc>
        <w:tc>
          <w:tcPr>
            <w:tcW w:w="6369" w:type="dxa"/>
            <w:shd w:val="clear" w:color="auto" w:fill="FFFFFF"/>
          </w:tcPr>
          <w:p w14:paraId="44566EDA" w14:textId="77777777" w:rsidR="00A84EFD" w:rsidRPr="0028544C" w:rsidRDefault="00845CAB" w:rsidP="008B10AE">
            <w:pPr>
              <w:shd w:val="clear" w:color="auto" w:fill="FFFFFF"/>
              <w:jc w:val="both"/>
              <w:rPr>
                <w:sz w:val="22"/>
                <w:szCs w:val="22"/>
              </w:rPr>
            </w:pPr>
            <w:r w:rsidRPr="0028544C">
              <w:rPr>
                <w:sz w:val="22"/>
                <w:szCs w:val="22"/>
              </w:rPr>
              <w:t xml:space="preserve">Omit </w:t>
            </w:r>
            <w:r w:rsidR="0088551B" w:rsidRPr="0028544C">
              <w:rPr>
                <w:sz w:val="22"/>
                <w:szCs w:val="22"/>
              </w:rPr>
              <w:t>“</w:t>
            </w:r>
            <w:r w:rsidRPr="0028544C">
              <w:rPr>
                <w:sz w:val="22"/>
                <w:szCs w:val="22"/>
              </w:rPr>
              <w:t>THE SCHEDULES</w:t>
            </w:r>
            <w:r w:rsidR="0088551B" w:rsidRPr="0028544C">
              <w:rPr>
                <w:sz w:val="22"/>
                <w:szCs w:val="22"/>
              </w:rPr>
              <w:t>”</w:t>
            </w:r>
            <w:r w:rsidRPr="0028544C">
              <w:rPr>
                <w:sz w:val="22"/>
                <w:szCs w:val="22"/>
              </w:rPr>
              <w:t>.</w:t>
            </w:r>
          </w:p>
        </w:tc>
      </w:tr>
      <w:tr w:rsidR="00A84EFD" w:rsidRPr="0028544C" w14:paraId="77BB360E" w14:textId="77777777" w:rsidTr="00265B26">
        <w:trPr>
          <w:trHeight w:val="355"/>
          <w:jc w:val="center"/>
        </w:trPr>
        <w:tc>
          <w:tcPr>
            <w:tcW w:w="3460" w:type="dxa"/>
            <w:shd w:val="clear" w:color="auto" w:fill="FFFFFF"/>
          </w:tcPr>
          <w:p w14:paraId="427C7B91" w14:textId="77777777" w:rsidR="00A84EFD" w:rsidRPr="0028544C" w:rsidRDefault="00845CAB" w:rsidP="005A47E0">
            <w:pPr>
              <w:shd w:val="clear" w:color="auto" w:fill="FFFFFF"/>
              <w:tabs>
                <w:tab w:val="left" w:leader="dot" w:pos="3168"/>
              </w:tabs>
              <w:jc w:val="both"/>
              <w:rPr>
                <w:sz w:val="22"/>
                <w:szCs w:val="22"/>
              </w:rPr>
            </w:pPr>
            <w:r w:rsidRPr="0028544C">
              <w:rPr>
                <w:sz w:val="22"/>
                <w:szCs w:val="22"/>
              </w:rPr>
              <w:t>First Schedule</w:t>
            </w:r>
            <w:r w:rsidR="005A47E0" w:rsidRPr="0028544C">
              <w:rPr>
                <w:sz w:val="22"/>
                <w:szCs w:val="22"/>
              </w:rPr>
              <w:tab/>
            </w:r>
          </w:p>
        </w:tc>
        <w:tc>
          <w:tcPr>
            <w:tcW w:w="6369" w:type="dxa"/>
            <w:shd w:val="clear" w:color="auto" w:fill="FFFFFF"/>
          </w:tcPr>
          <w:p w14:paraId="3C9D405E" w14:textId="0FCE9B0A" w:rsidR="00A84EFD" w:rsidRPr="0028544C" w:rsidRDefault="00845CAB" w:rsidP="008B10AE">
            <w:pPr>
              <w:shd w:val="clear" w:color="auto" w:fill="FFFFFF"/>
              <w:jc w:val="both"/>
              <w:rPr>
                <w:sz w:val="22"/>
                <w:szCs w:val="22"/>
              </w:rPr>
            </w:pPr>
            <w:r w:rsidRPr="0028544C">
              <w:rPr>
                <w:sz w:val="22"/>
                <w:szCs w:val="22"/>
              </w:rPr>
              <w:t xml:space="preserve">Omit </w:t>
            </w:r>
            <w:r w:rsidR="0088551B" w:rsidRPr="0028544C">
              <w:rPr>
                <w:sz w:val="22"/>
                <w:szCs w:val="22"/>
              </w:rPr>
              <w:t>“</w:t>
            </w:r>
            <w:r w:rsidRPr="0028544C">
              <w:rPr>
                <w:sz w:val="22"/>
                <w:szCs w:val="22"/>
              </w:rPr>
              <w:t>FIRST SCHEDULE</w:t>
            </w:r>
            <w:r w:rsidR="0088551B" w:rsidRPr="0028544C">
              <w:rPr>
                <w:sz w:val="22"/>
                <w:szCs w:val="22"/>
              </w:rPr>
              <w:t>”</w:t>
            </w:r>
            <w:r w:rsidRPr="0028544C">
              <w:rPr>
                <w:sz w:val="22"/>
                <w:szCs w:val="22"/>
              </w:rPr>
              <w:t xml:space="preserve">, substitute </w:t>
            </w:r>
            <w:r w:rsidR="0088551B" w:rsidRPr="0028544C">
              <w:rPr>
                <w:sz w:val="22"/>
                <w:szCs w:val="22"/>
              </w:rPr>
              <w:t>“</w:t>
            </w:r>
            <w:r w:rsidRPr="0028544C">
              <w:rPr>
                <w:sz w:val="22"/>
                <w:szCs w:val="22"/>
              </w:rPr>
              <w:t>SCHEDULE</w:t>
            </w:r>
            <w:r w:rsidR="00FB064C">
              <w:rPr>
                <w:sz w:val="22"/>
                <w:szCs w:val="22"/>
              </w:rPr>
              <w:t>”.</w:t>
            </w:r>
          </w:p>
        </w:tc>
      </w:tr>
      <w:tr w:rsidR="00A84EFD" w:rsidRPr="0028544C" w14:paraId="5F0213D6" w14:textId="77777777" w:rsidTr="00265B26">
        <w:trPr>
          <w:trHeight w:val="360"/>
          <w:jc w:val="center"/>
        </w:trPr>
        <w:tc>
          <w:tcPr>
            <w:tcW w:w="3460" w:type="dxa"/>
            <w:shd w:val="clear" w:color="auto" w:fill="FFFFFF"/>
          </w:tcPr>
          <w:p w14:paraId="6415A41B" w14:textId="77777777" w:rsidR="00A84EFD" w:rsidRPr="0028544C" w:rsidRDefault="00845CAB" w:rsidP="005A47E0">
            <w:pPr>
              <w:shd w:val="clear" w:color="auto" w:fill="FFFFFF"/>
              <w:tabs>
                <w:tab w:val="left" w:leader="dot" w:pos="3168"/>
              </w:tabs>
              <w:jc w:val="both"/>
              <w:rPr>
                <w:sz w:val="22"/>
                <w:szCs w:val="22"/>
              </w:rPr>
            </w:pPr>
            <w:r w:rsidRPr="0028544C">
              <w:rPr>
                <w:sz w:val="22"/>
                <w:szCs w:val="22"/>
              </w:rPr>
              <w:t>Second Schedule</w:t>
            </w:r>
            <w:r w:rsidR="005A47E0" w:rsidRPr="0028544C">
              <w:rPr>
                <w:sz w:val="22"/>
                <w:szCs w:val="22"/>
              </w:rPr>
              <w:tab/>
            </w:r>
          </w:p>
        </w:tc>
        <w:tc>
          <w:tcPr>
            <w:tcW w:w="6369" w:type="dxa"/>
            <w:shd w:val="clear" w:color="auto" w:fill="FFFFFF"/>
          </w:tcPr>
          <w:p w14:paraId="2D4584BD" w14:textId="77777777" w:rsidR="00A84EFD" w:rsidRPr="0028544C" w:rsidRDefault="00845CAB" w:rsidP="008B10AE">
            <w:pPr>
              <w:shd w:val="clear" w:color="auto" w:fill="FFFFFF"/>
              <w:jc w:val="both"/>
              <w:rPr>
                <w:sz w:val="22"/>
                <w:szCs w:val="22"/>
              </w:rPr>
            </w:pPr>
            <w:r w:rsidRPr="0028544C">
              <w:rPr>
                <w:sz w:val="22"/>
                <w:szCs w:val="22"/>
              </w:rPr>
              <w:t xml:space="preserve">Omit </w:t>
            </w:r>
            <w:r w:rsidR="0088551B" w:rsidRPr="0028544C">
              <w:rPr>
                <w:sz w:val="22"/>
                <w:szCs w:val="22"/>
              </w:rPr>
              <w:t>“</w:t>
            </w:r>
            <w:r w:rsidRPr="0028544C">
              <w:rPr>
                <w:sz w:val="22"/>
                <w:szCs w:val="22"/>
              </w:rPr>
              <w:t>SECOND SCHEDULE</w:t>
            </w:r>
            <w:r w:rsidR="0088551B" w:rsidRPr="0028544C">
              <w:rPr>
                <w:sz w:val="22"/>
                <w:szCs w:val="22"/>
              </w:rPr>
              <w:t>”</w:t>
            </w:r>
            <w:r w:rsidRPr="0028544C">
              <w:rPr>
                <w:sz w:val="22"/>
                <w:szCs w:val="22"/>
              </w:rPr>
              <w:t xml:space="preserve">, substitute </w:t>
            </w:r>
            <w:r w:rsidR="0088551B" w:rsidRPr="0028544C">
              <w:rPr>
                <w:sz w:val="22"/>
                <w:szCs w:val="22"/>
              </w:rPr>
              <w:t>“</w:t>
            </w:r>
            <w:r w:rsidRPr="0028544C">
              <w:rPr>
                <w:sz w:val="22"/>
                <w:szCs w:val="22"/>
              </w:rPr>
              <w:t>SCHEDULE 2</w:t>
            </w:r>
            <w:r w:rsidR="0088551B" w:rsidRPr="0028544C">
              <w:rPr>
                <w:sz w:val="22"/>
                <w:szCs w:val="22"/>
              </w:rPr>
              <w:t>”</w:t>
            </w:r>
            <w:r w:rsidRPr="0028544C">
              <w:rPr>
                <w:sz w:val="22"/>
                <w:szCs w:val="22"/>
              </w:rPr>
              <w:t>.</w:t>
            </w:r>
          </w:p>
        </w:tc>
      </w:tr>
      <w:tr w:rsidR="00A84EFD" w:rsidRPr="0028544C" w14:paraId="76BAEBD4" w14:textId="77777777" w:rsidTr="00265B26">
        <w:trPr>
          <w:trHeight w:val="315"/>
          <w:jc w:val="center"/>
        </w:trPr>
        <w:tc>
          <w:tcPr>
            <w:tcW w:w="3460" w:type="dxa"/>
            <w:tcBorders>
              <w:bottom w:val="single" w:sz="4" w:space="0" w:color="auto"/>
            </w:tcBorders>
            <w:shd w:val="clear" w:color="auto" w:fill="FFFFFF"/>
          </w:tcPr>
          <w:p w14:paraId="6DBFD607" w14:textId="77777777" w:rsidR="00A84EFD" w:rsidRPr="0028544C" w:rsidRDefault="00845CAB" w:rsidP="005A47E0">
            <w:pPr>
              <w:shd w:val="clear" w:color="auto" w:fill="FFFFFF"/>
              <w:tabs>
                <w:tab w:val="left" w:leader="dot" w:pos="3168"/>
              </w:tabs>
              <w:jc w:val="both"/>
              <w:rPr>
                <w:sz w:val="22"/>
                <w:szCs w:val="22"/>
              </w:rPr>
            </w:pPr>
            <w:r w:rsidRPr="0028544C">
              <w:rPr>
                <w:sz w:val="22"/>
                <w:szCs w:val="22"/>
              </w:rPr>
              <w:t>Third Schedule</w:t>
            </w:r>
            <w:r w:rsidR="005A47E0" w:rsidRPr="0028544C">
              <w:rPr>
                <w:sz w:val="22"/>
                <w:szCs w:val="22"/>
              </w:rPr>
              <w:tab/>
            </w:r>
          </w:p>
        </w:tc>
        <w:tc>
          <w:tcPr>
            <w:tcW w:w="6369" w:type="dxa"/>
            <w:tcBorders>
              <w:bottom w:val="single" w:sz="4" w:space="0" w:color="auto"/>
            </w:tcBorders>
            <w:shd w:val="clear" w:color="auto" w:fill="FFFFFF"/>
          </w:tcPr>
          <w:p w14:paraId="7382A9D9" w14:textId="77777777" w:rsidR="00A84EFD" w:rsidRPr="0028544C" w:rsidRDefault="00845CAB" w:rsidP="008B10AE">
            <w:pPr>
              <w:shd w:val="clear" w:color="auto" w:fill="FFFFFF"/>
              <w:jc w:val="both"/>
              <w:rPr>
                <w:sz w:val="22"/>
                <w:szCs w:val="22"/>
              </w:rPr>
            </w:pPr>
            <w:r w:rsidRPr="0028544C">
              <w:rPr>
                <w:sz w:val="22"/>
                <w:szCs w:val="22"/>
              </w:rPr>
              <w:t xml:space="preserve">Omit </w:t>
            </w:r>
            <w:r w:rsidR="0088551B" w:rsidRPr="0028544C">
              <w:rPr>
                <w:sz w:val="22"/>
                <w:szCs w:val="22"/>
              </w:rPr>
              <w:t>“</w:t>
            </w:r>
            <w:r w:rsidRPr="0028544C">
              <w:rPr>
                <w:sz w:val="22"/>
                <w:szCs w:val="22"/>
              </w:rPr>
              <w:t>THIRD SCHEDULE</w:t>
            </w:r>
            <w:r w:rsidR="0088551B" w:rsidRPr="0028544C">
              <w:rPr>
                <w:sz w:val="22"/>
                <w:szCs w:val="22"/>
              </w:rPr>
              <w:t>”</w:t>
            </w:r>
            <w:r w:rsidRPr="0028544C">
              <w:rPr>
                <w:sz w:val="22"/>
                <w:szCs w:val="22"/>
              </w:rPr>
              <w:t xml:space="preserve">, substitute </w:t>
            </w:r>
            <w:r w:rsidR="0088551B" w:rsidRPr="0028544C">
              <w:rPr>
                <w:sz w:val="22"/>
                <w:szCs w:val="22"/>
              </w:rPr>
              <w:t>“</w:t>
            </w:r>
            <w:r w:rsidRPr="0028544C">
              <w:rPr>
                <w:sz w:val="22"/>
                <w:szCs w:val="22"/>
              </w:rPr>
              <w:t>SCHEDULE 3</w:t>
            </w:r>
            <w:r w:rsidR="0088551B" w:rsidRPr="0028544C">
              <w:rPr>
                <w:sz w:val="22"/>
                <w:szCs w:val="22"/>
              </w:rPr>
              <w:t>”</w:t>
            </w:r>
            <w:r w:rsidRPr="0028544C">
              <w:rPr>
                <w:sz w:val="22"/>
                <w:szCs w:val="22"/>
              </w:rPr>
              <w:t>.</w:t>
            </w:r>
          </w:p>
        </w:tc>
      </w:tr>
    </w:tbl>
    <w:p w14:paraId="3D86A47B" w14:textId="6EFFDBDF" w:rsidR="00845CAB" w:rsidRPr="0028544C" w:rsidRDefault="005A47E0" w:rsidP="00FB064C">
      <w:pPr>
        <w:shd w:val="clear" w:color="auto" w:fill="FFFFFF"/>
        <w:spacing w:before="480" w:after="120"/>
        <w:jc w:val="center"/>
        <w:rPr>
          <w:sz w:val="24"/>
          <w:szCs w:val="22"/>
        </w:rPr>
      </w:pPr>
      <w:r w:rsidRPr="0028544C">
        <w:rPr>
          <w:b/>
          <w:bCs/>
          <w:noProof/>
          <w:sz w:val="24"/>
          <w:szCs w:val="22"/>
          <w:lang w:val="en-AU" w:eastAsia="en-AU"/>
        </w:rPr>
        <mc:AlternateContent>
          <mc:Choice Requires="wps">
            <w:drawing>
              <wp:anchor distT="0" distB="0" distL="114300" distR="114300" simplePos="0" relativeHeight="251659264" behindDoc="0" locked="0" layoutInCell="1" allowOverlap="1" wp14:anchorId="08B7311C" wp14:editId="76E3C18E">
                <wp:simplePos x="0" y="0"/>
                <wp:positionH relativeFrom="column">
                  <wp:posOffset>-239573</wp:posOffset>
                </wp:positionH>
                <wp:positionV relativeFrom="paragraph">
                  <wp:posOffset>167462</wp:posOffset>
                </wp:positionV>
                <wp:extent cx="6481267" cy="0"/>
                <wp:effectExtent l="0" t="0" r="15240" b="19050"/>
                <wp:wrapNone/>
                <wp:docPr id="1" name="Straight Connector 1"/>
                <wp:cNvGraphicFramePr/>
                <a:graphic xmlns:a="http://schemas.openxmlformats.org/drawingml/2006/main">
                  <a:graphicData uri="http://schemas.microsoft.com/office/word/2010/wordprocessingShape">
                    <wps:wsp>
                      <wps:cNvCnPr/>
                      <wps:spPr>
                        <a:xfrm>
                          <a:off x="0" y="0"/>
                          <a:ext cx="64812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F513C2F"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85pt,13.2pt" to="491.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" strokecolor="black [3040]"/>
            </w:pict>
          </mc:Fallback>
        </mc:AlternateContent>
      </w:r>
    </w:p>
    <w:sectPr w:rsidR="00845CAB" w:rsidRPr="0028544C" w:rsidSect="00375DFB">
      <w:headerReference w:type="even" r:id="rId8"/>
      <w:headerReference w:type="default" r:id="rId9"/>
      <w:type w:val="continuous"/>
      <w:pgSz w:w="11909" w:h="18000"/>
      <w:pgMar w:top="1080" w:right="1080" w:bottom="1080" w:left="1080" w:header="720" w:footer="720" w:gutter="0"/>
      <w:cols w:space="720"/>
      <w:noEndnote/>
      <w:titlePg/>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2DDB3E0" w15:done="0"/>
  <w15:commentEx w15:paraId="5B7C2749" w15:done="0"/>
  <w15:commentEx w15:paraId="0F224903" w15:done="0"/>
  <w15:commentEx w15:paraId="6FF5F9A0" w15:done="0"/>
  <w15:commentEx w15:paraId="5F1D7E82" w15:done="0"/>
  <w15:commentEx w15:paraId="336D947A" w15:done="0"/>
  <w15:commentEx w15:paraId="7EC7258C" w15:done="0"/>
  <w15:commentEx w15:paraId="74BFC2A8" w15:done="0"/>
  <w15:commentEx w15:paraId="7CF4E1F0" w15:done="0"/>
  <w15:commentEx w15:paraId="24750D14" w15:done="0"/>
  <w15:commentEx w15:paraId="5DE77D22" w15:done="0"/>
  <w15:commentEx w15:paraId="558B6775" w15:done="0"/>
  <w15:commentEx w15:paraId="0363BFE1" w15:done="0"/>
  <w15:commentEx w15:paraId="3EDEB817" w15:done="0"/>
  <w15:commentEx w15:paraId="5244534B" w15:done="0"/>
  <w15:commentEx w15:paraId="7A42ECD0" w15:done="0"/>
  <w15:commentEx w15:paraId="4546872F" w15:done="0"/>
  <w15:commentEx w15:paraId="5225AF78" w15:done="0"/>
  <w15:commentEx w15:paraId="739AE73A" w15:done="0"/>
  <w15:commentEx w15:paraId="6365D9D7" w15:done="0"/>
  <w15:commentEx w15:paraId="5468EB53" w15:done="0"/>
  <w15:commentEx w15:paraId="0F78EC1F" w15:done="0"/>
  <w15:commentEx w15:paraId="0FD886E0" w15:done="0"/>
  <w15:commentEx w15:paraId="41B8A502" w15:done="0"/>
  <w15:commentEx w15:paraId="460604EC" w15:done="0"/>
  <w15:commentEx w15:paraId="3012C35C" w15:done="0"/>
  <w15:commentEx w15:paraId="00CFBDCF" w15:done="0"/>
  <w15:commentEx w15:paraId="42C38A53" w15:done="0"/>
  <w15:commentEx w15:paraId="39A4B607" w15:done="0"/>
  <w15:commentEx w15:paraId="387AB0AD" w15:done="0"/>
  <w15:commentEx w15:paraId="1653B814" w15:done="0"/>
  <w15:commentEx w15:paraId="04079AA0" w15:done="0"/>
  <w15:commentEx w15:paraId="1FFA4A1D" w15:done="0"/>
  <w15:commentEx w15:paraId="4E9E3B19" w15:done="0"/>
  <w15:commentEx w15:paraId="1C402DAC" w15:done="0"/>
  <w15:commentEx w15:paraId="2AA3D92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DDB3E0" w16cid:durableId="1F5DED1F"/>
  <w16cid:commentId w16cid:paraId="5B7C2749" w16cid:durableId="1F5DED29"/>
  <w16cid:commentId w16cid:paraId="0F224903" w16cid:durableId="1F5DED4C"/>
  <w16cid:commentId w16cid:paraId="6FF5F9A0" w16cid:durableId="1F5DED53"/>
  <w16cid:commentId w16cid:paraId="5F1D7E82" w16cid:durableId="1F5DED5A"/>
  <w16cid:commentId w16cid:paraId="336D947A" w16cid:durableId="1F5DED65"/>
  <w16cid:commentId w16cid:paraId="7EC7258C" w16cid:durableId="1F5DED9C"/>
  <w16cid:commentId w16cid:paraId="74BFC2A8" w16cid:durableId="1F5DEDAD"/>
  <w16cid:commentId w16cid:paraId="7CF4E1F0" w16cid:durableId="1F5DEDDA"/>
  <w16cid:commentId w16cid:paraId="24750D14" w16cid:durableId="1F5DEDE4"/>
  <w16cid:commentId w16cid:paraId="5DE77D22" w16cid:durableId="1F5DEE05"/>
  <w16cid:commentId w16cid:paraId="558B6775" w16cid:durableId="1F5DEE0A"/>
  <w16cid:commentId w16cid:paraId="0363BFE1" w16cid:durableId="1F5DEE18"/>
  <w16cid:commentId w16cid:paraId="3EDEB817" w16cid:durableId="1F5DEE1E"/>
  <w16cid:commentId w16cid:paraId="5244534B" w16cid:durableId="1F5DEE22"/>
  <w16cid:commentId w16cid:paraId="7A42ECD0" w16cid:durableId="1F5DEE2B"/>
  <w16cid:commentId w16cid:paraId="4546872F" w16cid:durableId="1F5DEE2E"/>
  <w16cid:commentId w16cid:paraId="5225AF78" w16cid:durableId="1F5DEE34"/>
  <w16cid:commentId w16cid:paraId="739AE73A" w16cid:durableId="1F5DEE38"/>
  <w16cid:commentId w16cid:paraId="6365D9D7" w16cid:durableId="1F5DEE3D"/>
  <w16cid:commentId w16cid:paraId="5468EB53" w16cid:durableId="1F5DEE45"/>
  <w16cid:commentId w16cid:paraId="0F78EC1F" w16cid:durableId="1F5DEE4B"/>
  <w16cid:commentId w16cid:paraId="0FD886E0" w16cid:durableId="1F5DEE4F"/>
  <w16cid:commentId w16cid:paraId="41B8A502" w16cid:durableId="1F5DEE54"/>
  <w16cid:commentId w16cid:paraId="460604EC" w16cid:durableId="1F5DEE5B"/>
  <w16cid:commentId w16cid:paraId="3012C35C" w16cid:durableId="1F5DEE60"/>
  <w16cid:commentId w16cid:paraId="00CFBDCF" w16cid:durableId="1F5DEE6B"/>
  <w16cid:commentId w16cid:paraId="42C38A53" w16cid:durableId="1F5DEE7B"/>
  <w16cid:commentId w16cid:paraId="39A4B607" w16cid:durableId="1F5DEE82"/>
  <w16cid:commentId w16cid:paraId="387AB0AD" w16cid:durableId="1F5DEE86"/>
  <w16cid:commentId w16cid:paraId="1653B814" w16cid:durableId="1F5DEE8B"/>
  <w16cid:commentId w16cid:paraId="04079AA0" w16cid:durableId="1F5DEE90"/>
  <w16cid:commentId w16cid:paraId="1FFA4A1D" w16cid:durableId="1F5DEEAB"/>
  <w16cid:commentId w16cid:paraId="4E9E3B19" w16cid:durableId="1F5DEEBC"/>
  <w16cid:commentId w16cid:paraId="1C402DAC" w16cid:durableId="1F5DEEE3"/>
  <w16cid:commentId w16cid:paraId="2AA3D92D" w16cid:durableId="1F5DEEC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A4FA47" w14:textId="77777777" w:rsidR="00C8341A" w:rsidRDefault="00C8341A" w:rsidP="00375DFB">
      <w:r>
        <w:separator/>
      </w:r>
    </w:p>
  </w:endnote>
  <w:endnote w:type="continuationSeparator" w:id="0">
    <w:p w14:paraId="504DAE71" w14:textId="77777777" w:rsidR="00C8341A" w:rsidRDefault="00C8341A" w:rsidP="00375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CB9E5A" w14:textId="77777777" w:rsidR="00C8341A" w:rsidRDefault="00C8341A" w:rsidP="00375DFB">
      <w:r>
        <w:separator/>
      </w:r>
    </w:p>
  </w:footnote>
  <w:footnote w:type="continuationSeparator" w:id="0">
    <w:p w14:paraId="2A1C1D92" w14:textId="77777777" w:rsidR="00C8341A" w:rsidRDefault="00C8341A" w:rsidP="00375D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5F378F" w14:textId="77777777" w:rsidR="00375DFB" w:rsidRPr="00375DFB" w:rsidRDefault="00375DFB" w:rsidP="00375DFB">
    <w:pPr>
      <w:pStyle w:val="Header"/>
      <w:tabs>
        <w:tab w:val="clear" w:pos="4680"/>
        <w:tab w:val="clear" w:pos="9360"/>
        <w:tab w:val="center" w:pos="4860"/>
        <w:tab w:val="right" w:pos="9720"/>
      </w:tabs>
      <w:rPr>
        <w:sz w:val="24"/>
        <w:szCs w:val="22"/>
      </w:rPr>
    </w:pPr>
    <w:r w:rsidRPr="00375DFB">
      <w:rPr>
        <w:sz w:val="24"/>
        <w:szCs w:val="22"/>
      </w:rPr>
      <w:t>No. 166</w:t>
    </w:r>
    <w:r w:rsidRPr="00375DFB">
      <w:rPr>
        <w:sz w:val="24"/>
        <w:szCs w:val="22"/>
      </w:rPr>
      <w:tab/>
    </w:r>
    <w:r w:rsidRPr="00375DFB">
      <w:rPr>
        <w:i/>
        <w:iCs/>
        <w:sz w:val="24"/>
        <w:szCs w:val="22"/>
      </w:rPr>
      <w:t>Compensation (Commonwealth Government</w:t>
    </w:r>
    <w:r w:rsidRPr="00375DFB">
      <w:rPr>
        <w:i/>
        <w:iCs/>
        <w:sz w:val="24"/>
        <w:szCs w:val="22"/>
      </w:rPr>
      <w:tab/>
    </w:r>
    <w:r w:rsidRPr="00375DFB">
      <w:rPr>
        <w:sz w:val="24"/>
        <w:szCs w:val="22"/>
      </w:rPr>
      <w:t>1976</w:t>
    </w:r>
  </w:p>
  <w:p w14:paraId="4EE33573" w14:textId="77777777" w:rsidR="00375DFB" w:rsidRPr="00375DFB" w:rsidRDefault="00375DFB" w:rsidP="00375DFB">
    <w:pPr>
      <w:pStyle w:val="Header"/>
      <w:tabs>
        <w:tab w:val="clear" w:pos="4680"/>
        <w:tab w:val="clear" w:pos="9360"/>
        <w:tab w:val="center" w:pos="4860"/>
        <w:tab w:val="right" w:pos="9720"/>
      </w:tabs>
      <w:jc w:val="center"/>
      <w:rPr>
        <w:sz w:val="24"/>
      </w:rPr>
    </w:pPr>
    <w:r w:rsidRPr="00375DFB">
      <w:rPr>
        <w:i/>
        <w:iCs/>
        <w:sz w:val="24"/>
        <w:szCs w:val="22"/>
      </w:rPr>
      <w:t>Employees) Amendment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537EF0" w14:textId="77777777" w:rsidR="00375DFB" w:rsidRPr="00375DFB" w:rsidRDefault="00375DFB" w:rsidP="00375DFB">
    <w:pPr>
      <w:pStyle w:val="Header"/>
      <w:tabs>
        <w:tab w:val="clear" w:pos="4680"/>
        <w:tab w:val="clear" w:pos="9360"/>
        <w:tab w:val="center" w:pos="4860"/>
        <w:tab w:val="right" w:pos="9720"/>
      </w:tabs>
      <w:rPr>
        <w:sz w:val="24"/>
        <w:szCs w:val="22"/>
      </w:rPr>
    </w:pPr>
    <w:r w:rsidRPr="00375DFB">
      <w:rPr>
        <w:sz w:val="24"/>
        <w:szCs w:val="22"/>
      </w:rPr>
      <w:t>1976</w:t>
    </w:r>
    <w:r w:rsidRPr="00375DFB">
      <w:rPr>
        <w:sz w:val="24"/>
        <w:szCs w:val="22"/>
      </w:rPr>
      <w:tab/>
    </w:r>
    <w:r w:rsidRPr="00375DFB">
      <w:rPr>
        <w:i/>
        <w:iCs/>
        <w:sz w:val="24"/>
        <w:szCs w:val="22"/>
      </w:rPr>
      <w:t>Compensation (Commonwealth Government</w:t>
    </w:r>
    <w:r w:rsidRPr="00375DFB">
      <w:rPr>
        <w:i/>
        <w:iCs/>
        <w:sz w:val="24"/>
        <w:szCs w:val="22"/>
      </w:rPr>
      <w:tab/>
    </w:r>
    <w:r w:rsidRPr="00375DFB">
      <w:rPr>
        <w:sz w:val="24"/>
        <w:szCs w:val="22"/>
      </w:rPr>
      <w:t>No. 166</w:t>
    </w:r>
  </w:p>
  <w:p w14:paraId="26399588" w14:textId="77777777" w:rsidR="00375DFB" w:rsidRPr="00375DFB" w:rsidRDefault="00375DFB" w:rsidP="00375DFB">
    <w:pPr>
      <w:pStyle w:val="Header"/>
      <w:tabs>
        <w:tab w:val="clear" w:pos="4680"/>
        <w:tab w:val="clear" w:pos="9360"/>
        <w:tab w:val="center" w:pos="4860"/>
        <w:tab w:val="right" w:pos="9720"/>
      </w:tabs>
      <w:jc w:val="center"/>
      <w:rPr>
        <w:sz w:val="24"/>
      </w:rPr>
    </w:pPr>
    <w:r w:rsidRPr="00375DFB">
      <w:rPr>
        <w:i/>
        <w:iCs/>
        <w:sz w:val="24"/>
        <w:szCs w:val="22"/>
      </w:rPr>
      <w:t>Employees) Amendment</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revisionView w:markup="0"/>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51B"/>
    <w:rsid w:val="000271D5"/>
    <w:rsid w:val="000356EE"/>
    <w:rsid w:val="0006197A"/>
    <w:rsid w:val="00063661"/>
    <w:rsid w:val="001D7875"/>
    <w:rsid w:val="00234E60"/>
    <w:rsid w:val="00265B26"/>
    <w:rsid w:val="0028544C"/>
    <w:rsid w:val="00375DFB"/>
    <w:rsid w:val="003B66E9"/>
    <w:rsid w:val="005A47E0"/>
    <w:rsid w:val="005C106C"/>
    <w:rsid w:val="006339D4"/>
    <w:rsid w:val="007448D2"/>
    <w:rsid w:val="00842AF8"/>
    <w:rsid w:val="00845CAB"/>
    <w:rsid w:val="0088551B"/>
    <w:rsid w:val="008B10AE"/>
    <w:rsid w:val="00A84EFD"/>
    <w:rsid w:val="00BD288B"/>
    <w:rsid w:val="00C312B9"/>
    <w:rsid w:val="00C8341A"/>
    <w:rsid w:val="00D022A4"/>
    <w:rsid w:val="00D15A36"/>
    <w:rsid w:val="00E54876"/>
    <w:rsid w:val="00E66C1B"/>
    <w:rsid w:val="00E758E0"/>
    <w:rsid w:val="00F27436"/>
    <w:rsid w:val="00F61262"/>
    <w:rsid w:val="00FB064C"/>
    <w:rsid w:val="00FD2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EB9909"/>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5DFB"/>
    <w:pPr>
      <w:tabs>
        <w:tab w:val="center" w:pos="4680"/>
        <w:tab w:val="right" w:pos="9360"/>
      </w:tabs>
    </w:pPr>
  </w:style>
  <w:style w:type="character" w:customStyle="1" w:styleId="HeaderChar">
    <w:name w:val="Header Char"/>
    <w:basedOn w:val="DefaultParagraphFont"/>
    <w:link w:val="Header"/>
    <w:uiPriority w:val="99"/>
    <w:rsid w:val="00375DFB"/>
    <w:rPr>
      <w:rFonts w:ascii="Times New Roman" w:hAnsi="Times New Roman" w:cs="Times New Roman"/>
      <w:sz w:val="20"/>
      <w:szCs w:val="20"/>
    </w:rPr>
  </w:style>
  <w:style w:type="paragraph" w:styleId="Footer">
    <w:name w:val="footer"/>
    <w:basedOn w:val="Normal"/>
    <w:link w:val="FooterChar"/>
    <w:uiPriority w:val="99"/>
    <w:unhideWhenUsed/>
    <w:rsid w:val="00375DFB"/>
    <w:pPr>
      <w:tabs>
        <w:tab w:val="center" w:pos="4680"/>
        <w:tab w:val="right" w:pos="9360"/>
      </w:tabs>
    </w:pPr>
  </w:style>
  <w:style w:type="character" w:customStyle="1" w:styleId="FooterChar">
    <w:name w:val="Footer Char"/>
    <w:basedOn w:val="DefaultParagraphFont"/>
    <w:link w:val="Footer"/>
    <w:uiPriority w:val="99"/>
    <w:rsid w:val="00375DFB"/>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375DFB"/>
    <w:rPr>
      <w:rFonts w:ascii="Tahoma" w:hAnsi="Tahoma" w:cs="Tahoma"/>
      <w:sz w:val="16"/>
      <w:szCs w:val="16"/>
    </w:rPr>
  </w:style>
  <w:style w:type="character" w:customStyle="1" w:styleId="BalloonTextChar">
    <w:name w:val="Balloon Text Char"/>
    <w:basedOn w:val="DefaultParagraphFont"/>
    <w:link w:val="BalloonText"/>
    <w:uiPriority w:val="99"/>
    <w:semiHidden/>
    <w:rsid w:val="00375DFB"/>
    <w:rPr>
      <w:rFonts w:ascii="Tahoma" w:hAnsi="Tahoma" w:cs="Tahoma"/>
      <w:sz w:val="16"/>
      <w:szCs w:val="16"/>
    </w:rPr>
  </w:style>
  <w:style w:type="character" w:styleId="CommentReference">
    <w:name w:val="annotation reference"/>
    <w:basedOn w:val="DefaultParagraphFont"/>
    <w:uiPriority w:val="99"/>
    <w:semiHidden/>
    <w:unhideWhenUsed/>
    <w:rsid w:val="006339D4"/>
    <w:rPr>
      <w:sz w:val="16"/>
      <w:szCs w:val="16"/>
    </w:rPr>
  </w:style>
  <w:style w:type="paragraph" w:styleId="CommentText">
    <w:name w:val="annotation text"/>
    <w:basedOn w:val="Normal"/>
    <w:link w:val="CommentTextChar"/>
    <w:uiPriority w:val="99"/>
    <w:semiHidden/>
    <w:unhideWhenUsed/>
    <w:rsid w:val="006339D4"/>
  </w:style>
  <w:style w:type="character" w:customStyle="1" w:styleId="CommentTextChar">
    <w:name w:val="Comment Text Char"/>
    <w:basedOn w:val="DefaultParagraphFont"/>
    <w:link w:val="CommentText"/>
    <w:uiPriority w:val="99"/>
    <w:semiHidden/>
    <w:rsid w:val="006339D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339D4"/>
    <w:rPr>
      <w:b/>
      <w:bCs/>
    </w:rPr>
  </w:style>
  <w:style w:type="character" w:customStyle="1" w:styleId="CommentSubjectChar">
    <w:name w:val="Comment Subject Char"/>
    <w:basedOn w:val="CommentTextChar"/>
    <w:link w:val="CommentSubject"/>
    <w:uiPriority w:val="99"/>
    <w:semiHidden/>
    <w:rsid w:val="006339D4"/>
    <w:rPr>
      <w:rFonts w:ascii="Times New Roman" w:hAnsi="Times New Roman" w:cs="Times New Roman"/>
      <w:b/>
      <w:bCs/>
      <w:sz w:val="20"/>
      <w:szCs w:val="20"/>
    </w:rPr>
  </w:style>
  <w:style w:type="paragraph" w:styleId="Revision">
    <w:name w:val="Revision"/>
    <w:hidden/>
    <w:uiPriority w:val="99"/>
    <w:semiHidden/>
    <w:rsid w:val="00FB064C"/>
    <w:pPr>
      <w:spacing w:after="0" w:line="240" w:lineRule="auto"/>
    </w:pPr>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5DFB"/>
    <w:pPr>
      <w:tabs>
        <w:tab w:val="center" w:pos="4680"/>
        <w:tab w:val="right" w:pos="9360"/>
      </w:tabs>
    </w:pPr>
  </w:style>
  <w:style w:type="character" w:customStyle="1" w:styleId="HeaderChar">
    <w:name w:val="Header Char"/>
    <w:basedOn w:val="DefaultParagraphFont"/>
    <w:link w:val="Header"/>
    <w:uiPriority w:val="99"/>
    <w:rsid w:val="00375DFB"/>
    <w:rPr>
      <w:rFonts w:ascii="Times New Roman" w:hAnsi="Times New Roman" w:cs="Times New Roman"/>
      <w:sz w:val="20"/>
      <w:szCs w:val="20"/>
    </w:rPr>
  </w:style>
  <w:style w:type="paragraph" w:styleId="Footer">
    <w:name w:val="footer"/>
    <w:basedOn w:val="Normal"/>
    <w:link w:val="FooterChar"/>
    <w:uiPriority w:val="99"/>
    <w:unhideWhenUsed/>
    <w:rsid w:val="00375DFB"/>
    <w:pPr>
      <w:tabs>
        <w:tab w:val="center" w:pos="4680"/>
        <w:tab w:val="right" w:pos="9360"/>
      </w:tabs>
    </w:pPr>
  </w:style>
  <w:style w:type="character" w:customStyle="1" w:styleId="FooterChar">
    <w:name w:val="Footer Char"/>
    <w:basedOn w:val="DefaultParagraphFont"/>
    <w:link w:val="Footer"/>
    <w:uiPriority w:val="99"/>
    <w:rsid w:val="00375DFB"/>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375DFB"/>
    <w:rPr>
      <w:rFonts w:ascii="Tahoma" w:hAnsi="Tahoma" w:cs="Tahoma"/>
      <w:sz w:val="16"/>
      <w:szCs w:val="16"/>
    </w:rPr>
  </w:style>
  <w:style w:type="character" w:customStyle="1" w:styleId="BalloonTextChar">
    <w:name w:val="Balloon Text Char"/>
    <w:basedOn w:val="DefaultParagraphFont"/>
    <w:link w:val="BalloonText"/>
    <w:uiPriority w:val="99"/>
    <w:semiHidden/>
    <w:rsid w:val="00375DFB"/>
    <w:rPr>
      <w:rFonts w:ascii="Tahoma" w:hAnsi="Tahoma" w:cs="Tahoma"/>
      <w:sz w:val="16"/>
      <w:szCs w:val="16"/>
    </w:rPr>
  </w:style>
  <w:style w:type="character" w:styleId="CommentReference">
    <w:name w:val="annotation reference"/>
    <w:basedOn w:val="DefaultParagraphFont"/>
    <w:uiPriority w:val="99"/>
    <w:semiHidden/>
    <w:unhideWhenUsed/>
    <w:rsid w:val="006339D4"/>
    <w:rPr>
      <w:sz w:val="16"/>
      <w:szCs w:val="16"/>
    </w:rPr>
  </w:style>
  <w:style w:type="paragraph" w:styleId="CommentText">
    <w:name w:val="annotation text"/>
    <w:basedOn w:val="Normal"/>
    <w:link w:val="CommentTextChar"/>
    <w:uiPriority w:val="99"/>
    <w:semiHidden/>
    <w:unhideWhenUsed/>
    <w:rsid w:val="006339D4"/>
  </w:style>
  <w:style w:type="character" w:customStyle="1" w:styleId="CommentTextChar">
    <w:name w:val="Comment Text Char"/>
    <w:basedOn w:val="DefaultParagraphFont"/>
    <w:link w:val="CommentText"/>
    <w:uiPriority w:val="99"/>
    <w:semiHidden/>
    <w:rsid w:val="006339D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339D4"/>
    <w:rPr>
      <w:b/>
      <w:bCs/>
    </w:rPr>
  </w:style>
  <w:style w:type="character" w:customStyle="1" w:styleId="CommentSubjectChar">
    <w:name w:val="Comment Subject Char"/>
    <w:basedOn w:val="CommentTextChar"/>
    <w:link w:val="CommentSubject"/>
    <w:uiPriority w:val="99"/>
    <w:semiHidden/>
    <w:rsid w:val="006339D4"/>
    <w:rPr>
      <w:rFonts w:ascii="Times New Roman" w:hAnsi="Times New Roman" w:cs="Times New Roman"/>
      <w:b/>
      <w:bCs/>
      <w:sz w:val="20"/>
      <w:szCs w:val="20"/>
    </w:rPr>
  </w:style>
  <w:style w:type="paragraph" w:styleId="Revision">
    <w:name w:val="Revision"/>
    <w:hidden/>
    <w:uiPriority w:val="99"/>
    <w:semiHidden/>
    <w:rsid w:val="00FB064C"/>
    <w:pPr>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1C45F-DFEB-4F76-B880-B3C4DA110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1400</Words>
  <Characters>7708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dc:creator>
  <cp:lastModifiedBy>Harper, Michael</cp:lastModifiedBy>
  <cp:revision>3</cp:revision>
  <dcterms:created xsi:type="dcterms:W3CDTF">2018-10-02T03:20:00Z</dcterms:created>
  <dcterms:modified xsi:type="dcterms:W3CDTF">2019-08-16T03:00:00Z</dcterms:modified>
</cp:coreProperties>
</file>