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A280" w14:textId="5FF31224" w:rsidR="00720F93" w:rsidRPr="00D476E6" w:rsidRDefault="003107AE" w:rsidP="00AB2E06">
      <w:pPr>
        <w:spacing w:before="60" w:after="60"/>
        <w:jc w:val="center"/>
        <w:rPr>
          <w:rFonts w:ascii="Times New Roman" w:hAnsi="Times New Roman" w:cs="Times New Roman"/>
          <w:sz w:val="32"/>
          <w:szCs w:val="32"/>
        </w:rPr>
      </w:pPr>
      <w:bookmarkStart w:id="0" w:name="bookmark0"/>
      <w:bookmarkStart w:id="1" w:name="_GoBack"/>
      <w:bookmarkEnd w:id="1"/>
      <w:r w:rsidRPr="00D476E6">
        <w:rPr>
          <w:rFonts w:ascii="Times New Roman" w:hAnsi="Times New Roman" w:cs="Times New Roman"/>
          <w:b/>
          <w:bCs/>
          <w:sz w:val="32"/>
          <w:szCs w:val="32"/>
        </w:rPr>
        <w:t>AUSTRALIAN HE</w:t>
      </w:r>
      <w:r w:rsidR="00D476E6">
        <w:rPr>
          <w:rFonts w:ascii="Times New Roman" w:hAnsi="Times New Roman" w:cs="Times New Roman"/>
          <w:b/>
          <w:bCs/>
          <w:sz w:val="32"/>
          <w:szCs w:val="32"/>
        </w:rPr>
        <w:t>RITAGE COMMISSION AMENDMENT ACT </w:t>
      </w:r>
      <w:r w:rsidRPr="00D476E6">
        <w:rPr>
          <w:rFonts w:ascii="Times New Roman" w:hAnsi="Times New Roman" w:cs="Times New Roman"/>
          <w:b/>
          <w:bCs/>
          <w:sz w:val="32"/>
          <w:szCs w:val="32"/>
        </w:rPr>
        <w:t>1976</w:t>
      </w:r>
      <w:bookmarkEnd w:id="0"/>
    </w:p>
    <w:p w14:paraId="0C960C4D" w14:textId="77777777" w:rsidR="00720F93" w:rsidRPr="00AB2E06" w:rsidRDefault="003107AE" w:rsidP="00A10978">
      <w:pPr>
        <w:spacing w:before="240" w:after="240"/>
        <w:jc w:val="center"/>
        <w:rPr>
          <w:rFonts w:ascii="Times New Roman" w:hAnsi="Times New Roman" w:cs="Times New Roman"/>
        </w:rPr>
      </w:pPr>
      <w:bookmarkStart w:id="2" w:name="bookmark1"/>
      <w:r w:rsidRPr="00AB2E06">
        <w:rPr>
          <w:rFonts w:ascii="Times New Roman" w:hAnsi="Times New Roman" w:cs="Times New Roman"/>
          <w:b/>
          <w:bCs/>
        </w:rPr>
        <w:t>No. 135 of 1976</w:t>
      </w:r>
      <w:bookmarkEnd w:id="2"/>
    </w:p>
    <w:p w14:paraId="7362ACED" w14:textId="77777777" w:rsidR="00720F93" w:rsidRPr="0001294E" w:rsidRDefault="003107AE" w:rsidP="00AB2E06">
      <w:pPr>
        <w:spacing w:before="60" w:after="60"/>
        <w:jc w:val="center"/>
        <w:rPr>
          <w:rFonts w:ascii="Times New Roman" w:hAnsi="Times New Roman" w:cs="Times New Roman"/>
        </w:rPr>
      </w:pPr>
      <w:r w:rsidRPr="0001294E">
        <w:rPr>
          <w:rFonts w:ascii="Times New Roman" w:hAnsi="Times New Roman" w:cs="Times New Roman"/>
        </w:rPr>
        <w:t xml:space="preserve">An Act to amend the </w:t>
      </w:r>
      <w:r w:rsidRPr="0001294E">
        <w:rPr>
          <w:rFonts w:ascii="Times New Roman" w:hAnsi="Times New Roman" w:cs="Times New Roman"/>
          <w:i/>
          <w:iCs/>
        </w:rPr>
        <w:t>Australian Heritage Commission Act</w:t>
      </w:r>
      <w:r w:rsidRPr="0001294E">
        <w:rPr>
          <w:rFonts w:ascii="Times New Roman" w:hAnsi="Times New Roman" w:cs="Times New Roman"/>
        </w:rPr>
        <w:t xml:space="preserve"> 1975.</w:t>
      </w:r>
    </w:p>
    <w:p w14:paraId="2B9100D3" w14:textId="77777777" w:rsidR="00720F93" w:rsidRPr="00AB2E06" w:rsidRDefault="003107AE" w:rsidP="00AB2E06">
      <w:pPr>
        <w:spacing w:before="120" w:after="60"/>
        <w:ind w:firstLine="288"/>
        <w:jc w:val="both"/>
        <w:rPr>
          <w:rFonts w:ascii="Times New Roman" w:hAnsi="Times New Roman" w:cs="Times New Roman"/>
        </w:rPr>
      </w:pPr>
      <w:r w:rsidRPr="00AB2E06">
        <w:rPr>
          <w:rFonts w:ascii="Times New Roman" w:hAnsi="Times New Roman" w:cs="Times New Roman"/>
        </w:rPr>
        <w:t>BE IT ENACTED by the Queen, and the Senate and House of Representatives of the Commonwealth of Australia, as follows: —</w:t>
      </w:r>
    </w:p>
    <w:p w14:paraId="74D97AE3" w14:textId="77777777" w:rsidR="00720F93" w:rsidRPr="00AB2E06" w:rsidRDefault="003107AE" w:rsidP="00AB2E06">
      <w:pPr>
        <w:spacing w:before="120" w:after="60"/>
        <w:jc w:val="both"/>
        <w:rPr>
          <w:rFonts w:ascii="Times New Roman" w:hAnsi="Times New Roman" w:cs="Times New Roman"/>
          <w:b/>
          <w:sz w:val="20"/>
        </w:rPr>
      </w:pPr>
      <w:r w:rsidRPr="00AB2E06">
        <w:rPr>
          <w:rFonts w:ascii="Times New Roman" w:hAnsi="Times New Roman" w:cs="Times New Roman"/>
          <w:b/>
          <w:sz w:val="20"/>
        </w:rPr>
        <w:t>Short title and citation.</w:t>
      </w:r>
    </w:p>
    <w:p w14:paraId="564C474E" w14:textId="2B4C623B" w:rsidR="00720F93" w:rsidRPr="00AB2E06" w:rsidRDefault="003107AE" w:rsidP="0086710C">
      <w:pPr>
        <w:spacing w:after="60" w:line="276" w:lineRule="auto"/>
        <w:ind w:firstLine="288"/>
        <w:jc w:val="both"/>
        <w:rPr>
          <w:rFonts w:ascii="Times New Roman" w:hAnsi="Times New Roman" w:cs="Times New Roman"/>
        </w:rPr>
      </w:pPr>
      <w:r w:rsidRPr="00AB2E06">
        <w:rPr>
          <w:rFonts w:ascii="Times New Roman" w:hAnsi="Times New Roman" w:cs="Times New Roman"/>
          <w:b/>
          <w:bCs/>
        </w:rPr>
        <w:t>1.</w:t>
      </w:r>
      <w:r w:rsidRPr="00AB2E06">
        <w:rPr>
          <w:rFonts w:ascii="Times New Roman" w:hAnsi="Times New Roman" w:cs="Times New Roman"/>
        </w:rPr>
        <w:t xml:space="preserve"> (1) This Act may be cited as the </w:t>
      </w:r>
      <w:r w:rsidRPr="00AB2E06">
        <w:rPr>
          <w:rFonts w:ascii="Times New Roman" w:hAnsi="Times New Roman" w:cs="Times New Roman"/>
          <w:i/>
          <w:iCs/>
        </w:rPr>
        <w:t>Australian Heritage Commission Amendment Act</w:t>
      </w:r>
      <w:r w:rsidRPr="00AB2E06">
        <w:rPr>
          <w:rFonts w:ascii="Times New Roman" w:hAnsi="Times New Roman" w:cs="Times New Roman"/>
        </w:rPr>
        <w:t xml:space="preserve"> 1976.</w:t>
      </w:r>
    </w:p>
    <w:p w14:paraId="47586A74" w14:textId="709F5352" w:rsidR="00720F93" w:rsidRPr="00AB2E06" w:rsidRDefault="003107AE" w:rsidP="0086710C">
      <w:pPr>
        <w:spacing w:after="60" w:line="276" w:lineRule="auto"/>
        <w:ind w:firstLine="288"/>
        <w:jc w:val="both"/>
        <w:rPr>
          <w:rFonts w:ascii="Times New Roman" w:hAnsi="Times New Roman" w:cs="Times New Roman"/>
        </w:rPr>
      </w:pPr>
      <w:r w:rsidRPr="00AB2E06">
        <w:rPr>
          <w:rFonts w:ascii="Times New Roman" w:hAnsi="Times New Roman" w:cs="Times New Roman"/>
        </w:rPr>
        <w:t>(2)</w:t>
      </w:r>
      <w:r w:rsidR="00B671F0" w:rsidRPr="00AB2E06">
        <w:rPr>
          <w:rFonts w:ascii="Times New Roman" w:hAnsi="Times New Roman" w:cs="Times New Roman"/>
        </w:rPr>
        <w:t xml:space="preserve"> </w:t>
      </w:r>
      <w:r w:rsidRPr="00AB2E06">
        <w:rPr>
          <w:rFonts w:ascii="Times New Roman" w:hAnsi="Times New Roman" w:cs="Times New Roman"/>
        </w:rPr>
        <w:t xml:space="preserve">The </w:t>
      </w:r>
      <w:r w:rsidRPr="00AB2E06">
        <w:rPr>
          <w:rFonts w:ascii="Times New Roman" w:hAnsi="Times New Roman" w:cs="Times New Roman"/>
          <w:i/>
          <w:iCs/>
        </w:rPr>
        <w:t>Australian Heritage Commission Act</w:t>
      </w:r>
      <w:r w:rsidRPr="00AB2E06">
        <w:rPr>
          <w:rFonts w:ascii="Times New Roman" w:hAnsi="Times New Roman" w:cs="Times New Roman"/>
        </w:rPr>
        <w:t xml:space="preserve"> 1975 is in this Act referred to as the Principal Act.</w:t>
      </w:r>
    </w:p>
    <w:p w14:paraId="25F8CC4B" w14:textId="77777777" w:rsidR="00720F93" w:rsidRPr="00AB2E06" w:rsidRDefault="003107AE" w:rsidP="0086710C">
      <w:pPr>
        <w:spacing w:after="60" w:line="276" w:lineRule="auto"/>
        <w:ind w:firstLine="288"/>
        <w:jc w:val="both"/>
        <w:rPr>
          <w:rFonts w:ascii="Times New Roman" w:hAnsi="Times New Roman" w:cs="Times New Roman"/>
        </w:rPr>
      </w:pPr>
      <w:r w:rsidRPr="00AB2E06">
        <w:rPr>
          <w:rFonts w:ascii="Times New Roman" w:hAnsi="Times New Roman" w:cs="Times New Roman"/>
        </w:rPr>
        <w:t>(3)</w:t>
      </w:r>
      <w:r w:rsidR="00B671F0" w:rsidRPr="00AB2E06">
        <w:rPr>
          <w:rFonts w:ascii="Times New Roman" w:hAnsi="Times New Roman" w:cs="Times New Roman"/>
        </w:rPr>
        <w:t xml:space="preserve"> </w:t>
      </w:r>
      <w:r w:rsidRPr="00AB2E06">
        <w:rPr>
          <w:rFonts w:ascii="Times New Roman" w:hAnsi="Times New Roman" w:cs="Times New Roman"/>
        </w:rPr>
        <w:t xml:space="preserve">The Principal Act, as amended by this Act, may be cited as the </w:t>
      </w:r>
      <w:r w:rsidRPr="00AB2E06">
        <w:rPr>
          <w:rFonts w:ascii="Times New Roman" w:hAnsi="Times New Roman" w:cs="Times New Roman"/>
          <w:i/>
          <w:iCs/>
        </w:rPr>
        <w:t>Australian Heritage Commission Act</w:t>
      </w:r>
      <w:r w:rsidRPr="00AB2E06">
        <w:rPr>
          <w:rFonts w:ascii="Times New Roman" w:hAnsi="Times New Roman" w:cs="Times New Roman"/>
        </w:rPr>
        <w:t xml:space="preserve"> 1975-1976.</w:t>
      </w:r>
    </w:p>
    <w:p w14:paraId="54C21F27" w14:textId="77777777" w:rsidR="00720F93" w:rsidRPr="00AB2E06" w:rsidRDefault="003107AE" w:rsidP="00AB2E06">
      <w:pPr>
        <w:spacing w:before="120" w:after="60"/>
        <w:jc w:val="both"/>
        <w:rPr>
          <w:rFonts w:ascii="Times New Roman" w:hAnsi="Times New Roman" w:cs="Times New Roman"/>
          <w:b/>
          <w:sz w:val="20"/>
        </w:rPr>
      </w:pPr>
      <w:r w:rsidRPr="00AB2E06">
        <w:rPr>
          <w:rFonts w:ascii="Times New Roman" w:hAnsi="Times New Roman" w:cs="Times New Roman"/>
          <w:b/>
          <w:sz w:val="20"/>
        </w:rPr>
        <w:t>Commencement.</w:t>
      </w:r>
    </w:p>
    <w:p w14:paraId="36320711" w14:textId="1DA1A496" w:rsidR="00720F93" w:rsidRPr="00AB2E06" w:rsidRDefault="003107AE" w:rsidP="00AB2E06">
      <w:pPr>
        <w:spacing w:after="60"/>
        <w:ind w:firstLine="288"/>
        <w:jc w:val="both"/>
        <w:rPr>
          <w:rFonts w:ascii="Times New Roman" w:hAnsi="Times New Roman" w:cs="Times New Roman"/>
        </w:rPr>
      </w:pPr>
      <w:r w:rsidRPr="00AB2E06">
        <w:rPr>
          <w:rFonts w:ascii="Times New Roman" w:hAnsi="Times New Roman" w:cs="Times New Roman"/>
          <w:b/>
          <w:bCs/>
        </w:rPr>
        <w:t>2.</w:t>
      </w:r>
      <w:r w:rsidR="00B671F0" w:rsidRPr="00AB2E06">
        <w:rPr>
          <w:rFonts w:ascii="Times New Roman" w:hAnsi="Times New Roman" w:cs="Times New Roman"/>
        </w:rPr>
        <w:t xml:space="preserve"> </w:t>
      </w:r>
      <w:r w:rsidRPr="00AB2E06">
        <w:rPr>
          <w:rFonts w:ascii="Times New Roman" w:hAnsi="Times New Roman" w:cs="Times New Roman"/>
        </w:rPr>
        <w:t>This Act shall come into operation on the day on which it receives the Royal Assent.</w:t>
      </w:r>
    </w:p>
    <w:p w14:paraId="3845E03B" w14:textId="77777777" w:rsidR="00720F93" w:rsidRPr="00AB2E06" w:rsidRDefault="003107AE" w:rsidP="00AB2E06">
      <w:pPr>
        <w:spacing w:before="120" w:after="60"/>
        <w:jc w:val="both"/>
        <w:rPr>
          <w:rFonts w:ascii="Times New Roman" w:hAnsi="Times New Roman" w:cs="Times New Roman"/>
          <w:b/>
          <w:sz w:val="20"/>
        </w:rPr>
      </w:pPr>
      <w:r w:rsidRPr="00AB2E06">
        <w:rPr>
          <w:rFonts w:ascii="Times New Roman" w:hAnsi="Times New Roman" w:cs="Times New Roman"/>
          <w:b/>
          <w:sz w:val="20"/>
        </w:rPr>
        <w:t>Interpretation.</w:t>
      </w:r>
    </w:p>
    <w:p w14:paraId="6BB81517" w14:textId="77777777" w:rsidR="00720F93" w:rsidRPr="00AB2E06" w:rsidRDefault="003107AE" w:rsidP="00AB2E06">
      <w:pPr>
        <w:spacing w:after="60"/>
        <w:ind w:firstLine="288"/>
        <w:jc w:val="both"/>
        <w:rPr>
          <w:rFonts w:ascii="Times New Roman" w:hAnsi="Times New Roman" w:cs="Times New Roman"/>
        </w:rPr>
      </w:pPr>
      <w:r w:rsidRPr="00AB2E06">
        <w:rPr>
          <w:rFonts w:ascii="Times New Roman" w:hAnsi="Times New Roman" w:cs="Times New Roman"/>
          <w:b/>
          <w:bCs/>
        </w:rPr>
        <w:t>3.</w:t>
      </w:r>
      <w:r w:rsidR="00B671F0" w:rsidRPr="00AB2E06">
        <w:rPr>
          <w:rFonts w:ascii="Times New Roman" w:hAnsi="Times New Roman" w:cs="Times New Roman"/>
        </w:rPr>
        <w:t xml:space="preserve"> </w:t>
      </w:r>
      <w:r w:rsidRPr="00AB2E06">
        <w:rPr>
          <w:rFonts w:ascii="Times New Roman" w:hAnsi="Times New Roman" w:cs="Times New Roman"/>
        </w:rPr>
        <w:t>Section 3 of the Principal Act is amended—</w:t>
      </w:r>
    </w:p>
    <w:p w14:paraId="100E1582" w14:textId="77777777" w:rsidR="00720F93" w:rsidRPr="00AB2E06" w:rsidRDefault="003107AE" w:rsidP="00AB2E06">
      <w:pPr>
        <w:ind w:left="792" w:hanging="432"/>
        <w:jc w:val="both"/>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by inserting in sub-section (1), before the definition of “Australia”, the following definition:—</w:t>
      </w:r>
    </w:p>
    <w:p w14:paraId="075BE356" w14:textId="77777777" w:rsidR="00720F93" w:rsidRPr="00AB2E06" w:rsidRDefault="003107AE" w:rsidP="00AB2E06">
      <w:pPr>
        <w:spacing w:before="60" w:after="60"/>
        <w:ind w:left="1440" w:hanging="576"/>
        <w:rPr>
          <w:rFonts w:ascii="Times New Roman" w:hAnsi="Times New Roman" w:cs="Times New Roman"/>
        </w:rPr>
      </w:pPr>
      <w:r w:rsidRPr="00AB2E06">
        <w:rPr>
          <w:rFonts w:ascii="Times New Roman" w:hAnsi="Times New Roman" w:cs="Times New Roman"/>
        </w:rPr>
        <w:t>“‘Aboriginals’ means persons who are—</w:t>
      </w:r>
    </w:p>
    <w:p w14:paraId="6B2D1C2D" w14:textId="77777777" w:rsidR="00720F93" w:rsidRPr="00AB2E06" w:rsidRDefault="003107AE" w:rsidP="00AB2E06">
      <w:pPr>
        <w:spacing w:before="60" w:after="60"/>
        <w:ind w:left="2016" w:hanging="576"/>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members of the Aboriginal race of Australia; or</w:t>
      </w:r>
    </w:p>
    <w:p w14:paraId="3C9EE48E" w14:textId="77777777" w:rsidR="00720F93" w:rsidRPr="00AB2E06" w:rsidRDefault="003107AE" w:rsidP="00AB2E06">
      <w:pPr>
        <w:spacing w:before="60" w:after="60"/>
        <w:ind w:left="2016" w:hanging="576"/>
        <w:rPr>
          <w:rFonts w:ascii="Times New Roman" w:hAnsi="Times New Roman" w:cs="Times New Roman"/>
        </w:rPr>
      </w:pPr>
      <w:r w:rsidRPr="00AB2E06">
        <w:rPr>
          <w:rFonts w:ascii="Times New Roman" w:hAnsi="Times New Roman" w:cs="Times New Roman"/>
        </w:rPr>
        <w:t>(b)</w:t>
      </w:r>
      <w:r w:rsidR="00B671F0" w:rsidRPr="00AB2E06">
        <w:rPr>
          <w:rFonts w:ascii="Times New Roman" w:hAnsi="Times New Roman" w:cs="Times New Roman"/>
        </w:rPr>
        <w:t xml:space="preserve"> </w:t>
      </w:r>
      <w:r w:rsidRPr="00AB2E06">
        <w:rPr>
          <w:rFonts w:ascii="Times New Roman" w:hAnsi="Times New Roman" w:cs="Times New Roman"/>
        </w:rPr>
        <w:t>members of the race to which Torres Strait Islanders belong;”; and</w:t>
      </w:r>
    </w:p>
    <w:p w14:paraId="36B2FF51" w14:textId="77777777" w:rsidR="00720F93" w:rsidRPr="00AB2E06" w:rsidRDefault="003107AE" w:rsidP="00AB2E06">
      <w:pPr>
        <w:ind w:left="792" w:hanging="432"/>
        <w:jc w:val="both"/>
        <w:rPr>
          <w:rFonts w:ascii="Times New Roman" w:hAnsi="Times New Roman" w:cs="Times New Roman"/>
        </w:rPr>
      </w:pPr>
      <w:r w:rsidRPr="00AB2E06">
        <w:rPr>
          <w:rFonts w:ascii="Times New Roman" w:hAnsi="Times New Roman" w:cs="Times New Roman"/>
        </w:rPr>
        <w:t>(b)</w:t>
      </w:r>
      <w:r w:rsidR="00B671F0" w:rsidRPr="00AB2E06">
        <w:rPr>
          <w:rFonts w:ascii="Times New Roman" w:hAnsi="Times New Roman" w:cs="Times New Roman"/>
        </w:rPr>
        <w:t xml:space="preserve"> </w:t>
      </w:r>
      <w:r w:rsidRPr="00AB2E06">
        <w:rPr>
          <w:rFonts w:ascii="Times New Roman" w:hAnsi="Times New Roman" w:cs="Times New Roman"/>
        </w:rPr>
        <w:t>by omitting from sub-section (1) the definition of “representative Commissioner” and substituting the following definition:—</w:t>
      </w:r>
    </w:p>
    <w:p w14:paraId="0BF99734" w14:textId="410A5591" w:rsidR="00720F93" w:rsidRPr="00AB2E06" w:rsidRDefault="003107AE" w:rsidP="00AB2E06">
      <w:pPr>
        <w:spacing w:before="60" w:after="60"/>
        <w:ind w:left="1440" w:hanging="576"/>
        <w:rPr>
          <w:rFonts w:ascii="Times New Roman" w:hAnsi="Times New Roman" w:cs="Times New Roman"/>
        </w:rPr>
      </w:pPr>
      <w:r w:rsidRPr="00AB2E06">
        <w:rPr>
          <w:rFonts w:ascii="Times New Roman" w:hAnsi="Times New Roman" w:cs="Times New Roman"/>
        </w:rPr>
        <w:t xml:space="preserve">“‘representative Commissioner’ means a Commissioner whose appointment </w:t>
      </w:r>
      <w:r w:rsidR="00AC1C20">
        <w:rPr>
          <w:rFonts w:ascii="Times New Roman" w:hAnsi="Times New Roman" w:cs="Times New Roman"/>
        </w:rPr>
        <w:t>is authorized by sub-section 12</w:t>
      </w:r>
      <w:r w:rsidRPr="00AB2E06">
        <w:rPr>
          <w:rFonts w:ascii="Times New Roman" w:hAnsi="Times New Roman" w:cs="Times New Roman"/>
        </w:rPr>
        <w:t>(1</w:t>
      </w:r>
      <w:r w:rsidR="00AC1C20">
        <w:rPr>
          <w:rFonts w:ascii="Times New Roman" w:hAnsi="Times New Roman" w:cs="Times New Roman"/>
          <w:smallCaps/>
        </w:rPr>
        <w:t>a</w:t>
      </w:r>
      <w:r w:rsidRPr="00AB2E06">
        <w:rPr>
          <w:rFonts w:ascii="Times New Roman" w:hAnsi="Times New Roman" w:cs="Times New Roman"/>
        </w:rPr>
        <w:t>);”.</w:t>
      </w:r>
    </w:p>
    <w:p w14:paraId="012A5207" w14:textId="77777777" w:rsidR="00720F93" w:rsidRPr="00AB2E06" w:rsidRDefault="003107AE" w:rsidP="00AB2E06">
      <w:pPr>
        <w:spacing w:before="120" w:after="60"/>
        <w:jc w:val="both"/>
        <w:rPr>
          <w:rFonts w:ascii="Times New Roman" w:hAnsi="Times New Roman" w:cs="Times New Roman"/>
          <w:b/>
          <w:sz w:val="20"/>
        </w:rPr>
      </w:pPr>
      <w:r w:rsidRPr="00AB2E06">
        <w:rPr>
          <w:rFonts w:ascii="Times New Roman" w:hAnsi="Times New Roman" w:cs="Times New Roman"/>
          <w:b/>
          <w:sz w:val="20"/>
        </w:rPr>
        <w:t>Functions of Commission.</w:t>
      </w:r>
    </w:p>
    <w:p w14:paraId="4F99897E" w14:textId="77777777" w:rsidR="00720F93" w:rsidRPr="00AB2E06" w:rsidRDefault="003107AE" w:rsidP="00AB2E06">
      <w:pPr>
        <w:spacing w:after="60"/>
        <w:ind w:firstLine="288"/>
        <w:jc w:val="both"/>
        <w:rPr>
          <w:rFonts w:ascii="Times New Roman" w:hAnsi="Times New Roman" w:cs="Times New Roman"/>
        </w:rPr>
      </w:pPr>
      <w:r w:rsidRPr="00AB2E06">
        <w:rPr>
          <w:rFonts w:ascii="Times New Roman" w:hAnsi="Times New Roman" w:cs="Times New Roman"/>
          <w:b/>
          <w:bCs/>
        </w:rPr>
        <w:t>4.</w:t>
      </w:r>
      <w:r w:rsidR="00B671F0" w:rsidRPr="00AB2E06">
        <w:rPr>
          <w:rFonts w:ascii="Times New Roman" w:hAnsi="Times New Roman" w:cs="Times New Roman"/>
        </w:rPr>
        <w:t xml:space="preserve"> </w:t>
      </w:r>
      <w:r w:rsidRPr="00AB2E06">
        <w:rPr>
          <w:rFonts w:ascii="Times New Roman" w:hAnsi="Times New Roman" w:cs="Times New Roman"/>
        </w:rPr>
        <w:t>Section 7 of the Principal Act is amended by omitting paragraph (a) and substituting the following paragraph:—</w:t>
      </w:r>
    </w:p>
    <w:p w14:paraId="503C9465" w14:textId="77777777" w:rsidR="00AB2E06" w:rsidRDefault="003107AE" w:rsidP="00AB2E06">
      <w:pPr>
        <w:ind w:left="792" w:hanging="432"/>
        <w:jc w:val="both"/>
        <w:rPr>
          <w:rFonts w:ascii="Times New Roman" w:hAnsi="Times New Roman" w:cs="Times New Roman"/>
        </w:rPr>
      </w:pPr>
      <w:r w:rsidRPr="00AB2E06">
        <w:rPr>
          <w:rFonts w:ascii="Times New Roman" w:hAnsi="Times New Roman" w:cs="Times New Roman"/>
        </w:rPr>
        <w:t>“(a) to furnish advice to the Minister, either of its own motion or upon request made to it by the Minister, on matters relating to the national estate, including advice relating to action to conserve, improve and present the national estate;”.</w:t>
      </w:r>
    </w:p>
    <w:p w14:paraId="40C1707E"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Consultation by Commission.</w:t>
      </w:r>
    </w:p>
    <w:p w14:paraId="58056578"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b/>
          <w:bCs/>
        </w:rPr>
        <w:t>5.</w:t>
      </w:r>
      <w:r w:rsidR="00B671F0" w:rsidRPr="00AB2E06">
        <w:rPr>
          <w:rFonts w:ascii="Times New Roman" w:hAnsi="Times New Roman" w:cs="Times New Roman"/>
        </w:rPr>
        <w:t xml:space="preserve"> </w:t>
      </w:r>
      <w:r w:rsidRPr="00AB2E06">
        <w:rPr>
          <w:rFonts w:ascii="Times New Roman" w:hAnsi="Times New Roman" w:cs="Times New Roman"/>
        </w:rPr>
        <w:t>Section 8 of the Principal Act is amended—</w:t>
      </w:r>
    </w:p>
    <w:p w14:paraId="6212824F" w14:textId="77777777" w:rsidR="00720F93" w:rsidRPr="00AB2E06" w:rsidRDefault="003107AE" w:rsidP="00B06820">
      <w:pPr>
        <w:ind w:left="792" w:hanging="432"/>
        <w:jc w:val="both"/>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by inserting, after the word “authorities” (first occurring), the words “of the Commonwealth and”; and</w:t>
      </w:r>
    </w:p>
    <w:p w14:paraId="7B1E091B" w14:textId="77777777" w:rsidR="00720F93" w:rsidRPr="00AB2E06" w:rsidRDefault="003107AE" w:rsidP="00B06820">
      <w:pPr>
        <w:ind w:left="792" w:hanging="432"/>
        <w:jc w:val="both"/>
        <w:rPr>
          <w:rFonts w:ascii="Times New Roman" w:hAnsi="Times New Roman" w:cs="Times New Roman"/>
        </w:rPr>
      </w:pPr>
      <w:r w:rsidRPr="00AB2E06">
        <w:rPr>
          <w:rFonts w:ascii="Times New Roman" w:hAnsi="Times New Roman" w:cs="Times New Roman"/>
        </w:rPr>
        <w:t>(b)</w:t>
      </w:r>
      <w:r w:rsidR="00B671F0" w:rsidRPr="00AB2E06">
        <w:rPr>
          <w:rFonts w:ascii="Times New Roman" w:hAnsi="Times New Roman" w:cs="Times New Roman"/>
        </w:rPr>
        <w:t xml:space="preserve"> </w:t>
      </w:r>
      <w:r w:rsidRPr="00AB2E06">
        <w:rPr>
          <w:rFonts w:ascii="Times New Roman" w:hAnsi="Times New Roman" w:cs="Times New Roman"/>
        </w:rPr>
        <w:t xml:space="preserve">by adding at the end thereof the words “and, in particular, without limiting the generality of the foregoing, shall consult with the Director of National Parks and Wildlife in relation to any matter that concerns the establishment or management of a park or reserve under the </w:t>
      </w:r>
      <w:r w:rsidRPr="00AB2E06">
        <w:rPr>
          <w:rFonts w:ascii="Times New Roman" w:hAnsi="Times New Roman" w:cs="Times New Roman"/>
          <w:i/>
          <w:iCs/>
        </w:rPr>
        <w:t>National Parks and Wildlife Conservation Act</w:t>
      </w:r>
      <w:r w:rsidRPr="00AB2E06">
        <w:rPr>
          <w:rFonts w:ascii="Times New Roman" w:hAnsi="Times New Roman" w:cs="Times New Roman"/>
        </w:rPr>
        <w:t xml:space="preserve"> 1975”.</w:t>
      </w:r>
    </w:p>
    <w:p w14:paraId="4A504D0A"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Membership of Commission.</w:t>
      </w:r>
    </w:p>
    <w:p w14:paraId="05A858C5" w14:textId="77777777" w:rsidR="00720F93" w:rsidRPr="00AB2E06" w:rsidRDefault="003107AE" w:rsidP="0086710C">
      <w:pPr>
        <w:spacing w:after="60" w:line="276" w:lineRule="auto"/>
        <w:ind w:firstLine="288"/>
        <w:jc w:val="both"/>
        <w:rPr>
          <w:rFonts w:ascii="Times New Roman" w:hAnsi="Times New Roman" w:cs="Times New Roman"/>
        </w:rPr>
      </w:pPr>
      <w:r w:rsidRPr="00AB2E06">
        <w:rPr>
          <w:rFonts w:ascii="Times New Roman" w:hAnsi="Times New Roman" w:cs="Times New Roman"/>
          <w:b/>
          <w:bCs/>
        </w:rPr>
        <w:t>6.</w:t>
      </w:r>
      <w:r w:rsidR="00B671F0" w:rsidRPr="00AB2E06">
        <w:rPr>
          <w:rFonts w:ascii="Times New Roman" w:hAnsi="Times New Roman" w:cs="Times New Roman"/>
        </w:rPr>
        <w:t xml:space="preserve"> </w:t>
      </w:r>
      <w:r w:rsidRPr="00AB2E06">
        <w:rPr>
          <w:rFonts w:ascii="Times New Roman" w:hAnsi="Times New Roman" w:cs="Times New Roman"/>
        </w:rPr>
        <w:t>(1) Section 12 of the Principal Act is amended—</w:t>
      </w:r>
    </w:p>
    <w:p w14:paraId="266232C4" w14:textId="77777777" w:rsidR="00720F93" w:rsidRPr="00AB2E06" w:rsidRDefault="003107AE" w:rsidP="0086710C">
      <w:pPr>
        <w:spacing w:line="276" w:lineRule="auto"/>
        <w:ind w:left="792" w:hanging="432"/>
        <w:jc w:val="both"/>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by omitting sub-section (1) and substituting the following sub-sections:—</w:t>
      </w:r>
    </w:p>
    <w:p w14:paraId="204261B2" w14:textId="77777777" w:rsidR="00720F93" w:rsidRPr="00AB2E06" w:rsidRDefault="003107AE" w:rsidP="0086710C">
      <w:pPr>
        <w:spacing w:before="60" w:after="60" w:line="276" w:lineRule="auto"/>
        <w:ind w:left="1440" w:hanging="576"/>
        <w:rPr>
          <w:rFonts w:ascii="Times New Roman" w:hAnsi="Times New Roman" w:cs="Times New Roman"/>
        </w:rPr>
      </w:pPr>
      <w:r w:rsidRPr="00AB2E06">
        <w:rPr>
          <w:rFonts w:ascii="Times New Roman" w:hAnsi="Times New Roman" w:cs="Times New Roman"/>
        </w:rPr>
        <w:t>“(1) The Commission shall consist of—</w:t>
      </w:r>
    </w:p>
    <w:p w14:paraId="2DAAB0FF" w14:textId="77777777" w:rsidR="00720F93" w:rsidRPr="00AB2E06" w:rsidRDefault="003107AE" w:rsidP="0086710C">
      <w:pPr>
        <w:spacing w:before="60" w:after="60" w:line="276" w:lineRule="auto"/>
        <w:ind w:left="2016" w:hanging="576"/>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the Chairman; and</w:t>
      </w:r>
    </w:p>
    <w:p w14:paraId="0854FD7B" w14:textId="77777777" w:rsidR="00720F93" w:rsidRPr="00AB2E06" w:rsidRDefault="003107AE" w:rsidP="0086710C">
      <w:pPr>
        <w:spacing w:before="60" w:after="60" w:line="276" w:lineRule="auto"/>
        <w:ind w:left="2016" w:hanging="576"/>
        <w:rPr>
          <w:rFonts w:ascii="Times New Roman" w:hAnsi="Times New Roman" w:cs="Times New Roman"/>
        </w:rPr>
      </w:pPr>
      <w:r w:rsidRPr="00AB2E06">
        <w:rPr>
          <w:rFonts w:ascii="Times New Roman" w:hAnsi="Times New Roman" w:cs="Times New Roman"/>
        </w:rPr>
        <w:t>(b)</w:t>
      </w:r>
      <w:r w:rsidR="00B671F0" w:rsidRPr="00AB2E06">
        <w:rPr>
          <w:rFonts w:ascii="Times New Roman" w:hAnsi="Times New Roman" w:cs="Times New Roman"/>
        </w:rPr>
        <w:t xml:space="preserve"> </w:t>
      </w:r>
      <w:r w:rsidRPr="00AB2E06">
        <w:rPr>
          <w:rFonts w:ascii="Times New Roman" w:hAnsi="Times New Roman" w:cs="Times New Roman"/>
        </w:rPr>
        <w:t>not fewer than 4 nor more than 6 other Commissioners.</w:t>
      </w:r>
    </w:p>
    <w:p w14:paraId="3F8D1F2A" w14:textId="06329248" w:rsidR="00720F93" w:rsidRPr="00AB2E06" w:rsidRDefault="003107AE" w:rsidP="0086710C">
      <w:pPr>
        <w:spacing w:after="60" w:line="276" w:lineRule="auto"/>
        <w:ind w:left="720" w:firstLine="288"/>
        <w:jc w:val="both"/>
        <w:rPr>
          <w:rFonts w:ascii="Times New Roman" w:hAnsi="Times New Roman" w:cs="Times New Roman"/>
        </w:rPr>
      </w:pPr>
      <w:r w:rsidRPr="00AB2E06">
        <w:rPr>
          <w:rFonts w:ascii="Times New Roman" w:hAnsi="Times New Roman" w:cs="Times New Roman"/>
        </w:rPr>
        <w:t>“(1</w:t>
      </w:r>
      <w:r w:rsidR="00AC1C20">
        <w:rPr>
          <w:rFonts w:ascii="Times New Roman" w:hAnsi="Times New Roman" w:cs="Times New Roman"/>
          <w:smallCaps/>
        </w:rPr>
        <w:t>a</w:t>
      </w:r>
      <w:r w:rsidRPr="00AB2E06">
        <w:rPr>
          <w:rFonts w:ascii="Times New Roman" w:hAnsi="Times New Roman" w:cs="Times New Roman"/>
        </w:rPr>
        <w:t>) A person who is the Permanent Head of a Department or the Chairman of an authority of the Commonwealth may be appointed as a Commissioner, but not more than 2 such persons shall hold office as Commissioners at the one time.”;</w:t>
      </w:r>
    </w:p>
    <w:p w14:paraId="4F1E665E" w14:textId="77777777" w:rsidR="00AC1C20" w:rsidRDefault="00AC1C20">
      <w:pPr>
        <w:rPr>
          <w:rFonts w:ascii="Times New Roman" w:hAnsi="Times New Roman" w:cs="Times New Roman"/>
        </w:rPr>
      </w:pPr>
      <w:r>
        <w:rPr>
          <w:rFonts w:ascii="Times New Roman" w:hAnsi="Times New Roman" w:cs="Times New Roman"/>
        </w:rPr>
        <w:lastRenderedPageBreak/>
        <w:br w:type="page"/>
      </w:r>
    </w:p>
    <w:p w14:paraId="23F1730A" w14:textId="5C49FDFC" w:rsidR="00720F93" w:rsidRPr="00AB2E06" w:rsidRDefault="003107AE" w:rsidP="0086710C">
      <w:pPr>
        <w:spacing w:line="276" w:lineRule="auto"/>
        <w:ind w:left="792" w:hanging="432"/>
        <w:jc w:val="both"/>
        <w:rPr>
          <w:rFonts w:ascii="Times New Roman" w:hAnsi="Times New Roman" w:cs="Times New Roman"/>
        </w:rPr>
      </w:pPr>
      <w:r w:rsidRPr="00AB2E06">
        <w:rPr>
          <w:rFonts w:ascii="Times New Roman" w:hAnsi="Times New Roman" w:cs="Times New Roman"/>
        </w:rPr>
        <w:lastRenderedPageBreak/>
        <w:t>(b)</w:t>
      </w:r>
      <w:r w:rsidR="00B671F0" w:rsidRPr="00AB2E06">
        <w:rPr>
          <w:rFonts w:ascii="Times New Roman" w:hAnsi="Times New Roman" w:cs="Times New Roman"/>
        </w:rPr>
        <w:t xml:space="preserve"> </w:t>
      </w:r>
      <w:r w:rsidRPr="00AB2E06">
        <w:rPr>
          <w:rFonts w:ascii="Times New Roman" w:hAnsi="Times New Roman" w:cs="Times New Roman"/>
        </w:rPr>
        <w:t>by omitting from sub-section (5) the words “in paragraph</w:t>
      </w:r>
      <w:r w:rsidR="00B06820">
        <w:rPr>
          <w:rFonts w:ascii="Times New Roman" w:hAnsi="Times New Roman" w:cs="Times New Roman"/>
        </w:rPr>
        <w:t xml:space="preserve"> </w:t>
      </w:r>
      <w:r w:rsidRPr="00AB2E06">
        <w:rPr>
          <w:rFonts w:ascii="Times New Roman" w:hAnsi="Times New Roman" w:cs="Times New Roman"/>
        </w:rPr>
        <w:t>(1)(c)” and substituting the words “in paragraph (1)(b), other than representative Commissioners”;</w:t>
      </w:r>
    </w:p>
    <w:p w14:paraId="00D705E0" w14:textId="77777777" w:rsidR="00720F93" w:rsidRPr="00AB2E06" w:rsidRDefault="003107AE" w:rsidP="0086710C">
      <w:pPr>
        <w:spacing w:line="276" w:lineRule="auto"/>
        <w:ind w:left="792" w:hanging="432"/>
        <w:jc w:val="both"/>
        <w:rPr>
          <w:rFonts w:ascii="Times New Roman" w:hAnsi="Times New Roman" w:cs="Times New Roman"/>
        </w:rPr>
      </w:pPr>
      <w:r w:rsidRPr="00AB2E06">
        <w:rPr>
          <w:rFonts w:ascii="Times New Roman" w:hAnsi="Times New Roman" w:cs="Times New Roman"/>
        </w:rPr>
        <w:t>(c)</w:t>
      </w:r>
      <w:r w:rsidR="00B671F0" w:rsidRPr="00AB2E06">
        <w:rPr>
          <w:rFonts w:ascii="Times New Roman" w:hAnsi="Times New Roman" w:cs="Times New Roman"/>
        </w:rPr>
        <w:t xml:space="preserve"> </w:t>
      </w:r>
      <w:r w:rsidRPr="00AB2E06">
        <w:rPr>
          <w:rFonts w:ascii="Times New Roman" w:hAnsi="Times New Roman" w:cs="Times New Roman"/>
        </w:rPr>
        <w:t>by omitting from paragraph (a) of sub-section (5) the words “in the several States and in the Northern Territory” and substituting the words “in different parts of Australia”; and</w:t>
      </w:r>
    </w:p>
    <w:p w14:paraId="5409218A" w14:textId="77777777" w:rsidR="00720F93" w:rsidRPr="00AB2E06" w:rsidRDefault="003107AE" w:rsidP="0086710C">
      <w:pPr>
        <w:spacing w:line="276" w:lineRule="auto"/>
        <w:ind w:left="792" w:hanging="432"/>
        <w:jc w:val="both"/>
        <w:rPr>
          <w:rFonts w:ascii="Times New Roman" w:hAnsi="Times New Roman" w:cs="Times New Roman"/>
        </w:rPr>
      </w:pPr>
      <w:r w:rsidRPr="00AB2E06">
        <w:rPr>
          <w:rFonts w:ascii="Times New Roman" w:hAnsi="Times New Roman" w:cs="Times New Roman"/>
        </w:rPr>
        <w:t>(d)</w:t>
      </w:r>
      <w:r w:rsidR="00B671F0" w:rsidRPr="00AB2E06">
        <w:rPr>
          <w:rFonts w:ascii="Times New Roman" w:hAnsi="Times New Roman" w:cs="Times New Roman"/>
        </w:rPr>
        <w:t xml:space="preserve"> </w:t>
      </w:r>
      <w:r w:rsidRPr="00AB2E06">
        <w:rPr>
          <w:rFonts w:ascii="Times New Roman" w:hAnsi="Times New Roman" w:cs="Times New Roman"/>
        </w:rPr>
        <w:t>by omitting sub-section (6).</w:t>
      </w:r>
    </w:p>
    <w:p w14:paraId="7D5889B1" w14:textId="77777777" w:rsidR="00720F93" w:rsidRPr="00AB2E06" w:rsidRDefault="003107AE" w:rsidP="0086710C">
      <w:pPr>
        <w:spacing w:before="60" w:after="60" w:line="276" w:lineRule="auto"/>
        <w:ind w:firstLine="288"/>
        <w:jc w:val="both"/>
        <w:rPr>
          <w:rFonts w:ascii="Times New Roman" w:hAnsi="Times New Roman" w:cs="Times New Roman"/>
        </w:rPr>
      </w:pPr>
      <w:r w:rsidRPr="00AB2E06">
        <w:rPr>
          <w:rFonts w:ascii="Times New Roman" w:hAnsi="Times New Roman" w:cs="Times New Roman"/>
        </w:rPr>
        <w:t>(2)</w:t>
      </w:r>
      <w:r w:rsidR="00B671F0" w:rsidRPr="00AB2E06">
        <w:rPr>
          <w:rFonts w:ascii="Times New Roman" w:hAnsi="Times New Roman" w:cs="Times New Roman"/>
        </w:rPr>
        <w:t xml:space="preserve"> </w:t>
      </w:r>
      <w:r w:rsidRPr="00AB2E06">
        <w:rPr>
          <w:rFonts w:ascii="Times New Roman" w:hAnsi="Times New Roman" w:cs="Times New Roman"/>
        </w:rPr>
        <w:t>The person who was, immediately before the commencement of this Act, the Chairman of the Commission continues to be the Chairman of the Commission as if he had been appointed as the Chairman under the Principal Act as amended by this Act and holds office, subject to the Principal Act as amended by this Act, for the remainder of the period of his appointment under the Principal Act.</w:t>
      </w:r>
    </w:p>
    <w:p w14:paraId="5253A4DA" w14:textId="77777777" w:rsidR="00B06820"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(3)</w:t>
      </w:r>
      <w:r w:rsidR="00B671F0" w:rsidRPr="00AB2E06">
        <w:rPr>
          <w:rFonts w:ascii="Times New Roman" w:hAnsi="Times New Roman" w:cs="Times New Roman"/>
        </w:rPr>
        <w:t xml:space="preserve"> </w:t>
      </w:r>
      <w:r w:rsidRPr="00AB2E06">
        <w:rPr>
          <w:rFonts w:ascii="Times New Roman" w:hAnsi="Times New Roman" w:cs="Times New Roman"/>
        </w:rPr>
        <w:t>A person who held office as a Commissioner other than the Chairman immediately before the commencement of this Act continues to hold office as a Commissioner as if he had been appointed as a Commissioner under the Principal Act as amended by this Act and, if he was appointed for a specified period, holds office, subject to the Principal Act as amended by this Act, for the remainder of the period of his appointment under the Principal Act.</w:t>
      </w:r>
    </w:p>
    <w:p w14:paraId="7D76D008"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Entry of place in Register.</w:t>
      </w:r>
    </w:p>
    <w:p w14:paraId="5217BA91"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b/>
          <w:bCs/>
        </w:rPr>
        <w:t>7.</w:t>
      </w:r>
      <w:r w:rsidR="00B671F0" w:rsidRPr="00AB2E06">
        <w:rPr>
          <w:rFonts w:ascii="Times New Roman" w:hAnsi="Times New Roman" w:cs="Times New Roman"/>
        </w:rPr>
        <w:t xml:space="preserve"> </w:t>
      </w:r>
      <w:r w:rsidRPr="00AB2E06">
        <w:rPr>
          <w:rFonts w:ascii="Times New Roman" w:hAnsi="Times New Roman" w:cs="Times New Roman"/>
        </w:rPr>
        <w:t>Section 23 of the Principal Act is amended by adding at the end thereof the following sub-section:—</w:t>
      </w:r>
    </w:p>
    <w:p w14:paraId="735D29A9"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“(5) The Commission shall not take any action under this section in relation to a place for reasons relating only to the association of the place with the history, culture or beliefs of Aboriginals unless—</w:t>
      </w:r>
    </w:p>
    <w:p w14:paraId="58142231" w14:textId="77777777" w:rsidR="00720F93" w:rsidRPr="00AB2E06" w:rsidRDefault="003107AE" w:rsidP="00B06820">
      <w:pPr>
        <w:ind w:left="792" w:hanging="432"/>
        <w:jc w:val="both"/>
        <w:rPr>
          <w:rFonts w:ascii="Times New Roman" w:hAnsi="Times New Roman" w:cs="Times New Roman"/>
        </w:rPr>
      </w:pPr>
      <w:r w:rsidRPr="00AB2E06">
        <w:rPr>
          <w:rFonts w:ascii="Times New Roman" w:hAnsi="Times New Roman" w:cs="Times New Roman"/>
        </w:rPr>
        <w:t>(a)</w:t>
      </w:r>
      <w:r w:rsidR="00B671F0" w:rsidRPr="00AB2E06">
        <w:rPr>
          <w:rFonts w:ascii="Times New Roman" w:hAnsi="Times New Roman" w:cs="Times New Roman"/>
        </w:rPr>
        <w:t xml:space="preserve"> </w:t>
      </w:r>
      <w:r w:rsidRPr="00AB2E06">
        <w:rPr>
          <w:rFonts w:ascii="Times New Roman" w:hAnsi="Times New Roman" w:cs="Times New Roman"/>
        </w:rPr>
        <w:t>the place is a site specially protected under a law of a State or Territory by reason of its association with the history, culture or beliefs of Aboriginals; or</w:t>
      </w:r>
    </w:p>
    <w:p w14:paraId="17709DED" w14:textId="77777777" w:rsidR="00720F93" w:rsidRPr="00AB2E06" w:rsidRDefault="003107AE" w:rsidP="00B06820">
      <w:pPr>
        <w:ind w:left="792" w:hanging="432"/>
        <w:jc w:val="both"/>
        <w:rPr>
          <w:rFonts w:ascii="Times New Roman" w:hAnsi="Times New Roman" w:cs="Times New Roman"/>
        </w:rPr>
      </w:pPr>
      <w:r w:rsidRPr="00AB2E06">
        <w:rPr>
          <w:rFonts w:ascii="Times New Roman" w:hAnsi="Times New Roman" w:cs="Times New Roman"/>
        </w:rPr>
        <w:t>(b)</w:t>
      </w:r>
      <w:r w:rsidR="00B671F0" w:rsidRPr="00AB2E06">
        <w:rPr>
          <w:rFonts w:ascii="Times New Roman" w:hAnsi="Times New Roman" w:cs="Times New Roman"/>
        </w:rPr>
        <w:t xml:space="preserve"> </w:t>
      </w:r>
      <w:r w:rsidRPr="00AB2E06">
        <w:rPr>
          <w:rFonts w:ascii="Times New Roman" w:hAnsi="Times New Roman" w:cs="Times New Roman"/>
        </w:rPr>
        <w:t>the action is taken in accordance with a direction of the Minister under section 25 or the recommendation of a person or organization approved by the Minister for the purposes of this sub-section.”.</w:t>
      </w:r>
    </w:p>
    <w:p w14:paraId="566744B2"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Staff of Commission.</w:t>
      </w:r>
    </w:p>
    <w:p w14:paraId="52C331F6"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b/>
          <w:bCs/>
        </w:rPr>
        <w:t>8.</w:t>
      </w:r>
      <w:r w:rsidR="00B671F0" w:rsidRPr="00AB2E06">
        <w:rPr>
          <w:rFonts w:ascii="Times New Roman" w:hAnsi="Times New Roman" w:cs="Times New Roman"/>
        </w:rPr>
        <w:t xml:space="preserve"> </w:t>
      </w:r>
      <w:r w:rsidRPr="00AB2E06">
        <w:rPr>
          <w:rFonts w:ascii="Times New Roman" w:hAnsi="Times New Roman" w:cs="Times New Roman"/>
        </w:rPr>
        <w:t>Section 32 of the Principal Act is amended by omitting sub-sections (2) and (3) and substituting the following sub-section:—</w:t>
      </w:r>
    </w:p>
    <w:p w14:paraId="25608748"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“(2) The use of the services of the Staff of the Commission by Commissioners is subject to the control of the Chairman.”.</w:t>
      </w:r>
    </w:p>
    <w:p w14:paraId="033291A1"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Committees.</w:t>
      </w:r>
    </w:p>
    <w:p w14:paraId="46097101"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b/>
          <w:bCs/>
        </w:rPr>
        <w:t>9.</w:t>
      </w:r>
      <w:r w:rsidR="00B671F0" w:rsidRPr="00AB2E06">
        <w:rPr>
          <w:rFonts w:ascii="Times New Roman" w:hAnsi="Times New Roman" w:cs="Times New Roman"/>
        </w:rPr>
        <w:t xml:space="preserve"> </w:t>
      </w:r>
      <w:r w:rsidRPr="00AB2E06">
        <w:rPr>
          <w:rFonts w:ascii="Times New Roman" w:hAnsi="Times New Roman" w:cs="Times New Roman"/>
        </w:rPr>
        <w:t>Section 45 of the Principal Act is amended by inserting in sub-section (1), after the word “may”, the words “, with the approval of the Minister,”.</w:t>
      </w:r>
    </w:p>
    <w:p w14:paraId="734110F3" w14:textId="77777777" w:rsidR="00720F93" w:rsidRPr="00B06820" w:rsidRDefault="003107AE" w:rsidP="00B06820">
      <w:pPr>
        <w:spacing w:before="120" w:after="60"/>
        <w:jc w:val="both"/>
        <w:rPr>
          <w:rFonts w:ascii="Times New Roman" w:hAnsi="Times New Roman" w:cs="Times New Roman"/>
          <w:b/>
          <w:sz w:val="20"/>
        </w:rPr>
      </w:pPr>
      <w:r w:rsidRPr="00B06820">
        <w:rPr>
          <w:rFonts w:ascii="Times New Roman" w:hAnsi="Times New Roman" w:cs="Times New Roman"/>
          <w:b/>
          <w:sz w:val="20"/>
        </w:rPr>
        <w:t>Formal amendments.</w:t>
      </w:r>
    </w:p>
    <w:p w14:paraId="2234261A"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b/>
          <w:bCs/>
        </w:rPr>
        <w:t>10.</w:t>
      </w:r>
      <w:r w:rsidR="00B671F0" w:rsidRPr="00AB2E06">
        <w:rPr>
          <w:rFonts w:ascii="Times New Roman" w:hAnsi="Times New Roman" w:cs="Times New Roman"/>
        </w:rPr>
        <w:t xml:space="preserve"> </w:t>
      </w:r>
      <w:r w:rsidRPr="00AB2E06">
        <w:rPr>
          <w:rFonts w:ascii="Times New Roman" w:hAnsi="Times New Roman" w:cs="Times New Roman"/>
        </w:rPr>
        <w:t>The Principal Act is amended as set out in the Schedule.</w:t>
      </w:r>
    </w:p>
    <w:p w14:paraId="45A6759B" w14:textId="77777777" w:rsidR="00720F93" w:rsidRPr="00AB2E06" w:rsidRDefault="003107AE" w:rsidP="00B06820">
      <w:pPr>
        <w:tabs>
          <w:tab w:val="left" w:pos="4320"/>
        </w:tabs>
        <w:spacing w:before="480" w:after="120"/>
        <w:jc w:val="right"/>
        <w:rPr>
          <w:rFonts w:ascii="Times New Roman" w:hAnsi="Times New Roman" w:cs="Times New Roman"/>
        </w:rPr>
      </w:pPr>
      <w:r w:rsidRPr="00AB2E06">
        <w:rPr>
          <w:rFonts w:ascii="Times New Roman" w:hAnsi="Times New Roman" w:cs="Times New Roman"/>
        </w:rPr>
        <w:t>SCHEDULE</w:t>
      </w:r>
      <w:r w:rsidR="00B06820">
        <w:rPr>
          <w:rFonts w:ascii="Times New Roman" w:hAnsi="Times New Roman" w:cs="Times New Roman"/>
        </w:rPr>
        <w:tab/>
      </w:r>
      <w:r w:rsidRPr="00AB2E06">
        <w:rPr>
          <w:rFonts w:ascii="Times New Roman" w:hAnsi="Times New Roman" w:cs="Times New Roman"/>
        </w:rPr>
        <w:t>Section 10</w:t>
      </w:r>
    </w:p>
    <w:p w14:paraId="1DFAA410" w14:textId="77777777" w:rsidR="00720F93" w:rsidRPr="00B06820" w:rsidRDefault="003107AE" w:rsidP="00B06820">
      <w:pPr>
        <w:spacing w:before="60" w:after="60"/>
        <w:jc w:val="center"/>
        <w:rPr>
          <w:rFonts w:ascii="Times New Roman" w:hAnsi="Times New Roman" w:cs="Times New Roman"/>
          <w:sz w:val="20"/>
        </w:rPr>
      </w:pPr>
      <w:r w:rsidRPr="00B06820">
        <w:rPr>
          <w:rFonts w:ascii="Times New Roman" w:hAnsi="Times New Roman" w:cs="Times New Roman"/>
          <w:sz w:val="20"/>
        </w:rPr>
        <w:t>FORMAL AMENDMENTS</w:t>
      </w:r>
    </w:p>
    <w:p w14:paraId="3374AABE" w14:textId="45EF09D6"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1. The following provisions of the Principal Act are amended by omitting the word “Australia” (wherever occurring) and substituting the words “the Commonwealth”:—</w:t>
      </w:r>
    </w:p>
    <w:p w14:paraId="1DC705F4" w14:textId="609EC4C1"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Section 3(1) (definition of “authority of Australia”), 9, 12(3), (7), (8) and (9), 17(2), 30, 33 and 42.</w:t>
      </w:r>
    </w:p>
    <w:p w14:paraId="773C2DB1"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2.</w:t>
      </w:r>
      <w:r w:rsidR="00B671F0" w:rsidRPr="00AB2E06">
        <w:rPr>
          <w:rFonts w:ascii="Times New Roman" w:hAnsi="Times New Roman" w:cs="Times New Roman"/>
        </w:rPr>
        <w:t xml:space="preserve"> </w:t>
      </w:r>
      <w:r w:rsidRPr="00AB2E06">
        <w:rPr>
          <w:rFonts w:ascii="Times New Roman" w:hAnsi="Times New Roman" w:cs="Times New Roman"/>
        </w:rPr>
        <w:t>Section 5 of the Principal Act is amended by omitting the words “, other than Papua New Guinea”.</w:t>
      </w:r>
    </w:p>
    <w:p w14:paraId="5AB1C726" w14:textId="77777777" w:rsidR="00720F93" w:rsidRPr="00AB2E06" w:rsidRDefault="003107AE" w:rsidP="00B06820">
      <w:pPr>
        <w:spacing w:after="60"/>
        <w:ind w:firstLine="288"/>
        <w:jc w:val="both"/>
        <w:rPr>
          <w:rFonts w:ascii="Times New Roman" w:hAnsi="Times New Roman" w:cs="Times New Roman"/>
        </w:rPr>
      </w:pPr>
      <w:r w:rsidRPr="00AB2E06">
        <w:rPr>
          <w:rFonts w:ascii="Times New Roman" w:hAnsi="Times New Roman" w:cs="Times New Roman"/>
        </w:rPr>
        <w:t>3.</w:t>
      </w:r>
      <w:r w:rsidR="00B671F0" w:rsidRPr="00AB2E06">
        <w:rPr>
          <w:rFonts w:ascii="Times New Roman" w:hAnsi="Times New Roman" w:cs="Times New Roman"/>
        </w:rPr>
        <w:t xml:space="preserve"> </w:t>
      </w:r>
      <w:r w:rsidRPr="00AB2E06">
        <w:rPr>
          <w:rFonts w:ascii="Times New Roman" w:hAnsi="Times New Roman" w:cs="Times New Roman"/>
        </w:rPr>
        <w:t>Section 33 of the Principal Act is amended by omitting the word “Australian” and substituting the word “Commonwealth”.</w:t>
      </w:r>
    </w:p>
    <w:p w14:paraId="7131F3B7" w14:textId="40082B85" w:rsidR="00720F93" w:rsidRPr="00B06820" w:rsidRDefault="00720F93" w:rsidP="00CB3D24">
      <w:pPr>
        <w:pBdr>
          <w:top w:val="single" w:sz="12" w:space="1" w:color="auto"/>
        </w:pBdr>
        <w:spacing w:before="60" w:after="60"/>
        <w:jc w:val="center"/>
        <w:rPr>
          <w:rFonts w:ascii="Times New Roman" w:hAnsi="Times New Roman" w:cs="Times New Roman"/>
          <w:sz w:val="20"/>
        </w:rPr>
      </w:pPr>
    </w:p>
    <w:sectPr w:rsidR="00720F93" w:rsidRPr="00B06820" w:rsidSect="003C6FDF">
      <w:headerReference w:type="even" r:id="rId7"/>
      <w:headerReference w:type="default" r:id="rId8"/>
      <w:footerReference w:type="even" r:id="rId9"/>
      <w:footerReference w:type="default" r:id="rId10"/>
      <w:headerReference w:type="first" r:id="rId11"/>
      <w:footerReference w:type="first" r:id="rId12"/>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78772" w14:textId="77777777" w:rsidR="0001392A" w:rsidRDefault="0001392A" w:rsidP="00720F93">
      <w:r>
        <w:separator/>
      </w:r>
    </w:p>
  </w:endnote>
  <w:endnote w:type="continuationSeparator" w:id="0">
    <w:p w14:paraId="057972FE" w14:textId="77777777" w:rsidR="0001392A" w:rsidRDefault="0001392A" w:rsidP="0072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A314" w14:textId="77777777" w:rsidR="00940C2C" w:rsidRDefault="00940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F70E" w14:textId="77777777" w:rsidR="00940C2C" w:rsidRDefault="00940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D1AAB" w14:textId="77777777" w:rsidR="00940C2C" w:rsidRDefault="00940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2502A" w14:textId="77777777" w:rsidR="0001392A" w:rsidRDefault="0001392A"/>
  </w:footnote>
  <w:footnote w:type="continuationSeparator" w:id="0">
    <w:p w14:paraId="03D980F2" w14:textId="77777777" w:rsidR="0001392A" w:rsidRDefault="000139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70FAC" w14:textId="77777777" w:rsidR="003C6FDF" w:rsidRDefault="003C6FDF" w:rsidP="003C6FDF">
    <w:pPr>
      <w:pStyle w:val="Header"/>
      <w:tabs>
        <w:tab w:val="clear" w:pos="9360"/>
        <w:tab w:val="left" w:pos="3240"/>
        <w:tab w:val="right" w:pos="9720"/>
      </w:tabs>
    </w:pPr>
    <w:r w:rsidRPr="00AB2E06">
      <w:rPr>
        <w:rFonts w:ascii="Times New Roman" w:hAnsi="Times New Roman" w:cs="Times New Roman"/>
      </w:rPr>
      <w:t>No. 135</w:t>
    </w:r>
    <w:r>
      <w:rPr>
        <w:rFonts w:ascii="Times New Roman" w:hAnsi="Times New Roman" w:cs="Times New Roman"/>
      </w:rPr>
      <w:tab/>
    </w:r>
    <w:r w:rsidRPr="00AB2E06">
      <w:rPr>
        <w:rFonts w:ascii="Times New Roman" w:hAnsi="Times New Roman" w:cs="Times New Roman"/>
        <w:i/>
        <w:iCs/>
      </w:rPr>
      <w:t>Australian Heritage Commission Amendment</w:t>
    </w:r>
    <w:r>
      <w:rPr>
        <w:rFonts w:ascii="Times New Roman" w:hAnsi="Times New Roman" w:cs="Times New Roman"/>
      </w:rPr>
      <w:tab/>
    </w:r>
    <w:r w:rsidRPr="00AB2E06">
      <w:rPr>
        <w:rFonts w:ascii="Times New Roman" w:hAnsi="Times New Roman" w:cs="Times New Roman"/>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B30FD" w14:textId="77777777" w:rsidR="003C6FDF" w:rsidRDefault="00E44527" w:rsidP="00E44527">
    <w:pPr>
      <w:pStyle w:val="Header"/>
      <w:tabs>
        <w:tab w:val="clear" w:pos="9360"/>
        <w:tab w:val="left" w:pos="3240"/>
        <w:tab w:val="right" w:pos="9720"/>
      </w:tabs>
    </w:pPr>
    <w:r w:rsidRPr="00AB2E06">
      <w:rPr>
        <w:rFonts w:ascii="Times New Roman" w:hAnsi="Times New Roman" w:cs="Times New Roman"/>
      </w:rPr>
      <w:t>1976</w:t>
    </w:r>
    <w:r>
      <w:rPr>
        <w:rFonts w:ascii="Times New Roman" w:hAnsi="Times New Roman" w:cs="Times New Roman"/>
      </w:rPr>
      <w:tab/>
    </w:r>
    <w:r w:rsidRPr="00AB2E06">
      <w:rPr>
        <w:rFonts w:ascii="Times New Roman" w:hAnsi="Times New Roman" w:cs="Times New Roman"/>
        <w:i/>
        <w:iCs/>
      </w:rPr>
      <w:t>Australian Heritage Commission Amendment</w:t>
    </w:r>
    <w:r>
      <w:rPr>
        <w:rFonts w:ascii="Times New Roman" w:hAnsi="Times New Roman" w:cs="Times New Roman"/>
        <w:i/>
        <w:iCs/>
      </w:rPr>
      <w:tab/>
    </w:r>
    <w:r w:rsidRPr="00AB2E06">
      <w:rPr>
        <w:rFonts w:ascii="Times New Roman" w:hAnsi="Times New Roman" w:cs="Times New Roman"/>
      </w:rPr>
      <w:t>No. 135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7520" w14:textId="77777777" w:rsidR="00940C2C" w:rsidRDefault="00940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20F93"/>
    <w:rsid w:val="0001294E"/>
    <w:rsid w:val="0001392A"/>
    <w:rsid w:val="00266C50"/>
    <w:rsid w:val="002675B8"/>
    <w:rsid w:val="003107AE"/>
    <w:rsid w:val="0033611A"/>
    <w:rsid w:val="003C6FDF"/>
    <w:rsid w:val="005B2E97"/>
    <w:rsid w:val="005F3392"/>
    <w:rsid w:val="006E0A39"/>
    <w:rsid w:val="00720F93"/>
    <w:rsid w:val="0086710C"/>
    <w:rsid w:val="00940C2C"/>
    <w:rsid w:val="00A10978"/>
    <w:rsid w:val="00AB2E06"/>
    <w:rsid w:val="00AC1C20"/>
    <w:rsid w:val="00AE253F"/>
    <w:rsid w:val="00B06820"/>
    <w:rsid w:val="00B171E6"/>
    <w:rsid w:val="00B671F0"/>
    <w:rsid w:val="00C23267"/>
    <w:rsid w:val="00C66F7A"/>
    <w:rsid w:val="00CB3D24"/>
    <w:rsid w:val="00D476E6"/>
    <w:rsid w:val="00E4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90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0F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0F93"/>
    <w:rPr>
      <w:color w:val="0066CC"/>
      <w:u w:val="single"/>
    </w:rPr>
  </w:style>
  <w:style w:type="paragraph" w:styleId="Header">
    <w:name w:val="header"/>
    <w:basedOn w:val="Normal"/>
    <w:link w:val="HeaderChar"/>
    <w:uiPriority w:val="99"/>
    <w:unhideWhenUsed/>
    <w:rsid w:val="003C6FDF"/>
    <w:pPr>
      <w:tabs>
        <w:tab w:val="center" w:pos="4680"/>
        <w:tab w:val="right" w:pos="9360"/>
      </w:tabs>
    </w:pPr>
  </w:style>
  <w:style w:type="character" w:customStyle="1" w:styleId="HeaderChar">
    <w:name w:val="Header Char"/>
    <w:basedOn w:val="DefaultParagraphFont"/>
    <w:link w:val="Header"/>
    <w:uiPriority w:val="99"/>
    <w:rsid w:val="003C6FDF"/>
    <w:rPr>
      <w:color w:val="000000"/>
    </w:rPr>
  </w:style>
  <w:style w:type="paragraph" w:styleId="Footer">
    <w:name w:val="footer"/>
    <w:basedOn w:val="Normal"/>
    <w:link w:val="FooterChar"/>
    <w:uiPriority w:val="99"/>
    <w:unhideWhenUsed/>
    <w:rsid w:val="003C6FDF"/>
    <w:pPr>
      <w:tabs>
        <w:tab w:val="center" w:pos="4680"/>
        <w:tab w:val="right" w:pos="9360"/>
      </w:tabs>
    </w:pPr>
  </w:style>
  <w:style w:type="character" w:customStyle="1" w:styleId="FooterChar">
    <w:name w:val="Footer Char"/>
    <w:basedOn w:val="DefaultParagraphFont"/>
    <w:link w:val="Footer"/>
    <w:uiPriority w:val="99"/>
    <w:rsid w:val="003C6FDF"/>
    <w:rPr>
      <w:color w:val="000000"/>
    </w:rPr>
  </w:style>
  <w:style w:type="paragraph" w:styleId="BalloonText">
    <w:name w:val="Balloon Text"/>
    <w:basedOn w:val="Normal"/>
    <w:link w:val="BalloonTextChar"/>
    <w:uiPriority w:val="99"/>
    <w:semiHidden/>
    <w:unhideWhenUsed/>
    <w:rsid w:val="003C6FDF"/>
    <w:rPr>
      <w:rFonts w:ascii="Tahoma" w:hAnsi="Tahoma" w:cs="Tahoma"/>
      <w:sz w:val="16"/>
      <w:szCs w:val="16"/>
    </w:rPr>
  </w:style>
  <w:style w:type="character" w:customStyle="1" w:styleId="BalloonTextChar">
    <w:name w:val="Balloon Text Char"/>
    <w:basedOn w:val="DefaultParagraphFont"/>
    <w:link w:val="BalloonText"/>
    <w:uiPriority w:val="99"/>
    <w:semiHidden/>
    <w:rsid w:val="003C6FDF"/>
    <w:rPr>
      <w:rFonts w:ascii="Tahoma" w:hAnsi="Tahoma" w:cs="Tahoma"/>
      <w:color w:val="000000"/>
      <w:sz w:val="16"/>
      <w:szCs w:val="16"/>
    </w:rPr>
  </w:style>
  <w:style w:type="character" w:styleId="CommentReference">
    <w:name w:val="annotation reference"/>
    <w:basedOn w:val="DefaultParagraphFont"/>
    <w:uiPriority w:val="99"/>
    <w:semiHidden/>
    <w:unhideWhenUsed/>
    <w:rsid w:val="002675B8"/>
    <w:rPr>
      <w:sz w:val="16"/>
      <w:szCs w:val="16"/>
    </w:rPr>
  </w:style>
  <w:style w:type="paragraph" w:styleId="CommentText">
    <w:name w:val="annotation text"/>
    <w:basedOn w:val="Normal"/>
    <w:link w:val="CommentTextChar"/>
    <w:uiPriority w:val="99"/>
    <w:semiHidden/>
    <w:unhideWhenUsed/>
    <w:rsid w:val="002675B8"/>
    <w:rPr>
      <w:sz w:val="20"/>
      <w:szCs w:val="20"/>
    </w:rPr>
  </w:style>
  <w:style w:type="character" w:customStyle="1" w:styleId="CommentTextChar">
    <w:name w:val="Comment Text Char"/>
    <w:basedOn w:val="DefaultParagraphFont"/>
    <w:link w:val="CommentText"/>
    <w:uiPriority w:val="99"/>
    <w:semiHidden/>
    <w:rsid w:val="002675B8"/>
    <w:rPr>
      <w:color w:val="000000"/>
      <w:sz w:val="20"/>
      <w:szCs w:val="20"/>
    </w:rPr>
  </w:style>
  <w:style w:type="paragraph" w:styleId="CommentSubject">
    <w:name w:val="annotation subject"/>
    <w:basedOn w:val="CommentText"/>
    <w:next w:val="CommentText"/>
    <w:link w:val="CommentSubjectChar"/>
    <w:uiPriority w:val="99"/>
    <w:semiHidden/>
    <w:unhideWhenUsed/>
    <w:rsid w:val="002675B8"/>
    <w:rPr>
      <w:b/>
      <w:bCs/>
    </w:rPr>
  </w:style>
  <w:style w:type="character" w:customStyle="1" w:styleId="CommentSubjectChar">
    <w:name w:val="Comment Subject Char"/>
    <w:basedOn w:val="CommentTextChar"/>
    <w:link w:val="CommentSubject"/>
    <w:uiPriority w:val="99"/>
    <w:semiHidden/>
    <w:rsid w:val="002675B8"/>
    <w:rPr>
      <w:b/>
      <w:bCs/>
      <w:color w:val="000000"/>
      <w:sz w:val="20"/>
      <w:szCs w:val="20"/>
    </w:rPr>
  </w:style>
  <w:style w:type="paragraph" w:styleId="Revision">
    <w:name w:val="Revision"/>
    <w:hidden/>
    <w:uiPriority w:val="99"/>
    <w:semiHidden/>
    <w:rsid w:val="00AC1C20"/>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9957-E823-4B06-AAF6-D9BCACA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2018-10-01T04:59:00Z</dcterms:created>
  <dcterms:modified xsi:type="dcterms:W3CDTF">2019-08-14T18:56:00Z</dcterms:modified>
</cp:coreProperties>
</file>