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8DE83" w14:textId="77777777" w:rsidR="00B6035A" w:rsidRDefault="00B33E97" w:rsidP="00BF04A0">
      <w:pPr>
        <w:jc w:val="center"/>
        <w:rPr>
          <w:rFonts w:ascii="Times New Roman" w:hAnsi="Times New Roman" w:cs="Times New Roman"/>
          <w:b/>
          <w:sz w:val="32"/>
        </w:rPr>
      </w:pPr>
      <w:bookmarkStart w:id="0" w:name="bookmark0"/>
      <w:bookmarkStart w:id="1" w:name="_GoBack"/>
      <w:bookmarkEnd w:id="1"/>
      <w:r w:rsidRPr="00BF04A0">
        <w:rPr>
          <w:rFonts w:ascii="Times New Roman" w:hAnsi="Times New Roman" w:cs="Times New Roman"/>
          <w:b/>
          <w:sz w:val="32"/>
        </w:rPr>
        <w:t>FAMILY LAW AMENDMENT ACT (No. 2) 1976</w:t>
      </w:r>
      <w:bookmarkEnd w:id="0"/>
    </w:p>
    <w:p w14:paraId="2D2CF9F1" w14:textId="77777777" w:rsidR="00BF04A0" w:rsidRPr="00BF04A0" w:rsidRDefault="00BF04A0" w:rsidP="00BF04A0">
      <w:pPr>
        <w:jc w:val="center"/>
        <w:rPr>
          <w:rFonts w:ascii="Times New Roman" w:hAnsi="Times New Roman" w:cs="Times New Roman"/>
          <w:b/>
          <w:sz w:val="32"/>
        </w:rPr>
      </w:pPr>
    </w:p>
    <w:p w14:paraId="317D6ECA" w14:textId="77777777" w:rsidR="00B6035A" w:rsidRDefault="00B33E97" w:rsidP="00BF04A0">
      <w:pPr>
        <w:jc w:val="center"/>
        <w:rPr>
          <w:rStyle w:val="Heading2ArialUnicodeMS"/>
          <w:rFonts w:ascii="Times New Roman" w:hAnsi="Times New Roman" w:cs="Times New Roman"/>
          <w:b/>
          <w:sz w:val="28"/>
          <w:szCs w:val="24"/>
        </w:rPr>
      </w:pPr>
      <w:bookmarkStart w:id="2" w:name="bookmark1"/>
      <w:r w:rsidRPr="00BF04A0">
        <w:rPr>
          <w:rStyle w:val="Heading2ArialUnicodeMS"/>
          <w:rFonts w:ascii="Times New Roman" w:hAnsi="Times New Roman" w:cs="Times New Roman"/>
          <w:b/>
          <w:sz w:val="28"/>
          <w:szCs w:val="24"/>
        </w:rPr>
        <w:t>No. 95 of 1976</w:t>
      </w:r>
      <w:bookmarkEnd w:id="2"/>
    </w:p>
    <w:p w14:paraId="341005DD" w14:textId="77777777" w:rsidR="00BF04A0" w:rsidRDefault="00BF04A0" w:rsidP="00BF04A0">
      <w:pPr>
        <w:jc w:val="center"/>
        <w:rPr>
          <w:rStyle w:val="Heading2ArialUnicodeMS"/>
          <w:rFonts w:ascii="Times New Roman" w:hAnsi="Times New Roman" w:cs="Times New Roman"/>
          <w:b/>
          <w:sz w:val="28"/>
          <w:szCs w:val="24"/>
        </w:rPr>
      </w:pPr>
    </w:p>
    <w:p w14:paraId="3A44800B" w14:textId="77777777" w:rsidR="00B6035A" w:rsidRDefault="00B33E97" w:rsidP="00BF04A0">
      <w:pPr>
        <w:pStyle w:val="BodyText1"/>
        <w:spacing w:line="240" w:lineRule="auto"/>
        <w:ind w:firstLine="0"/>
        <w:rPr>
          <w:rStyle w:val="Bodytext11pt"/>
          <w:sz w:val="24"/>
          <w:szCs w:val="24"/>
        </w:rPr>
      </w:pPr>
      <w:r w:rsidRPr="00BF04A0">
        <w:rPr>
          <w:rStyle w:val="Bodytext11pt"/>
          <w:sz w:val="24"/>
          <w:szCs w:val="24"/>
        </w:rPr>
        <w:t xml:space="preserve">An Act to amend the </w:t>
      </w:r>
      <w:r w:rsidRPr="00BF04A0">
        <w:rPr>
          <w:rStyle w:val="Bodytext11pt3"/>
          <w:sz w:val="24"/>
          <w:szCs w:val="24"/>
        </w:rPr>
        <w:t>Family Law Act</w:t>
      </w:r>
      <w:r w:rsidRPr="00BF04A0">
        <w:rPr>
          <w:rStyle w:val="Bodytext11pt"/>
          <w:sz w:val="24"/>
          <w:szCs w:val="24"/>
        </w:rPr>
        <w:t xml:space="preserve"> 1975.</w:t>
      </w:r>
    </w:p>
    <w:p w14:paraId="66D31A96" w14:textId="77777777" w:rsidR="00BF04A0" w:rsidRPr="00BF04A0" w:rsidRDefault="00BF04A0" w:rsidP="00BF04A0">
      <w:pPr>
        <w:pStyle w:val="BodyText1"/>
        <w:spacing w:line="240" w:lineRule="auto"/>
        <w:ind w:firstLine="0"/>
        <w:rPr>
          <w:sz w:val="24"/>
          <w:szCs w:val="24"/>
        </w:rPr>
      </w:pPr>
    </w:p>
    <w:p w14:paraId="4BAFE31A" w14:textId="77777777" w:rsidR="00B6035A" w:rsidRPr="00BF04A0" w:rsidRDefault="00B33E97" w:rsidP="00CA6B28">
      <w:pPr>
        <w:pStyle w:val="BodyText1"/>
        <w:spacing w:line="240" w:lineRule="auto"/>
        <w:ind w:firstLine="274"/>
        <w:jc w:val="both"/>
        <w:rPr>
          <w:sz w:val="24"/>
          <w:szCs w:val="24"/>
        </w:rPr>
      </w:pPr>
      <w:r w:rsidRPr="00BF04A0">
        <w:rPr>
          <w:rStyle w:val="Bodytext11pt"/>
          <w:sz w:val="24"/>
          <w:szCs w:val="24"/>
        </w:rPr>
        <w:t>BE IT ENACTED by the Queen, and the Senate and House of Representatives of the Commonwealth of Australia, as follows:—</w:t>
      </w:r>
    </w:p>
    <w:p w14:paraId="35A84AE4" w14:textId="77777777" w:rsidR="00B6035A" w:rsidRPr="00CA6B28" w:rsidRDefault="00B33E97" w:rsidP="00CA6B28">
      <w:pPr>
        <w:pStyle w:val="Bodytext20"/>
        <w:spacing w:before="120" w:after="60" w:line="240" w:lineRule="auto"/>
        <w:rPr>
          <w:b/>
          <w:sz w:val="20"/>
          <w:szCs w:val="24"/>
        </w:rPr>
      </w:pPr>
      <w:r w:rsidRPr="00CA6B28">
        <w:rPr>
          <w:b/>
          <w:sz w:val="20"/>
          <w:szCs w:val="24"/>
        </w:rPr>
        <w:t>Short title, &amp;c.</w:t>
      </w:r>
    </w:p>
    <w:p w14:paraId="144DDCA1" w14:textId="665FE8F8" w:rsidR="00B6035A" w:rsidRPr="00BF04A0" w:rsidRDefault="006975D4" w:rsidP="00527DF6">
      <w:pPr>
        <w:pStyle w:val="BodyText1"/>
        <w:spacing w:after="120" w:line="240" w:lineRule="auto"/>
        <w:ind w:firstLine="274"/>
        <w:jc w:val="both"/>
        <w:rPr>
          <w:sz w:val="24"/>
          <w:szCs w:val="24"/>
        </w:rPr>
      </w:pPr>
      <w:r w:rsidRPr="00CA6B28">
        <w:rPr>
          <w:rStyle w:val="Bodytext11pt"/>
          <w:b/>
          <w:sz w:val="24"/>
          <w:szCs w:val="24"/>
        </w:rPr>
        <w:t>1.</w:t>
      </w:r>
      <w:r w:rsidRPr="00BF04A0">
        <w:rPr>
          <w:rStyle w:val="Bodytext11pt"/>
          <w:sz w:val="24"/>
          <w:szCs w:val="24"/>
        </w:rPr>
        <w:t xml:space="preserve"> </w:t>
      </w:r>
      <w:r w:rsidR="00B33E97" w:rsidRPr="00BF04A0">
        <w:rPr>
          <w:rStyle w:val="Bodytext11pt"/>
          <w:sz w:val="24"/>
          <w:szCs w:val="24"/>
        </w:rPr>
        <w:t xml:space="preserve">(1) This Act may be cited as the </w:t>
      </w:r>
      <w:r w:rsidR="00CA6B28">
        <w:rPr>
          <w:rStyle w:val="Bodytext11pt3"/>
          <w:sz w:val="24"/>
          <w:szCs w:val="24"/>
        </w:rPr>
        <w:t xml:space="preserve">Family Law </w:t>
      </w:r>
      <w:r w:rsidR="00CA6B28" w:rsidRPr="006C7A63">
        <w:rPr>
          <w:rStyle w:val="Bodytext11pt3"/>
          <w:sz w:val="24"/>
          <w:szCs w:val="24"/>
        </w:rPr>
        <w:t xml:space="preserve">Amendment Act </w:t>
      </w:r>
      <w:r w:rsidR="00CA6B28" w:rsidRPr="0002312A">
        <w:rPr>
          <w:rStyle w:val="Bodytext11pt3"/>
          <w:i w:val="0"/>
          <w:sz w:val="24"/>
          <w:szCs w:val="24"/>
        </w:rPr>
        <w:t>(</w:t>
      </w:r>
      <w:r w:rsidR="00B33E97" w:rsidRPr="006C7A63">
        <w:rPr>
          <w:rStyle w:val="Bodytext11pt3"/>
          <w:sz w:val="24"/>
          <w:szCs w:val="24"/>
        </w:rPr>
        <w:t>No.</w:t>
      </w:r>
      <w:r w:rsidR="00B33E97" w:rsidRPr="006C7A63">
        <w:rPr>
          <w:rStyle w:val="Bodytext11pt"/>
          <w:sz w:val="24"/>
          <w:szCs w:val="24"/>
        </w:rPr>
        <w:t xml:space="preserve"> 2) 1976</w:t>
      </w:r>
      <w:r w:rsidR="00B33E97" w:rsidRPr="00BF04A0">
        <w:rPr>
          <w:rStyle w:val="Bodytext11pt"/>
          <w:sz w:val="24"/>
          <w:szCs w:val="24"/>
        </w:rPr>
        <w:t>.</w:t>
      </w:r>
    </w:p>
    <w:p w14:paraId="0A15D120" w14:textId="0AF669FF" w:rsidR="00B6035A" w:rsidRPr="00BF04A0" w:rsidRDefault="00B33E97" w:rsidP="00527DF6">
      <w:pPr>
        <w:pStyle w:val="BodyText1"/>
        <w:spacing w:line="240" w:lineRule="auto"/>
        <w:ind w:firstLine="274"/>
        <w:jc w:val="both"/>
        <w:rPr>
          <w:sz w:val="24"/>
          <w:szCs w:val="24"/>
        </w:rPr>
      </w:pPr>
      <w:r w:rsidRPr="00BF04A0">
        <w:rPr>
          <w:rStyle w:val="Bodytext11pt"/>
          <w:sz w:val="24"/>
          <w:szCs w:val="24"/>
        </w:rPr>
        <w:t xml:space="preserve">(2) The </w:t>
      </w:r>
      <w:r w:rsidRPr="00BF04A0">
        <w:rPr>
          <w:rStyle w:val="Bodytext11pt3"/>
          <w:sz w:val="24"/>
          <w:szCs w:val="24"/>
        </w:rPr>
        <w:t>Family Law Act</w:t>
      </w:r>
      <w:r w:rsidRPr="00BF04A0">
        <w:rPr>
          <w:rStyle w:val="Bodytext11pt"/>
          <w:sz w:val="24"/>
          <w:szCs w:val="24"/>
        </w:rPr>
        <w:t xml:space="preserve"> 1975 is in thi</w:t>
      </w:r>
      <w:r w:rsidR="006975D4" w:rsidRPr="00BF04A0">
        <w:rPr>
          <w:rStyle w:val="Bodytext11pt"/>
          <w:sz w:val="24"/>
          <w:szCs w:val="24"/>
        </w:rPr>
        <w:t>s Act referred to as the Princi</w:t>
      </w:r>
      <w:r w:rsidRPr="00BF04A0">
        <w:rPr>
          <w:rStyle w:val="Bodytext11pt"/>
          <w:sz w:val="24"/>
          <w:szCs w:val="24"/>
        </w:rPr>
        <w:t>pal Act.</w:t>
      </w:r>
    </w:p>
    <w:p w14:paraId="02047ACA" w14:textId="77777777" w:rsidR="006975D4" w:rsidRPr="00527DF6" w:rsidRDefault="006975D4" w:rsidP="00527DF6">
      <w:pPr>
        <w:pStyle w:val="Bodytext20"/>
        <w:spacing w:before="120" w:after="60" w:line="240" w:lineRule="auto"/>
        <w:rPr>
          <w:b/>
          <w:sz w:val="20"/>
          <w:szCs w:val="24"/>
        </w:rPr>
      </w:pPr>
      <w:r w:rsidRPr="00527DF6">
        <w:rPr>
          <w:b/>
          <w:sz w:val="20"/>
          <w:szCs w:val="24"/>
        </w:rPr>
        <w:t>Commencement.</w:t>
      </w:r>
    </w:p>
    <w:p w14:paraId="00E759C6" w14:textId="21B8B0FF" w:rsidR="00B6035A" w:rsidRPr="00BF04A0" w:rsidRDefault="006975D4" w:rsidP="00527DF6">
      <w:pPr>
        <w:pStyle w:val="BodyText1"/>
        <w:tabs>
          <w:tab w:val="left" w:pos="720"/>
        </w:tabs>
        <w:spacing w:after="120" w:line="240" w:lineRule="auto"/>
        <w:ind w:firstLine="274"/>
        <w:jc w:val="both"/>
        <w:rPr>
          <w:sz w:val="24"/>
          <w:szCs w:val="24"/>
        </w:rPr>
      </w:pPr>
      <w:r w:rsidRPr="00527DF6">
        <w:rPr>
          <w:rStyle w:val="Bodytext11pt"/>
          <w:b/>
          <w:sz w:val="24"/>
          <w:szCs w:val="24"/>
        </w:rPr>
        <w:t>2.</w:t>
      </w:r>
      <w:r w:rsidR="00527DF6">
        <w:rPr>
          <w:rStyle w:val="Bodytext11pt"/>
          <w:sz w:val="24"/>
          <w:szCs w:val="24"/>
        </w:rPr>
        <w:tab/>
      </w:r>
      <w:r w:rsidR="00B33E97" w:rsidRPr="00BF04A0">
        <w:rPr>
          <w:rStyle w:val="Bodytext11pt"/>
          <w:sz w:val="24"/>
          <w:szCs w:val="24"/>
        </w:rPr>
        <w:t>This Act shall come into operation on the day on which it receives the Royal Assent.</w:t>
      </w:r>
    </w:p>
    <w:p w14:paraId="466BB1DC" w14:textId="77777777" w:rsidR="006975D4" w:rsidRPr="00527DF6" w:rsidRDefault="006975D4" w:rsidP="00527DF6">
      <w:pPr>
        <w:pStyle w:val="Bodytext20"/>
        <w:tabs>
          <w:tab w:val="left" w:pos="720"/>
        </w:tabs>
        <w:spacing w:before="120" w:after="60" w:line="240" w:lineRule="auto"/>
        <w:rPr>
          <w:b/>
          <w:sz w:val="20"/>
          <w:szCs w:val="24"/>
        </w:rPr>
      </w:pPr>
      <w:r w:rsidRPr="00527DF6">
        <w:rPr>
          <w:b/>
          <w:sz w:val="20"/>
          <w:szCs w:val="24"/>
        </w:rPr>
        <w:t>Child welfare law not affected.</w:t>
      </w:r>
    </w:p>
    <w:p w14:paraId="2C9326D9" w14:textId="77777777" w:rsidR="00B6035A" w:rsidRPr="00BF04A0" w:rsidRDefault="006975D4" w:rsidP="00527DF6">
      <w:pPr>
        <w:pStyle w:val="BodyText1"/>
        <w:tabs>
          <w:tab w:val="left" w:pos="720"/>
        </w:tabs>
        <w:spacing w:after="120" w:line="240" w:lineRule="auto"/>
        <w:ind w:firstLine="274"/>
        <w:jc w:val="both"/>
        <w:rPr>
          <w:sz w:val="24"/>
          <w:szCs w:val="24"/>
        </w:rPr>
      </w:pPr>
      <w:r w:rsidRPr="00527DF6">
        <w:rPr>
          <w:rStyle w:val="Bodytext11pt"/>
          <w:b/>
          <w:sz w:val="24"/>
          <w:szCs w:val="24"/>
        </w:rPr>
        <w:t>3.</w:t>
      </w:r>
      <w:r w:rsidR="00527DF6">
        <w:rPr>
          <w:rStyle w:val="Bodytext11pt"/>
          <w:sz w:val="24"/>
          <w:szCs w:val="24"/>
        </w:rPr>
        <w:tab/>
      </w:r>
      <w:r w:rsidR="00B33E97" w:rsidRPr="00BF04A0">
        <w:rPr>
          <w:rStyle w:val="Bodytext11pt"/>
          <w:sz w:val="24"/>
          <w:szCs w:val="24"/>
        </w:rPr>
        <w:t>Section 10 of the Principal Act is amended—</w:t>
      </w:r>
    </w:p>
    <w:p w14:paraId="24462914" w14:textId="510FEA2E" w:rsidR="00B6035A" w:rsidRPr="00BF04A0" w:rsidRDefault="006975D4" w:rsidP="00527DF6">
      <w:pPr>
        <w:pStyle w:val="BodyText1"/>
        <w:spacing w:after="60" w:line="240" w:lineRule="auto"/>
        <w:ind w:left="612" w:hanging="338"/>
        <w:jc w:val="both"/>
        <w:rPr>
          <w:sz w:val="24"/>
          <w:szCs w:val="24"/>
        </w:rPr>
      </w:pPr>
      <w:r w:rsidRPr="00BF04A0">
        <w:rPr>
          <w:rStyle w:val="Bodytext11pt"/>
          <w:sz w:val="24"/>
          <w:szCs w:val="24"/>
        </w:rPr>
        <w:t>(a)</w:t>
      </w:r>
      <w:r w:rsidR="00B33E97" w:rsidRPr="00BF04A0">
        <w:rPr>
          <w:rStyle w:val="Bodytext11pt"/>
          <w:sz w:val="24"/>
          <w:szCs w:val="24"/>
        </w:rPr>
        <w:t xml:space="preserve"> by omitting from sub-section (2) the words “Nothing in this Act” and substituting the words “Subject to sub-section (3), nothing in this Act</w:t>
      </w:r>
      <w:r w:rsidR="0002312A">
        <w:rPr>
          <w:rStyle w:val="Bodytext11pt"/>
          <w:sz w:val="24"/>
          <w:szCs w:val="24"/>
        </w:rPr>
        <w:t>”;</w:t>
      </w:r>
      <w:r w:rsidR="00B33E97" w:rsidRPr="00BF04A0">
        <w:rPr>
          <w:rStyle w:val="Bodytext11pt"/>
          <w:sz w:val="24"/>
          <w:szCs w:val="24"/>
        </w:rPr>
        <w:t xml:space="preserve"> and</w:t>
      </w:r>
    </w:p>
    <w:p w14:paraId="32A29A5D" w14:textId="7BE07543" w:rsidR="00B6035A" w:rsidRPr="00BF04A0" w:rsidRDefault="006975D4" w:rsidP="00527DF6">
      <w:pPr>
        <w:pStyle w:val="BodyText1"/>
        <w:spacing w:after="60" w:line="240" w:lineRule="auto"/>
        <w:ind w:left="612" w:hanging="338"/>
        <w:jc w:val="both"/>
        <w:rPr>
          <w:sz w:val="24"/>
          <w:szCs w:val="24"/>
        </w:rPr>
      </w:pPr>
      <w:r w:rsidRPr="00BF04A0">
        <w:rPr>
          <w:rStyle w:val="Bodytext11pt"/>
          <w:sz w:val="24"/>
          <w:szCs w:val="24"/>
        </w:rPr>
        <w:t>(b)</w:t>
      </w:r>
      <w:r w:rsidR="00B33E97" w:rsidRPr="00BF04A0">
        <w:rPr>
          <w:rStyle w:val="Bodytext11pt"/>
          <w:sz w:val="24"/>
          <w:szCs w:val="24"/>
        </w:rPr>
        <w:t xml:space="preserve"> by</w:t>
      </w:r>
      <w:r w:rsidR="00A25EC1">
        <w:rPr>
          <w:rStyle w:val="Bodytext11pt"/>
          <w:sz w:val="24"/>
          <w:szCs w:val="24"/>
        </w:rPr>
        <w:t xml:space="preserve"> adding </w:t>
      </w:r>
      <w:r w:rsidR="00B33E97" w:rsidRPr="00BF04A0">
        <w:rPr>
          <w:rStyle w:val="Bodytext11pt"/>
          <w:sz w:val="24"/>
          <w:szCs w:val="24"/>
        </w:rPr>
        <w:t>at the end of sub-section (3) the words “and an order made in accordance with this sub-section has effect notwithstanding any order or action of the ki</w:t>
      </w:r>
      <w:r w:rsidR="0002312A">
        <w:rPr>
          <w:rStyle w:val="Bodytext11pt"/>
          <w:sz w:val="24"/>
          <w:szCs w:val="24"/>
        </w:rPr>
        <w:t>nd referred to in paragraph (2)</w:t>
      </w:r>
      <w:r w:rsidR="00B33E97" w:rsidRPr="00BF04A0">
        <w:rPr>
          <w:rStyle w:val="Bodytext11pt"/>
          <w:sz w:val="24"/>
          <w:szCs w:val="24"/>
        </w:rPr>
        <w:t>(b) or (d) made or taken before the making of the order made in accordance with this sub-section”.</w:t>
      </w:r>
    </w:p>
    <w:p w14:paraId="2308C12C" w14:textId="223769A4" w:rsidR="00B6035A" w:rsidRPr="007960ED" w:rsidRDefault="00B33E97" w:rsidP="007960ED">
      <w:pPr>
        <w:pStyle w:val="Bodytext20"/>
        <w:spacing w:before="120" w:after="60" w:line="240" w:lineRule="auto"/>
        <w:rPr>
          <w:b/>
          <w:sz w:val="20"/>
          <w:szCs w:val="24"/>
        </w:rPr>
      </w:pPr>
      <w:r w:rsidRPr="007960ED">
        <w:rPr>
          <w:b/>
          <w:sz w:val="20"/>
          <w:szCs w:val="24"/>
        </w:rPr>
        <w:t>Intervention by Attorney-General.</w:t>
      </w:r>
    </w:p>
    <w:p w14:paraId="21E7713B" w14:textId="168EA4A6" w:rsidR="00B6035A" w:rsidRPr="00BF04A0" w:rsidRDefault="006975D4" w:rsidP="00D120A2">
      <w:pPr>
        <w:pStyle w:val="BodyText1"/>
        <w:tabs>
          <w:tab w:val="left" w:pos="720"/>
        </w:tabs>
        <w:spacing w:after="120" w:line="240" w:lineRule="auto"/>
        <w:ind w:firstLine="274"/>
        <w:jc w:val="both"/>
        <w:rPr>
          <w:sz w:val="24"/>
          <w:szCs w:val="24"/>
        </w:rPr>
      </w:pPr>
      <w:r w:rsidRPr="00D120A2">
        <w:rPr>
          <w:rStyle w:val="BodytextArialUnicodeMS"/>
          <w:rFonts w:ascii="Times New Roman" w:hAnsi="Times New Roman" w:cs="Times New Roman"/>
          <w:b/>
          <w:sz w:val="24"/>
          <w:szCs w:val="24"/>
        </w:rPr>
        <w:t>4.</w:t>
      </w:r>
      <w:r w:rsidR="00D120A2">
        <w:rPr>
          <w:rStyle w:val="BodytextArialUnicodeMS"/>
          <w:rFonts w:ascii="Times New Roman" w:hAnsi="Times New Roman" w:cs="Times New Roman"/>
          <w:sz w:val="24"/>
          <w:szCs w:val="24"/>
        </w:rPr>
        <w:tab/>
      </w:r>
      <w:r w:rsidR="00B33E97" w:rsidRPr="00BF04A0">
        <w:rPr>
          <w:rStyle w:val="Bodytext11pt"/>
          <w:sz w:val="24"/>
          <w:szCs w:val="24"/>
        </w:rPr>
        <w:t>Section 91 of the Principal Act is amended by inserting after sub</w:t>
      </w:r>
      <w:r w:rsidR="0002312A">
        <w:rPr>
          <w:rStyle w:val="Bodytext11pt"/>
          <w:sz w:val="24"/>
          <w:szCs w:val="24"/>
        </w:rPr>
        <w:t>-</w:t>
      </w:r>
      <w:r w:rsidR="00B33E97" w:rsidRPr="00BF04A0">
        <w:rPr>
          <w:rStyle w:val="Bodytext11pt"/>
          <w:sz w:val="24"/>
          <w:szCs w:val="24"/>
        </w:rPr>
        <w:t>section (1) the following sub-section:—</w:t>
      </w:r>
    </w:p>
    <w:p w14:paraId="46EF9968" w14:textId="23AFEEC1" w:rsidR="00B6035A" w:rsidRPr="00BF04A0" w:rsidRDefault="00B33E97" w:rsidP="00D120A2">
      <w:pPr>
        <w:pStyle w:val="BodyText1"/>
        <w:spacing w:after="60" w:line="240" w:lineRule="auto"/>
        <w:ind w:firstLine="274"/>
        <w:jc w:val="both"/>
        <w:rPr>
          <w:sz w:val="24"/>
          <w:szCs w:val="24"/>
        </w:rPr>
      </w:pPr>
      <w:r w:rsidRPr="00BF04A0">
        <w:rPr>
          <w:rStyle w:val="Bodytext85pt"/>
          <w:sz w:val="24"/>
          <w:szCs w:val="24"/>
        </w:rPr>
        <w:t>“(</w:t>
      </w:r>
      <w:r w:rsidRPr="00D120A2">
        <w:rPr>
          <w:rStyle w:val="Bodytext11pt1"/>
          <w:sz w:val="24"/>
          <w:szCs w:val="24"/>
        </w:rPr>
        <w:t>1</w:t>
      </w:r>
      <w:r w:rsidR="0002312A">
        <w:rPr>
          <w:rStyle w:val="Bodytext11pt1"/>
          <w:sz w:val="24"/>
          <w:szCs w:val="24"/>
        </w:rPr>
        <w:t>a</w:t>
      </w:r>
      <w:r w:rsidRPr="00BF04A0">
        <w:rPr>
          <w:rStyle w:val="Bodytext85pt"/>
          <w:sz w:val="24"/>
          <w:szCs w:val="24"/>
        </w:rPr>
        <w:t xml:space="preserve">) </w:t>
      </w:r>
      <w:r w:rsidRPr="00BF04A0">
        <w:rPr>
          <w:rStyle w:val="Bodytext11pt"/>
          <w:sz w:val="24"/>
          <w:szCs w:val="24"/>
        </w:rPr>
        <w:t xml:space="preserve">At any time after a decree </w:t>
      </w:r>
      <w:r w:rsidRPr="00BF04A0">
        <w:rPr>
          <w:rStyle w:val="Bodytext11pt3"/>
          <w:sz w:val="24"/>
          <w:szCs w:val="24"/>
        </w:rPr>
        <w:t>nisi</w:t>
      </w:r>
      <w:r w:rsidRPr="00BF04A0">
        <w:rPr>
          <w:rStyle w:val="Bodytext11pt"/>
          <w:sz w:val="24"/>
          <w:szCs w:val="24"/>
        </w:rPr>
        <w:t xml:space="preserve"> has been made in any proceedings and before it has become absolute, the Attorney-General may intervene in the proceedings for the purposes of bringing to the notice of the court matters relevant to the exercise of its powers under section 58.”.</w:t>
      </w:r>
    </w:p>
    <w:p w14:paraId="70DD14BA" w14:textId="2F67392E" w:rsidR="00B6035A" w:rsidRPr="00BF04A0" w:rsidRDefault="006975D4" w:rsidP="00D120A2">
      <w:pPr>
        <w:pStyle w:val="BodyText1"/>
        <w:tabs>
          <w:tab w:val="left" w:pos="720"/>
        </w:tabs>
        <w:spacing w:after="120" w:line="240" w:lineRule="auto"/>
        <w:ind w:firstLine="274"/>
        <w:jc w:val="both"/>
        <w:rPr>
          <w:sz w:val="24"/>
          <w:szCs w:val="24"/>
        </w:rPr>
      </w:pPr>
      <w:r w:rsidRPr="00D120A2">
        <w:rPr>
          <w:rStyle w:val="Bodytext11pt"/>
          <w:b/>
          <w:sz w:val="24"/>
          <w:szCs w:val="24"/>
        </w:rPr>
        <w:t>5.</w:t>
      </w:r>
      <w:r w:rsidR="00D120A2">
        <w:rPr>
          <w:rStyle w:val="Bodytext11pt"/>
          <w:sz w:val="24"/>
          <w:szCs w:val="24"/>
        </w:rPr>
        <w:tab/>
      </w:r>
      <w:r w:rsidR="00B33E97" w:rsidRPr="00BF04A0">
        <w:rPr>
          <w:rStyle w:val="Bodytext11pt"/>
          <w:sz w:val="24"/>
          <w:szCs w:val="24"/>
        </w:rPr>
        <w:t>After section 91 of the Principal Act the following section is inserted:—</w:t>
      </w:r>
    </w:p>
    <w:p w14:paraId="6C711DA0" w14:textId="77777777" w:rsidR="00B6035A" w:rsidRPr="00D120A2" w:rsidRDefault="00B33E97" w:rsidP="00D120A2">
      <w:pPr>
        <w:pStyle w:val="Bodytext20"/>
        <w:spacing w:before="120" w:after="60" w:line="240" w:lineRule="auto"/>
        <w:rPr>
          <w:b/>
          <w:sz w:val="20"/>
          <w:szCs w:val="24"/>
        </w:rPr>
      </w:pPr>
      <w:r w:rsidRPr="00D120A2">
        <w:rPr>
          <w:b/>
          <w:sz w:val="20"/>
          <w:szCs w:val="24"/>
        </w:rPr>
        <w:t>Delegation by Attorney- General.</w:t>
      </w:r>
    </w:p>
    <w:p w14:paraId="3E41C63F" w14:textId="5404757F" w:rsidR="006975D4" w:rsidRPr="0002312A" w:rsidRDefault="00B33E97" w:rsidP="0002312A">
      <w:pPr>
        <w:pStyle w:val="BodyText1"/>
        <w:spacing w:after="60" w:line="240" w:lineRule="auto"/>
        <w:ind w:firstLine="274"/>
        <w:jc w:val="both"/>
        <w:rPr>
          <w:rStyle w:val="Bodytext3NotItalic"/>
          <w:i w:val="0"/>
          <w:iCs w:val="0"/>
          <w:sz w:val="24"/>
          <w:szCs w:val="24"/>
        </w:rPr>
      </w:pPr>
      <w:r w:rsidRPr="00BF04A0">
        <w:rPr>
          <w:rStyle w:val="Bodytext11pt1"/>
          <w:sz w:val="24"/>
          <w:szCs w:val="24"/>
        </w:rPr>
        <w:t>“</w:t>
      </w:r>
      <w:r w:rsidRPr="00D120A2">
        <w:rPr>
          <w:rStyle w:val="Bodytext85pt"/>
          <w:smallCaps/>
          <w:sz w:val="24"/>
          <w:szCs w:val="24"/>
        </w:rPr>
        <w:t>91a</w:t>
      </w:r>
      <w:r w:rsidRPr="00BF04A0">
        <w:rPr>
          <w:rStyle w:val="Bodytext11pt1"/>
          <w:sz w:val="24"/>
          <w:szCs w:val="24"/>
        </w:rPr>
        <w:t>.</w:t>
      </w:r>
      <w:r w:rsidRPr="00BF04A0">
        <w:rPr>
          <w:rStyle w:val="Bodytext11pt"/>
          <w:sz w:val="24"/>
          <w:szCs w:val="24"/>
        </w:rPr>
        <w:t xml:space="preserve"> (1) Where, in a State, there is a Family Court of the State, the Attorney-General may, either generally or as otherwise provided by the instrument of delegation, by writing under his hand, delegate all or any of his powers and functions under section 91 in respect of intervention in proceedings in the Family Court of that State and in other courts of that State to the person occupying from time to time, while the delegation is in force, the office of Attorney-General of that State.</w:t>
      </w:r>
    </w:p>
    <w:p w14:paraId="7C5F3799" w14:textId="4A1C6FDD" w:rsidR="00B6035A" w:rsidRPr="00BF04A0" w:rsidRDefault="00B33E97" w:rsidP="00D120A2">
      <w:pPr>
        <w:pStyle w:val="BodyText1"/>
        <w:spacing w:after="60" w:line="240" w:lineRule="auto"/>
        <w:ind w:firstLine="274"/>
        <w:jc w:val="both"/>
        <w:rPr>
          <w:sz w:val="24"/>
          <w:szCs w:val="24"/>
        </w:rPr>
      </w:pPr>
      <w:r w:rsidRPr="00BF04A0">
        <w:rPr>
          <w:rStyle w:val="Bodytext11pt"/>
          <w:sz w:val="24"/>
          <w:szCs w:val="24"/>
        </w:rPr>
        <w:t>“(2) A power or function so de</w:t>
      </w:r>
      <w:r w:rsidR="006975D4" w:rsidRPr="00BF04A0">
        <w:rPr>
          <w:rStyle w:val="Bodytext11pt"/>
          <w:sz w:val="24"/>
          <w:szCs w:val="24"/>
        </w:rPr>
        <w:t>legated may be exercised or per</w:t>
      </w:r>
      <w:r w:rsidRPr="00BF04A0">
        <w:rPr>
          <w:rStyle w:val="Bodytext11pt"/>
          <w:sz w:val="24"/>
          <w:szCs w:val="24"/>
        </w:rPr>
        <w:t>formed by the delegate in accordance with the instrument of delegation.</w:t>
      </w:r>
    </w:p>
    <w:p w14:paraId="6BE4EB2E" w14:textId="77777777" w:rsidR="00B6035A" w:rsidRPr="00BF04A0" w:rsidRDefault="00B33E97" w:rsidP="00D120A2">
      <w:pPr>
        <w:pStyle w:val="BodyText1"/>
        <w:spacing w:after="60" w:line="240" w:lineRule="auto"/>
        <w:ind w:firstLine="274"/>
        <w:jc w:val="both"/>
        <w:rPr>
          <w:sz w:val="24"/>
          <w:szCs w:val="24"/>
        </w:rPr>
      </w:pPr>
      <w:r w:rsidRPr="00BF04A0">
        <w:rPr>
          <w:rStyle w:val="Bodytext11pt"/>
          <w:sz w:val="24"/>
          <w:szCs w:val="24"/>
        </w:rPr>
        <w:t xml:space="preserve">“(3) A </w:t>
      </w:r>
      <w:r w:rsidR="00A25EC1">
        <w:rPr>
          <w:rStyle w:val="Bodytext11pt"/>
          <w:sz w:val="24"/>
          <w:szCs w:val="24"/>
        </w:rPr>
        <w:t xml:space="preserve">delegation </w:t>
      </w:r>
      <w:r w:rsidRPr="00BF04A0">
        <w:rPr>
          <w:rStyle w:val="Bodytext11pt"/>
          <w:sz w:val="24"/>
          <w:szCs w:val="24"/>
        </w:rPr>
        <w:t>under this section does not prevent the exercise of a power or the performance of a function by the Attorney-General.</w:t>
      </w:r>
    </w:p>
    <w:p w14:paraId="481F34A1" w14:textId="77777777" w:rsidR="00B6035A" w:rsidRPr="00BF04A0" w:rsidRDefault="00B33E97" w:rsidP="00D120A2">
      <w:pPr>
        <w:pStyle w:val="BodyText1"/>
        <w:spacing w:after="60" w:line="240" w:lineRule="auto"/>
        <w:ind w:firstLine="274"/>
        <w:jc w:val="both"/>
        <w:rPr>
          <w:sz w:val="24"/>
          <w:szCs w:val="24"/>
        </w:rPr>
      </w:pPr>
      <w:r w:rsidRPr="00BF04A0">
        <w:rPr>
          <w:rStyle w:val="Bodytext11pt"/>
          <w:sz w:val="24"/>
          <w:szCs w:val="24"/>
        </w:rPr>
        <w:t>“(4) Where the Attorney-General of a State intervenes in any pro</w:t>
      </w:r>
      <w:r w:rsidRPr="00BF04A0">
        <w:rPr>
          <w:rStyle w:val="Bodytext11pt"/>
          <w:sz w:val="24"/>
          <w:szCs w:val="24"/>
        </w:rPr>
        <w:softHyphen/>
        <w:t xml:space="preserve">ceedings in accordance with a </w:t>
      </w:r>
      <w:r w:rsidR="00A25EC1">
        <w:rPr>
          <w:rStyle w:val="Bodytext11pt"/>
          <w:sz w:val="24"/>
          <w:szCs w:val="24"/>
        </w:rPr>
        <w:t xml:space="preserve">delegation </w:t>
      </w:r>
      <w:r w:rsidRPr="00BF04A0">
        <w:rPr>
          <w:rStyle w:val="Bodytext11pt"/>
          <w:sz w:val="24"/>
          <w:szCs w:val="24"/>
        </w:rPr>
        <w:t>under this section, he shall be deemed to be a party to the proceedings with all the rights, duties and liabilities of a party.”.</w:t>
      </w:r>
    </w:p>
    <w:p w14:paraId="7032D422" w14:textId="77777777" w:rsidR="00B6035A" w:rsidRPr="00D120A2" w:rsidRDefault="00B33E97" w:rsidP="00D120A2">
      <w:pPr>
        <w:pStyle w:val="Bodytext20"/>
        <w:spacing w:before="120" w:after="60" w:line="240" w:lineRule="auto"/>
        <w:rPr>
          <w:b/>
          <w:sz w:val="20"/>
          <w:szCs w:val="24"/>
        </w:rPr>
      </w:pPr>
      <w:r w:rsidRPr="00D120A2">
        <w:rPr>
          <w:b/>
          <w:sz w:val="20"/>
          <w:szCs w:val="24"/>
        </w:rPr>
        <w:t>Enforcement generally.</w:t>
      </w:r>
    </w:p>
    <w:p w14:paraId="69011FC6" w14:textId="13E3AD07" w:rsidR="00B6035A" w:rsidRPr="00BF04A0" w:rsidRDefault="00D120A2" w:rsidP="00D120A2">
      <w:pPr>
        <w:pStyle w:val="BodyText1"/>
        <w:tabs>
          <w:tab w:val="left" w:pos="720"/>
        </w:tabs>
        <w:spacing w:line="240" w:lineRule="auto"/>
        <w:ind w:firstLine="274"/>
        <w:jc w:val="both"/>
        <w:rPr>
          <w:sz w:val="24"/>
          <w:szCs w:val="24"/>
        </w:rPr>
      </w:pPr>
      <w:r w:rsidRPr="00D120A2">
        <w:rPr>
          <w:rStyle w:val="Bodytext11pt"/>
          <w:b/>
          <w:sz w:val="24"/>
          <w:szCs w:val="24"/>
        </w:rPr>
        <w:t>6.</w:t>
      </w:r>
      <w:r w:rsidRPr="00D120A2">
        <w:rPr>
          <w:rStyle w:val="Bodytext11pt"/>
          <w:b/>
          <w:sz w:val="24"/>
          <w:szCs w:val="24"/>
        </w:rPr>
        <w:tab/>
      </w:r>
      <w:r w:rsidR="00B33E97" w:rsidRPr="00BF04A0">
        <w:rPr>
          <w:rStyle w:val="Bodytext11pt"/>
          <w:sz w:val="24"/>
          <w:szCs w:val="24"/>
        </w:rPr>
        <w:t>Section 105 of the Principal Act is amended by omitting from s</w:t>
      </w:r>
      <w:r w:rsidR="0002312A">
        <w:rPr>
          <w:rStyle w:val="Bodytext11pt"/>
          <w:sz w:val="24"/>
          <w:szCs w:val="24"/>
        </w:rPr>
        <w:t>ub-</w:t>
      </w:r>
      <w:r w:rsidR="00B33E97" w:rsidRPr="00BF04A0">
        <w:rPr>
          <w:rStyle w:val="Bodytext11pt"/>
          <w:sz w:val="24"/>
          <w:szCs w:val="24"/>
        </w:rPr>
        <w:t xml:space="preserve">section (2) the words “A court” and </w:t>
      </w:r>
      <w:r w:rsidR="00B33E97" w:rsidRPr="0002312A">
        <w:rPr>
          <w:rStyle w:val="Bodytext11pt1"/>
          <w:smallCaps w:val="0"/>
          <w:sz w:val="24"/>
          <w:szCs w:val="24"/>
        </w:rPr>
        <w:t>substituting</w:t>
      </w:r>
      <w:r w:rsidR="00B33E97" w:rsidRPr="00BF04A0">
        <w:rPr>
          <w:rStyle w:val="Bodytext11pt"/>
          <w:sz w:val="24"/>
          <w:szCs w:val="24"/>
        </w:rPr>
        <w:t xml:space="preserve"> the words “Except as prescribed, a court”.</w:t>
      </w:r>
    </w:p>
    <w:p w14:paraId="5606F031" w14:textId="77777777" w:rsidR="0002312A" w:rsidRDefault="0002312A">
      <w:pPr>
        <w:rPr>
          <w:rFonts w:ascii="Times New Roman" w:eastAsia="Times New Roman" w:hAnsi="Times New Roman" w:cs="Times New Roman"/>
          <w:b/>
          <w:sz w:val="20"/>
        </w:rPr>
      </w:pPr>
      <w:r>
        <w:rPr>
          <w:b/>
          <w:sz w:val="20"/>
        </w:rPr>
        <w:br w:type="page"/>
      </w:r>
    </w:p>
    <w:p w14:paraId="6B2CDFD8" w14:textId="04C35E57" w:rsidR="006975D4" w:rsidRPr="00D120A2" w:rsidRDefault="006975D4" w:rsidP="00D120A2">
      <w:pPr>
        <w:pStyle w:val="Bodytext20"/>
        <w:spacing w:before="120" w:after="60" w:line="240" w:lineRule="auto"/>
        <w:rPr>
          <w:b/>
          <w:sz w:val="20"/>
          <w:szCs w:val="24"/>
        </w:rPr>
      </w:pPr>
      <w:r w:rsidRPr="00D120A2">
        <w:rPr>
          <w:b/>
          <w:sz w:val="20"/>
          <w:szCs w:val="24"/>
        </w:rPr>
        <w:lastRenderedPageBreak/>
        <w:t>Regulations.</w:t>
      </w:r>
    </w:p>
    <w:p w14:paraId="33945768" w14:textId="77777777" w:rsidR="00B6035A" w:rsidRPr="00BF04A0" w:rsidRDefault="006975D4" w:rsidP="00D120A2">
      <w:pPr>
        <w:pStyle w:val="BodyText1"/>
        <w:tabs>
          <w:tab w:val="left" w:pos="720"/>
        </w:tabs>
        <w:spacing w:after="60" w:line="240" w:lineRule="auto"/>
        <w:ind w:firstLine="274"/>
        <w:jc w:val="both"/>
        <w:rPr>
          <w:sz w:val="24"/>
          <w:szCs w:val="24"/>
        </w:rPr>
      </w:pPr>
      <w:r w:rsidRPr="00D120A2">
        <w:rPr>
          <w:rStyle w:val="Bodytext11pt"/>
          <w:b/>
          <w:sz w:val="24"/>
          <w:szCs w:val="24"/>
        </w:rPr>
        <w:t>7.</w:t>
      </w:r>
      <w:r w:rsidR="00D120A2">
        <w:rPr>
          <w:rStyle w:val="Bodytext11pt"/>
          <w:sz w:val="24"/>
          <w:szCs w:val="24"/>
        </w:rPr>
        <w:tab/>
      </w:r>
      <w:r w:rsidR="00B33E97" w:rsidRPr="00BF04A0">
        <w:rPr>
          <w:rStyle w:val="Bodytext11pt"/>
          <w:sz w:val="24"/>
          <w:szCs w:val="24"/>
        </w:rPr>
        <w:t>Section 123 of the Principal Act is amended—</w:t>
      </w:r>
    </w:p>
    <w:p w14:paraId="5CEA0706" w14:textId="53AE2938" w:rsidR="00B6035A" w:rsidRPr="00BF04A0" w:rsidRDefault="006975D4" w:rsidP="00D120A2">
      <w:pPr>
        <w:pStyle w:val="BodyText1"/>
        <w:spacing w:line="240" w:lineRule="auto"/>
        <w:ind w:firstLine="274"/>
        <w:jc w:val="both"/>
        <w:rPr>
          <w:sz w:val="24"/>
          <w:szCs w:val="24"/>
        </w:rPr>
      </w:pPr>
      <w:r w:rsidRPr="00BF04A0">
        <w:rPr>
          <w:rStyle w:val="Bodytext11pt"/>
          <w:sz w:val="24"/>
          <w:szCs w:val="24"/>
        </w:rPr>
        <w:t xml:space="preserve">(a) </w:t>
      </w:r>
      <w:r w:rsidR="00B33E97" w:rsidRPr="00BF04A0">
        <w:rPr>
          <w:rStyle w:val="Bodytext11pt"/>
          <w:sz w:val="24"/>
          <w:szCs w:val="24"/>
        </w:rPr>
        <w:t>by inserting in sub-section (3), before paragraph (a), the following paragraphs:—</w:t>
      </w:r>
    </w:p>
    <w:p w14:paraId="191C4DA5" w14:textId="77777777" w:rsidR="00B6035A" w:rsidRPr="00BF04A0" w:rsidRDefault="00B33E97" w:rsidP="00567905">
      <w:pPr>
        <w:pStyle w:val="BodyText1"/>
        <w:spacing w:after="60" w:line="240" w:lineRule="auto"/>
        <w:ind w:firstLine="819"/>
        <w:jc w:val="both"/>
        <w:rPr>
          <w:sz w:val="24"/>
          <w:szCs w:val="24"/>
        </w:rPr>
      </w:pPr>
      <w:r w:rsidRPr="00BF04A0">
        <w:rPr>
          <w:rStyle w:val="Bodytext11pt"/>
          <w:sz w:val="24"/>
          <w:szCs w:val="24"/>
        </w:rPr>
        <w:t xml:space="preserve">“(aa) prescribing court fees </w:t>
      </w:r>
      <w:r w:rsidR="006975D4" w:rsidRPr="00BF04A0">
        <w:rPr>
          <w:rStyle w:val="Bodytext11pt"/>
          <w:sz w:val="24"/>
          <w:szCs w:val="24"/>
        </w:rPr>
        <w:t>to be payable in respect of pro</w:t>
      </w:r>
      <w:r w:rsidRPr="00BF04A0">
        <w:rPr>
          <w:rStyle w:val="Bodytext11pt"/>
          <w:sz w:val="24"/>
          <w:szCs w:val="24"/>
        </w:rPr>
        <w:t>ceedings under this Act;</w:t>
      </w:r>
    </w:p>
    <w:p w14:paraId="6DDB6BF6" w14:textId="77777777" w:rsidR="00B6035A" w:rsidRPr="00BF04A0" w:rsidRDefault="00B33E97" w:rsidP="00567905">
      <w:pPr>
        <w:pStyle w:val="BodyText1"/>
        <w:spacing w:after="60" w:line="240" w:lineRule="auto"/>
        <w:ind w:left="1350" w:hanging="531"/>
        <w:jc w:val="both"/>
        <w:rPr>
          <w:sz w:val="24"/>
          <w:szCs w:val="24"/>
        </w:rPr>
      </w:pPr>
      <w:r w:rsidRPr="00BF04A0">
        <w:rPr>
          <w:rStyle w:val="Bodytext11pt"/>
          <w:sz w:val="24"/>
          <w:szCs w:val="24"/>
        </w:rPr>
        <w:t>“(ab) the exempting of persons from liability to pay a court fee p</w:t>
      </w:r>
      <w:r w:rsidR="00A25EC1">
        <w:rPr>
          <w:rStyle w:val="Bodytext11pt"/>
          <w:sz w:val="24"/>
          <w:szCs w:val="24"/>
        </w:rPr>
        <w:t>rescribed under paragraph (aa);</w:t>
      </w:r>
      <w:r w:rsidRPr="00BF04A0">
        <w:rPr>
          <w:rStyle w:val="Bodytext11pt"/>
          <w:sz w:val="24"/>
          <w:szCs w:val="24"/>
        </w:rPr>
        <w:t>”; and</w:t>
      </w:r>
    </w:p>
    <w:p w14:paraId="15C99EFA" w14:textId="41361AC7" w:rsidR="00B6035A" w:rsidRPr="00BF04A0" w:rsidRDefault="006975D4" w:rsidP="00567905">
      <w:pPr>
        <w:pStyle w:val="BodyText1"/>
        <w:spacing w:after="60" w:line="240" w:lineRule="auto"/>
        <w:ind w:firstLine="274"/>
        <w:jc w:val="both"/>
        <w:rPr>
          <w:sz w:val="24"/>
          <w:szCs w:val="24"/>
        </w:rPr>
      </w:pPr>
      <w:r w:rsidRPr="00BF04A0">
        <w:rPr>
          <w:rStyle w:val="Bodytext11pt"/>
          <w:sz w:val="24"/>
          <w:szCs w:val="24"/>
        </w:rPr>
        <w:t>(b)</w:t>
      </w:r>
      <w:r w:rsidR="00B33E97" w:rsidRPr="00BF04A0">
        <w:rPr>
          <w:rStyle w:val="Bodytext11pt"/>
          <w:sz w:val="24"/>
          <w:szCs w:val="24"/>
        </w:rPr>
        <w:t xml:space="preserve"> by adding at the end thereof the following sub-sections:—</w:t>
      </w:r>
    </w:p>
    <w:p w14:paraId="72E491CB" w14:textId="77777777" w:rsidR="00B6035A" w:rsidRDefault="00B33E97" w:rsidP="00567905">
      <w:pPr>
        <w:pStyle w:val="BodyText1"/>
        <w:spacing w:after="60" w:line="240" w:lineRule="auto"/>
        <w:ind w:left="603" w:firstLine="216"/>
        <w:jc w:val="both"/>
        <w:rPr>
          <w:rStyle w:val="Bodytext11pt"/>
          <w:sz w:val="24"/>
          <w:szCs w:val="24"/>
        </w:rPr>
      </w:pPr>
      <w:r w:rsidRPr="00BF04A0">
        <w:rPr>
          <w:rStyle w:val="Bodytext11pt"/>
          <w:sz w:val="24"/>
          <w:szCs w:val="24"/>
        </w:rPr>
        <w:t>“(4) Court fees payable in pursuance of regulations made under this section in respect of proceedings in a Family Court of a State are payable to the State.”.</w:t>
      </w:r>
    </w:p>
    <w:p w14:paraId="45BA02B2" w14:textId="77777777" w:rsidR="00567905" w:rsidRDefault="00567905" w:rsidP="00567905">
      <w:pPr>
        <w:pStyle w:val="BodyText1"/>
        <w:spacing w:after="60" w:line="240" w:lineRule="auto"/>
        <w:ind w:firstLine="0"/>
        <w:jc w:val="both"/>
        <w:rPr>
          <w:rStyle w:val="Bodytext11pt"/>
          <w:sz w:val="24"/>
          <w:szCs w:val="24"/>
        </w:rPr>
      </w:pPr>
      <w:r>
        <w:rPr>
          <w:rStyle w:val="Bodytext11pt"/>
          <w:sz w:val="24"/>
          <w:szCs w:val="24"/>
        </w:rPr>
        <w:t>_____________________________________________________________________________</w:t>
      </w:r>
    </w:p>
    <w:sectPr w:rsidR="00567905" w:rsidSect="00B041B8">
      <w:headerReference w:type="even" r:id="rId7"/>
      <w:type w:val="continuous"/>
      <w:pgSz w:w="11909" w:h="18000" w:code="9"/>
      <w:pgMar w:top="1080" w:right="1080" w:bottom="1080" w:left="1080" w:header="45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6FCBD" w14:textId="77777777" w:rsidR="00C42CA3" w:rsidRDefault="00C42CA3">
      <w:r>
        <w:separator/>
      </w:r>
    </w:p>
  </w:endnote>
  <w:endnote w:type="continuationSeparator" w:id="0">
    <w:p w14:paraId="32A9DF79" w14:textId="77777777" w:rsidR="00C42CA3" w:rsidRDefault="00C4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0E98A" w14:textId="77777777" w:rsidR="00C42CA3" w:rsidRDefault="00C42CA3">
      <w:r>
        <w:separator/>
      </w:r>
    </w:p>
  </w:footnote>
  <w:footnote w:type="continuationSeparator" w:id="0">
    <w:p w14:paraId="1A55CD43" w14:textId="77777777" w:rsidR="00C42CA3" w:rsidRDefault="00C42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02851" w14:textId="77777777" w:rsidR="00B041B8" w:rsidRPr="00B041B8" w:rsidRDefault="00B041B8" w:rsidP="00B041B8">
    <w:pPr>
      <w:pStyle w:val="Header"/>
      <w:tabs>
        <w:tab w:val="clear" w:pos="9026"/>
        <w:tab w:val="right" w:pos="9720"/>
      </w:tabs>
      <w:rPr>
        <w:rFonts w:ascii="Times New Roman" w:hAnsi="Times New Roman" w:cs="Times New Roman"/>
        <w:sz w:val="22"/>
        <w:szCs w:val="22"/>
      </w:rPr>
    </w:pPr>
    <w:r w:rsidRPr="00B041B8">
      <w:rPr>
        <w:rFonts w:ascii="Times New Roman" w:hAnsi="Times New Roman" w:cs="Times New Roman"/>
        <w:sz w:val="22"/>
        <w:szCs w:val="22"/>
      </w:rPr>
      <w:t>1976</w:t>
    </w:r>
    <w:r w:rsidRPr="00B041B8">
      <w:rPr>
        <w:rFonts w:ascii="Times New Roman" w:hAnsi="Times New Roman" w:cs="Times New Roman"/>
        <w:sz w:val="22"/>
        <w:szCs w:val="22"/>
      </w:rPr>
      <w:tab/>
    </w:r>
    <w:r w:rsidRPr="00B041B8">
      <w:rPr>
        <w:rFonts w:ascii="Times New Roman" w:hAnsi="Times New Roman" w:cs="Times New Roman"/>
        <w:i/>
        <w:iCs/>
        <w:color w:val="auto"/>
        <w:sz w:val="22"/>
        <w:szCs w:val="22"/>
        <w:lang w:val="en-IN"/>
      </w:rPr>
      <w:t>Family Law Amendment</w:t>
    </w:r>
    <w:r w:rsidRPr="0002312A">
      <w:rPr>
        <w:rFonts w:ascii="Times New Roman" w:hAnsi="Times New Roman" w:cs="Times New Roman"/>
        <w:iCs/>
        <w:color w:val="auto"/>
        <w:sz w:val="22"/>
        <w:szCs w:val="22"/>
        <w:lang w:val="en-IN"/>
      </w:rPr>
      <w:t xml:space="preserve"> (</w:t>
    </w:r>
    <w:r w:rsidRPr="00B041B8">
      <w:rPr>
        <w:rFonts w:ascii="Times New Roman" w:hAnsi="Times New Roman" w:cs="Times New Roman"/>
        <w:i/>
        <w:iCs/>
        <w:color w:val="auto"/>
        <w:sz w:val="22"/>
        <w:szCs w:val="22"/>
        <w:lang w:val="en-IN"/>
      </w:rPr>
      <w:t xml:space="preserve">No. </w:t>
    </w:r>
    <w:r w:rsidRPr="0002312A">
      <w:rPr>
        <w:rFonts w:ascii="Times New Roman" w:hAnsi="Times New Roman" w:cs="Times New Roman"/>
        <w:iCs/>
        <w:color w:val="auto"/>
        <w:sz w:val="22"/>
        <w:szCs w:val="22"/>
        <w:lang w:val="en-IN"/>
      </w:rPr>
      <w:t>2)</w:t>
    </w:r>
    <w:r w:rsidRPr="00B041B8">
      <w:rPr>
        <w:rFonts w:ascii="Times New Roman" w:hAnsi="Times New Roman" w:cs="Times New Roman"/>
        <w:i/>
        <w:iCs/>
        <w:color w:val="auto"/>
        <w:sz w:val="22"/>
        <w:szCs w:val="22"/>
        <w:lang w:val="en-IN"/>
      </w:rPr>
      <w:tab/>
    </w:r>
    <w:r w:rsidRPr="00B041B8">
      <w:rPr>
        <w:rFonts w:ascii="Times New Roman" w:hAnsi="Times New Roman" w:cs="Times New Roman"/>
        <w:iCs/>
        <w:color w:val="auto"/>
        <w:sz w:val="22"/>
        <w:szCs w:val="22"/>
        <w:lang w:val="en-IN"/>
      </w:rPr>
      <w:t>No. 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F69B1"/>
    <w:multiLevelType w:val="multilevel"/>
    <w:tmpl w:val="02969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4B284C"/>
    <w:multiLevelType w:val="multilevel"/>
    <w:tmpl w:val="5462A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F27E4B"/>
    <w:multiLevelType w:val="multilevel"/>
    <w:tmpl w:val="B7FCB1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8A07B4"/>
    <w:multiLevelType w:val="multilevel"/>
    <w:tmpl w:val="7B2E20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6035A"/>
    <w:rsid w:val="0002312A"/>
    <w:rsid w:val="00155D17"/>
    <w:rsid w:val="001961D7"/>
    <w:rsid w:val="004068C8"/>
    <w:rsid w:val="00527DF6"/>
    <w:rsid w:val="00567905"/>
    <w:rsid w:val="006975D4"/>
    <w:rsid w:val="006C7A63"/>
    <w:rsid w:val="007572C6"/>
    <w:rsid w:val="007960ED"/>
    <w:rsid w:val="008D51EC"/>
    <w:rsid w:val="00A25EC1"/>
    <w:rsid w:val="00B041B8"/>
    <w:rsid w:val="00B33E97"/>
    <w:rsid w:val="00B37954"/>
    <w:rsid w:val="00B6035A"/>
    <w:rsid w:val="00BB689A"/>
    <w:rsid w:val="00BF04A0"/>
    <w:rsid w:val="00C42CA3"/>
    <w:rsid w:val="00CA6B28"/>
    <w:rsid w:val="00D120A2"/>
    <w:rsid w:val="00E40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F1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DefaultParagraphFont"/>
    <w:link w:val="Heading10"/>
    <w:rPr>
      <w:rFonts w:ascii="Trebuchet MS" w:eastAsia="Trebuchet MS" w:hAnsi="Trebuchet MS" w:cs="Trebuchet MS"/>
      <w:b/>
      <w:bCs/>
      <w:i w:val="0"/>
      <w:iCs w:val="0"/>
      <w:smallCaps w:val="0"/>
      <w:strike w:val="0"/>
      <w:spacing w:val="10"/>
      <w:sz w:val="27"/>
      <w:szCs w:val="27"/>
      <w:u w:val="none"/>
    </w:rPr>
  </w:style>
  <w:style w:type="character" w:customStyle="1" w:styleId="Heading2">
    <w:name w:val="Heading #2_"/>
    <w:basedOn w:val="DefaultParagraphFont"/>
    <w:link w:val="Heading20"/>
    <w:rPr>
      <w:rFonts w:ascii="Bookman Old Style" w:eastAsia="Bookman Old Style" w:hAnsi="Bookman Old Style" w:cs="Bookman Old Style"/>
      <w:b w:val="0"/>
      <w:bCs w:val="0"/>
      <w:i w:val="0"/>
      <w:iCs w:val="0"/>
      <w:smallCaps w:val="0"/>
      <w:strike w:val="0"/>
      <w:sz w:val="25"/>
      <w:szCs w:val="25"/>
      <w:u w:val="none"/>
    </w:rPr>
  </w:style>
  <w:style w:type="character" w:customStyle="1" w:styleId="Heading2ArialUnicodeMS">
    <w:name w:val="Heading #2 + Arial Unicode MS"/>
    <w:basedOn w:val="Heading2"/>
    <w:rPr>
      <w:rFonts w:ascii="Arial Unicode MS" w:eastAsia="Arial Unicode MS" w:hAnsi="Arial Unicode MS" w:cs="Arial Unicode MS"/>
      <w:b w:val="0"/>
      <w:bCs w:val="0"/>
      <w:i w:val="0"/>
      <w:iCs w:val="0"/>
      <w:smallCaps w:val="0"/>
      <w:strike w:val="0"/>
      <w:color w:val="000000"/>
      <w:spacing w:val="0"/>
      <w:w w:val="100"/>
      <w:position w:val="0"/>
      <w:sz w:val="25"/>
      <w:szCs w:val="25"/>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3"/>
      <w:szCs w:val="23"/>
      <w:u w:val="none"/>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3">
    <w:name w:val="Body text + 11 pt3"/>
    <w:aliases w:val="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1pt2">
    <w:name w:val="Body text + 11 pt2"/>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ArialUnicodeMS">
    <w:name w:val="Body text + Arial Unicode MS"/>
    <w:aliases w:val="16.5 pt"/>
    <w:basedOn w:val="Bodytext"/>
    <w:rPr>
      <w:rFonts w:ascii="Arial Unicode MS" w:eastAsia="Arial Unicode MS" w:hAnsi="Arial Unicode MS" w:cs="Arial Unicode MS"/>
      <w:b w:val="0"/>
      <w:bCs w:val="0"/>
      <w:i w:val="0"/>
      <w:iCs w:val="0"/>
      <w:smallCaps w:val="0"/>
      <w:strike w:val="0"/>
      <w:color w:val="000000"/>
      <w:spacing w:val="0"/>
      <w:w w:val="100"/>
      <w:position w:val="0"/>
      <w:sz w:val="33"/>
      <w:szCs w:val="33"/>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11pt1">
    <w:name w:val="Body text + 11 pt1"/>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0"/>
      <w:szCs w:val="20"/>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0"/>
      <w:szCs w:val="20"/>
      <w:u w:val="none"/>
    </w:rPr>
  </w:style>
  <w:style w:type="character" w:customStyle="1" w:styleId="Bodytext4Italic">
    <w:name w:val="Body text (4) + Italic"/>
    <w:basedOn w:val="Bodytext4"/>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paragraph" w:customStyle="1" w:styleId="Bodytext20">
    <w:name w:val="Body text (2)"/>
    <w:basedOn w:val="Normal"/>
    <w:link w:val="Bodytext2"/>
    <w:pPr>
      <w:spacing w:line="173" w:lineRule="exact"/>
      <w:jc w:val="both"/>
    </w:pPr>
    <w:rPr>
      <w:rFonts w:ascii="Times New Roman" w:eastAsia="Times New Roman" w:hAnsi="Times New Roman" w:cs="Times New Roman"/>
      <w:sz w:val="17"/>
      <w:szCs w:val="17"/>
    </w:rPr>
  </w:style>
  <w:style w:type="paragraph" w:customStyle="1" w:styleId="Heading10">
    <w:name w:val="Heading #1"/>
    <w:basedOn w:val="Normal"/>
    <w:link w:val="Heading1"/>
    <w:pPr>
      <w:spacing w:line="0" w:lineRule="atLeast"/>
      <w:jc w:val="center"/>
      <w:outlineLvl w:val="0"/>
    </w:pPr>
    <w:rPr>
      <w:rFonts w:ascii="Trebuchet MS" w:eastAsia="Trebuchet MS" w:hAnsi="Trebuchet MS" w:cs="Trebuchet MS"/>
      <w:b/>
      <w:bCs/>
      <w:spacing w:val="10"/>
      <w:sz w:val="27"/>
      <w:szCs w:val="27"/>
    </w:rPr>
  </w:style>
  <w:style w:type="paragraph" w:customStyle="1" w:styleId="Heading20">
    <w:name w:val="Heading #2"/>
    <w:basedOn w:val="Normal"/>
    <w:link w:val="Heading2"/>
    <w:pPr>
      <w:spacing w:line="0" w:lineRule="atLeast"/>
      <w:jc w:val="center"/>
      <w:outlineLvl w:val="1"/>
    </w:pPr>
    <w:rPr>
      <w:rFonts w:ascii="Bookman Old Style" w:eastAsia="Bookman Old Style" w:hAnsi="Bookman Old Style" w:cs="Bookman Old Style"/>
      <w:sz w:val="25"/>
      <w:szCs w:val="25"/>
    </w:rPr>
  </w:style>
  <w:style w:type="paragraph" w:customStyle="1" w:styleId="BodyText1">
    <w:name w:val="Body Text1"/>
    <w:basedOn w:val="Normal"/>
    <w:link w:val="Bodytext"/>
    <w:pPr>
      <w:spacing w:line="0" w:lineRule="atLeast"/>
      <w:ind w:hanging="780"/>
      <w:jc w:val="center"/>
    </w:pPr>
    <w:rPr>
      <w:rFonts w:ascii="Times New Roman" w:eastAsia="Times New Roman" w:hAnsi="Times New Roman" w:cs="Times New Roman"/>
      <w:sz w:val="23"/>
      <w:szCs w:val="23"/>
    </w:rPr>
  </w:style>
  <w:style w:type="paragraph" w:customStyle="1" w:styleId="Bodytext30">
    <w:name w:val="Body text (3)"/>
    <w:basedOn w:val="Normal"/>
    <w:link w:val="Bodytext3"/>
    <w:pPr>
      <w:spacing w:line="0" w:lineRule="atLeast"/>
      <w:jc w:val="both"/>
    </w:pPr>
    <w:rPr>
      <w:rFonts w:ascii="Times New Roman" w:eastAsia="Times New Roman" w:hAnsi="Times New Roman" w:cs="Times New Roman"/>
      <w:i/>
      <w:iCs/>
      <w:sz w:val="20"/>
      <w:szCs w:val="20"/>
    </w:rPr>
  </w:style>
  <w:style w:type="paragraph" w:customStyle="1" w:styleId="Bodytext40">
    <w:name w:val="Body text (4)"/>
    <w:basedOn w:val="Normal"/>
    <w:link w:val="Bodytext4"/>
    <w:pPr>
      <w:spacing w:line="0" w:lineRule="atLeast"/>
      <w:jc w:val="center"/>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041B8"/>
    <w:pPr>
      <w:tabs>
        <w:tab w:val="center" w:pos="4513"/>
        <w:tab w:val="right" w:pos="9026"/>
      </w:tabs>
    </w:pPr>
  </w:style>
  <w:style w:type="character" w:customStyle="1" w:styleId="HeaderChar">
    <w:name w:val="Header Char"/>
    <w:basedOn w:val="DefaultParagraphFont"/>
    <w:link w:val="Header"/>
    <w:uiPriority w:val="99"/>
    <w:rsid w:val="00B041B8"/>
    <w:rPr>
      <w:color w:val="000000"/>
    </w:rPr>
  </w:style>
  <w:style w:type="paragraph" w:styleId="Footer">
    <w:name w:val="footer"/>
    <w:basedOn w:val="Normal"/>
    <w:link w:val="FooterChar"/>
    <w:uiPriority w:val="99"/>
    <w:unhideWhenUsed/>
    <w:rsid w:val="00B041B8"/>
    <w:pPr>
      <w:tabs>
        <w:tab w:val="center" w:pos="4513"/>
        <w:tab w:val="right" w:pos="9026"/>
      </w:tabs>
    </w:pPr>
  </w:style>
  <w:style w:type="character" w:customStyle="1" w:styleId="FooterChar">
    <w:name w:val="Footer Char"/>
    <w:basedOn w:val="DefaultParagraphFont"/>
    <w:link w:val="Footer"/>
    <w:uiPriority w:val="99"/>
    <w:rsid w:val="00B041B8"/>
    <w:rPr>
      <w:color w:val="000000"/>
    </w:rPr>
  </w:style>
  <w:style w:type="character" w:styleId="CommentReference">
    <w:name w:val="annotation reference"/>
    <w:basedOn w:val="DefaultParagraphFont"/>
    <w:uiPriority w:val="99"/>
    <w:semiHidden/>
    <w:unhideWhenUsed/>
    <w:rsid w:val="004068C8"/>
    <w:rPr>
      <w:sz w:val="16"/>
      <w:szCs w:val="16"/>
    </w:rPr>
  </w:style>
  <w:style w:type="paragraph" w:styleId="CommentText">
    <w:name w:val="annotation text"/>
    <w:basedOn w:val="Normal"/>
    <w:link w:val="CommentTextChar"/>
    <w:uiPriority w:val="99"/>
    <w:semiHidden/>
    <w:unhideWhenUsed/>
    <w:rsid w:val="004068C8"/>
    <w:rPr>
      <w:sz w:val="20"/>
      <w:szCs w:val="20"/>
    </w:rPr>
  </w:style>
  <w:style w:type="character" w:customStyle="1" w:styleId="CommentTextChar">
    <w:name w:val="Comment Text Char"/>
    <w:basedOn w:val="DefaultParagraphFont"/>
    <w:link w:val="CommentText"/>
    <w:uiPriority w:val="99"/>
    <w:semiHidden/>
    <w:rsid w:val="004068C8"/>
    <w:rPr>
      <w:color w:val="000000"/>
      <w:sz w:val="20"/>
      <w:szCs w:val="20"/>
    </w:rPr>
  </w:style>
  <w:style w:type="paragraph" w:styleId="CommentSubject">
    <w:name w:val="annotation subject"/>
    <w:basedOn w:val="CommentText"/>
    <w:next w:val="CommentText"/>
    <w:link w:val="CommentSubjectChar"/>
    <w:uiPriority w:val="99"/>
    <w:semiHidden/>
    <w:unhideWhenUsed/>
    <w:rsid w:val="004068C8"/>
    <w:rPr>
      <w:b/>
      <w:bCs/>
    </w:rPr>
  </w:style>
  <w:style w:type="character" w:customStyle="1" w:styleId="CommentSubjectChar">
    <w:name w:val="Comment Subject Char"/>
    <w:basedOn w:val="CommentTextChar"/>
    <w:link w:val="CommentSubject"/>
    <w:uiPriority w:val="99"/>
    <w:semiHidden/>
    <w:rsid w:val="004068C8"/>
    <w:rPr>
      <w:b/>
      <w:bCs/>
      <w:color w:val="000000"/>
      <w:sz w:val="20"/>
      <w:szCs w:val="20"/>
    </w:rPr>
  </w:style>
  <w:style w:type="paragraph" w:styleId="BalloonText">
    <w:name w:val="Balloon Text"/>
    <w:basedOn w:val="Normal"/>
    <w:link w:val="BalloonTextChar"/>
    <w:uiPriority w:val="99"/>
    <w:semiHidden/>
    <w:unhideWhenUsed/>
    <w:rsid w:val="004068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8C8"/>
    <w:rPr>
      <w:rFonts w:ascii="Segoe UI" w:hAnsi="Segoe UI" w:cs="Segoe UI"/>
      <w:color w:val="000000"/>
      <w:sz w:val="18"/>
      <w:szCs w:val="18"/>
    </w:rPr>
  </w:style>
  <w:style w:type="paragraph" w:styleId="Revision">
    <w:name w:val="Revision"/>
    <w:hidden/>
    <w:uiPriority w:val="99"/>
    <w:semiHidden/>
    <w:rsid w:val="0002312A"/>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2018-09-30T04:13:00Z</dcterms:created>
  <dcterms:modified xsi:type="dcterms:W3CDTF">2019-08-09T06:56:00Z</dcterms:modified>
</cp:coreProperties>
</file>