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A62A7" w14:textId="47D8906B" w:rsidR="008D1195" w:rsidRPr="007F3E29" w:rsidRDefault="006E674E" w:rsidP="007F3E29">
      <w:pPr>
        <w:pStyle w:val="Bodytext20"/>
        <w:spacing w:line="240" w:lineRule="auto"/>
        <w:jc w:val="center"/>
        <w:rPr>
          <w:rFonts w:ascii="Times New Roman" w:hAnsi="Times New Roman" w:cs="Times New Roman"/>
          <w:sz w:val="36"/>
          <w:szCs w:val="36"/>
        </w:rPr>
      </w:pPr>
      <w:bookmarkStart w:id="0" w:name="_GoBack"/>
      <w:bookmarkEnd w:id="0"/>
      <w:r w:rsidRPr="007F3E29">
        <w:rPr>
          <w:rFonts w:ascii="Times New Roman" w:hAnsi="Times New Roman" w:cs="Times New Roman"/>
          <w:sz w:val="36"/>
          <w:szCs w:val="36"/>
        </w:rPr>
        <w:t>AGED PERSONS HOSTELS AMENDMENT</w:t>
      </w:r>
      <w:r w:rsidR="00B54189">
        <w:rPr>
          <w:rFonts w:ascii="Times New Roman" w:hAnsi="Times New Roman" w:cs="Times New Roman"/>
          <w:sz w:val="36"/>
          <w:szCs w:val="36"/>
        </w:rPr>
        <w:t xml:space="preserve"> </w:t>
      </w:r>
      <w:r w:rsidRPr="007F3E29">
        <w:rPr>
          <w:rFonts w:ascii="Times New Roman" w:hAnsi="Times New Roman" w:cs="Times New Roman"/>
          <w:sz w:val="36"/>
          <w:szCs w:val="36"/>
        </w:rPr>
        <w:t>ACT 1976</w:t>
      </w:r>
    </w:p>
    <w:p w14:paraId="45376EF8" w14:textId="77777777" w:rsidR="007F3E29" w:rsidRPr="007F3E29" w:rsidRDefault="007F3E29" w:rsidP="007F3E29">
      <w:pPr>
        <w:pStyle w:val="Bodytext20"/>
        <w:spacing w:line="240" w:lineRule="auto"/>
        <w:jc w:val="center"/>
        <w:rPr>
          <w:rFonts w:ascii="Times New Roman" w:hAnsi="Times New Roman" w:cs="Times New Roman"/>
          <w:b w:val="0"/>
          <w:sz w:val="36"/>
          <w:szCs w:val="36"/>
        </w:rPr>
      </w:pPr>
    </w:p>
    <w:p w14:paraId="7AA8F2D0" w14:textId="77777777" w:rsidR="008D1195" w:rsidRDefault="006E674E" w:rsidP="007F3E29">
      <w:pPr>
        <w:jc w:val="center"/>
        <w:rPr>
          <w:rFonts w:ascii="Times New Roman" w:hAnsi="Times New Roman" w:cs="Times New Roman"/>
          <w:b/>
          <w:sz w:val="28"/>
          <w:szCs w:val="28"/>
        </w:rPr>
      </w:pPr>
      <w:bookmarkStart w:id="1" w:name="bookmark0"/>
      <w:r w:rsidRPr="007F3E29">
        <w:rPr>
          <w:rFonts w:ascii="Times New Roman" w:hAnsi="Times New Roman" w:cs="Times New Roman"/>
          <w:b/>
          <w:sz w:val="28"/>
          <w:szCs w:val="28"/>
        </w:rPr>
        <w:t>No. 92 of 1976</w:t>
      </w:r>
      <w:bookmarkEnd w:id="1"/>
    </w:p>
    <w:p w14:paraId="1D35F0FE" w14:textId="77777777" w:rsidR="007F3E29" w:rsidRPr="007F3E29" w:rsidRDefault="007F3E29" w:rsidP="007F3E29">
      <w:pPr>
        <w:jc w:val="center"/>
        <w:rPr>
          <w:rFonts w:ascii="Times New Roman" w:hAnsi="Times New Roman" w:cs="Times New Roman"/>
          <w:b/>
          <w:sz w:val="28"/>
          <w:szCs w:val="28"/>
        </w:rPr>
      </w:pPr>
    </w:p>
    <w:p w14:paraId="396AF1E0" w14:textId="77777777" w:rsidR="008D1195" w:rsidRDefault="006E674E" w:rsidP="007F3E29">
      <w:pPr>
        <w:pStyle w:val="BodyText1"/>
        <w:spacing w:line="240" w:lineRule="auto"/>
        <w:ind w:firstLine="0"/>
        <w:jc w:val="center"/>
        <w:rPr>
          <w:sz w:val="24"/>
          <w:szCs w:val="24"/>
        </w:rPr>
      </w:pPr>
      <w:r w:rsidRPr="007F3E29">
        <w:rPr>
          <w:sz w:val="24"/>
          <w:szCs w:val="24"/>
        </w:rPr>
        <w:t xml:space="preserve">An Act to amend the </w:t>
      </w:r>
      <w:r w:rsidRPr="007F3E29">
        <w:rPr>
          <w:rStyle w:val="BodytextItalic"/>
          <w:sz w:val="24"/>
          <w:szCs w:val="24"/>
        </w:rPr>
        <w:t>Aged Persons Hostels Act</w:t>
      </w:r>
      <w:r w:rsidRPr="007F3E29">
        <w:rPr>
          <w:sz w:val="24"/>
          <w:szCs w:val="24"/>
        </w:rPr>
        <w:t xml:space="preserve"> 1972-1974.</w:t>
      </w:r>
    </w:p>
    <w:p w14:paraId="3822575C" w14:textId="77777777" w:rsidR="007F3E29" w:rsidRPr="007F3E29" w:rsidRDefault="007F3E29" w:rsidP="007F3E29">
      <w:pPr>
        <w:pStyle w:val="BodyText1"/>
        <w:spacing w:line="240" w:lineRule="auto"/>
        <w:ind w:firstLine="0"/>
        <w:jc w:val="center"/>
        <w:rPr>
          <w:sz w:val="24"/>
          <w:szCs w:val="24"/>
        </w:rPr>
      </w:pPr>
    </w:p>
    <w:p w14:paraId="187E2949" w14:textId="77777777" w:rsidR="008D1195" w:rsidRPr="007F3E29" w:rsidRDefault="006E674E" w:rsidP="007F3E29">
      <w:pPr>
        <w:pStyle w:val="BodyText1"/>
        <w:spacing w:line="240" w:lineRule="auto"/>
        <w:ind w:firstLine="274"/>
        <w:jc w:val="both"/>
        <w:rPr>
          <w:sz w:val="24"/>
          <w:szCs w:val="24"/>
        </w:rPr>
      </w:pPr>
      <w:r w:rsidRPr="007F3E29">
        <w:rPr>
          <w:sz w:val="24"/>
          <w:szCs w:val="24"/>
        </w:rPr>
        <w:t>BE IT ENACTED by the Queen, and the Senate and House of Rep</w:t>
      </w:r>
      <w:r w:rsidRPr="007F3E29">
        <w:rPr>
          <w:sz w:val="24"/>
          <w:szCs w:val="24"/>
        </w:rPr>
        <w:softHyphen/>
        <w:t>resentatives of the Commonwealth of Australia, as follows:—</w:t>
      </w:r>
    </w:p>
    <w:p w14:paraId="3B028639" w14:textId="77777777" w:rsidR="008D1195" w:rsidRPr="007F3E29" w:rsidRDefault="006E674E" w:rsidP="007F3E29">
      <w:pPr>
        <w:pStyle w:val="Bodytext31"/>
        <w:spacing w:before="120" w:after="60" w:line="240" w:lineRule="auto"/>
        <w:rPr>
          <w:sz w:val="24"/>
          <w:szCs w:val="24"/>
        </w:rPr>
      </w:pPr>
      <w:r w:rsidRPr="007F3E29">
        <w:rPr>
          <w:rStyle w:val="Bodytext33"/>
          <w:b/>
          <w:sz w:val="20"/>
          <w:szCs w:val="20"/>
        </w:rPr>
        <w:t>Short title and citation</w:t>
      </w:r>
      <w:r w:rsidRPr="007F3E29">
        <w:rPr>
          <w:rStyle w:val="Bodytext33"/>
          <w:sz w:val="24"/>
          <w:szCs w:val="24"/>
        </w:rPr>
        <w:t>.</w:t>
      </w:r>
    </w:p>
    <w:p w14:paraId="6AE41517" w14:textId="66372EBB" w:rsidR="008D1195" w:rsidRPr="007F3E29" w:rsidRDefault="007F3E29" w:rsidP="007F3E29">
      <w:pPr>
        <w:pStyle w:val="BodyText1"/>
        <w:spacing w:after="120" w:line="240" w:lineRule="auto"/>
        <w:ind w:firstLine="274"/>
        <w:jc w:val="both"/>
        <w:rPr>
          <w:sz w:val="24"/>
          <w:szCs w:val="24"/>
        </w:rPr>
      </w:pPr>
      <w:r>
        <w:rPr>
          <w:b/>
          <w:sz w:val="24"/>
          <w:szCs w:val="24"/>
        </w:rPr>
        <w:t>1</w:t>
      </w:r>
      <w:r w:rsidR="00B54189">
        <w:rPr>
          <w:b/>
          <w:sz w:val="24"/>
          <w:szCs w:val="24"/>
        </w:rPr>
        <w:t>.</w:t>
      </w:r>
      <w:r>
        <w:rPr>
          <w:b/>
          <w:sz w:val="24"/>
          <w:szCs w:val="24"/>
        </w:rPr>
        <w:t xml:space="preserve"> </w:t>
      </w:r>
      <w:r w:rsidR="006E674E" w:rsidRPr="007F3E29">
        <w:rPr>
          <w:sz w:val="24"/>
          <w:szCs w:val="24"/>
        </w:rPr>
        <w:t xml:space="preserve">(1) This Act may be cited as the </w:t>
      </w:r>
      <w:r>
        <w:rPr>
          <w:rStyle w:val="BodytextItalic"/>
          <w:sz w:val="24"/>
          <w:szCs w:val="24"/>
        </w:rPr>
        <w:t>Aged Persons Hostels Amend</w:t>
      </w:r>
      <w:r w:rsidR="006E674E" w:rsidRPr="007F3E29">
        <w:rPr>
          <w:rStyle w:val="BodytextItalic"/>
          <w:sz w:val="24"/>
          <w:szCs w:val="24"/>
        </w:rPr>
        <w:t>ment Act</w:t>
      </w:r>
      <w:r w:rsidR="006E674E" w:rsidRPr="007F3E29">
        <w:rPr>
          <w:sz w:val="24"/>
          <w:szCs w:val="24"/>
        </w:rPr>
        <w:t xml:space="preserve"> 1976.</w:t>
      </w:r>
    </w:p>
    <w:p w14:paraId="4B0A1222" w14:textId="6E08BAC9" w:rsidR="008D1195" w:rsidRPr="007F3E29" w:rsidRDefault="00860922" w:rsidP="007F3E29">
      <w:pPr>
        <w:pStyle w:val="BodyText1"/>
        <w:spacing w:after="120" w:line="240" w:lineRule="auto"/>
        <w:ind w:firstLine="274"/>
        <w:jc w:val="both"/>
        <w:rPr>
          <w:sz w:val="24"/>
          <w:szCs w:val="24"/>
        </w:rPr>
      </w:pPr>
      <w:r w:rsidRPr="007F3E29">
        <w:rPr>
          <w:sz w:val="24"/>
          <w:szCs w:val="24"/>
        </w:rPr>
        <w:t xml:space="preserve">(2) </w:t>
      </w:r>
      <w:r w:rsidR="006E674E" w:rsidRPr="007F3E29">
        <w:rPr>
          <w:sz w:val="24"/>
          <w:szCs w:val="24"/>
        </w:rPr>
        <w:t xml:space="preserve">The </w:t>
      </w:r>
      <w:r w:rsidR="006E674E" w:rsidRPr="007F3E29">
        <w:rPr>
          <w:rStyle w:val="BodytextItalic"/>
          <w:sz w:val="24"/>
          <w:szCs w:val="24"/>
        </w:rPr>
        <w:t>Aged Persons Hostels Act</w:t>
      </w:r>
      <w:r w:rsidR="006E674E" w:rsidRPr="007F3E29">
        <w:rPr>
          <w:sz w:val="24"/>
          <w:szCs w:val="24"/>
        </w:rPr>
        <w:t xml:space="preserve"> 1972-1974 is in this Act referred to as the Principal Act.</w:t>
      </w:r>
    </w:p>
    <w:p w14:paraId="5C668914" w14:textId="77777777" w:rsidR="008D1195" w:rsidRPr="007F3E29" w:rsidRDefault="00860922" w:rsidP="007F3E29">
      <w:pPr>
        <w:pStyle w:val="BodyText1"/>
        <w:spacing w:line="240" w:lineRule="auto"/>
        <w:ind w:firstLine="270"/>
        <w:jc w:val="both"/>
        <w:rPr>
          <w:sz w:val="24"/>
          <w:szCs w:val="24"/>
        </w:rPr>
      </w:pPr>
      <w:r w:rsidRPr="007F3E29">
        <w:rPr>
          <w:sz w:val="24"/>
          <w:szCs w:val="24"/>
        </w:rPr>
        <w:t xml:space="preserve">(3) </w:t>
      </w:r>
      <w:r w:rsidR="006E674E" w:rsidRPr="007F3E29">
        <w:rPr>
          <w:sz w:val="24"/>
          <w:szCs w:val="24"/>
        </w:rPr>
        <w:t xml:space="preserve">The Principal Act, as amended by this Act, may be cited as the </w:t>
      </w:r>
      <w:r w:rsidR="006E674E" w:rsidRPr="007F3E29">
        <w:rPr>
          <w:rStyle w:val="BodytextItalic"/>
          <w:sz w:val="24"/>
          <w:szCs w:val="24"/>
        </w:rPr>
        <w:t>Aged Persons Hostels Act</w:t>
      </w:r>
      <w:r w:rsidR="006E674E" w:rsidRPr="007F3E29">
        <w:rPr>
          <w:sz w:val="24"/>
          <w:szCs w:val="24"/>
        </w:rPr>
        <w:t xml:space="preserve"> 1972-1976.</w:t>
      </w:r>
    </w:p>
    <w:p w14:paraId="64A59F3A" w14:textId="77777777" w:rsidR="008D1195" w:rsidRPr="007F3E29" w:rsidRDefault="00860922" w:rsidP="007F3E29">
      <w:pPr>
        <w:pStyle w:val="Bodytext31"/>
        <w:spacing w:before="120" w:after="60" w:line="240" w:lineRule="auto"/>
        <w:rPr>
          <w:b/>
          <w:sz w:val="20"/>
          <w:szCs w:val="20"/>
        </w:rPr>
      </w:pPr>
      <w:r w:rsidRPr="007F3E29">
        <w:rPr>
          <w:rStyle w:val="Bodytext33"/>
          <w:b/>
          <w:sz w:val="20"/>
          <w:szCs w:val="20"/>
        </w:rPr>
        <w:t>Commence</w:t>
      </w:r>
      <w:r w:rsidR="006E674E" w:rsidRPr="007F3E29">
        <w:rPr>
          <w:rStyle w:val="Bodytext33"/>
          <w:b/>
          <w:sz w:val="20"/>
          <w:szCs w:val="20"/>
        </w:rPr>
        <w:t>ment.</w:t>
      </w:r>
    </w:p>
    <w:p w14:paraId="40DA618A" w14:textId="5B1D5F0F" w:rsidR="008D1195" w:rsidRPr="007F3E29" w:rsidRDefault="009B11C1" w:rsidP="007F3E29">
      <w:pPr>
        <w:pStyle w:val="BodyText1"/>
        <w:tabs>
          <w:tab w:val="left" w:pos="630"/>
        </w:tabs>
        <w:spacing w:line="240" w:lineRule="auto"/>
        <w:ind w:firstLine="270"/>
        <w:jc w:val="both"/>
        <w:rPr>
          <w:sz w:val="24"/>
          <w:szCs w:val="24"/>
          <w:vertAlign w:val="superscript"/>
        </w:rPr>
      </w:pPr>
      <w:r w:rsidRPr="007F3E29">
        <w:rPr>
          <w:b/>
          <w:sz w:val="24"/>
          <w:szCs w:val="24"/>
        </w:rPr>
        <w:t>2.</w:t>
      </w:r>
      <w:r w:rsidR="007F3E29">
        <w:rPr>
          <w:sz w:val="24"/>
          <w:szCs w:val="24"/>
        </w:rPr>
        <w:tab/>
      </w:r>
      <w:r w:rsidR="006E674E" w:rsidRPr="007F3E29">
        <w:rPr>
          <w:sz w:val="24"/>
          <w:szCs w:val="24"/>
        </w:rPr>
        <w:t>This Act shall come into operation on the day on which it receives the Royal Assent.</w:t>
      </w:r>
    </w:p>
    <w:p w14:paraId="14DCD370" w14:textId="77777777" w:rsidR="00DB0753" w:rsidRPr="007F3E29" w:rsidRDefault="00DB0753" w:rsidP="007F3E29">
      <w:pPr>
        <w:pStyle w:val="Bodytext31"/>
        <w:spacing w:before="120" w:after="60" w:line="240" w:lineRule="auto"/>
        <w:rPr>
          <w:b/>
          <w:sz w:val="20"/>
          <w:szCs w:val="20"/>
        </w:rPr>
      </w:pPr>
      <w:r w:rsidRPr="007F3E29">
        <w:rPr>
          <w:rStyle w:val="Bodytext33"/>
          <w:b/>
          <w:sz w:val="20"/>
          <w:szCs w:val="20"/>
        </w:rPr>
        <w:t>Grants to organizations.</w:t>
      </w:r>
    </w:p>
    <w:p w14:paraId="76A81D2A" w14:textId="5FB8D7A1" w:rsidR="008D1195" w:rsidRPr="007F3E29" w:rsidRDefault="007F3E29" w:rsidP="007F3E29">
      <w:pPr>
        <w:pStyle w:val="BodyText1"/>
        <w:spacing w:after="120" w:line="240" w:lineRule="auto"/>
        <w:ind w:firstLine="274"/>
        <w:jc w:val="both"/>
        <w:rPr>
          <w:sz w:val="24"/>
          <w:szCs w:val="24"/>
        </w:rPr>
      </w:pPr>
      <w:r w:rsidRPr="007F3E29">
        <w:rPr>
          <w:b/>
          <w:sz w:val="24"/>
          <w:szCs w:val="24"/>
        </w:rPr>
        <w:t>3</w:t>
      </w:r>
      <w:r w:rsidR="00B54189">
        <w:rPr>
          <w:b/>
          <w:sz w:val="24"/>
          <w:szCs w:val="24"/>
        </w:rPr>
        <w:t>.</w:t>
      </w:r>
      <w:r>
        <w:rPr>
          <w:sz w:val="24"/>
          <w:szCs w:val="24"/>
        </w:rPr>
        <w:t xml:space="preserve"> </w:t>
      </w:r>
      <w:r w:rsidR="006E674E" w:rsidRPr="007F3E29">
        <w:rPr>
          <w:sz w:val="24"/>
          <w:szCs w:val="24"/>
        </w:rPr>
        <w:t>(1) Section 6 of the Principal Act is amended by omitting sub</w:t>
      </w:r>
      <w:r w:rsidR="00B54189">
        <w:rPr>
          <w:sz w:val="24"/>
          <w:szCs w:val="24"/>
        </w:rPr>
        <w:t>-</w:t>
      </w:r>
      <w:r w:rsidR="006E674E" w:rsidRPr="007F3E29">
        <w:rPr>
          <w:sz w:val="24"/>
          <w:szCs w:val="24"/>
        </w:rPr>
        <w:t>sections (2) and (3) and substituting the following sub-section:—</w:t>
      </w:r>
    </w:p>
    <w:p w14:paraId="2A73DE47" w14:textId="77777777" w:rsidR="008D1195" w:rsidRPr="007F3E29" w:rsidRDefault="006E674E" w:rsidP="007F3E29">
      <w:pPr>
        <w:pStyle w:val="BodyText1"/>
        <w:spacing w:after="120" w:line="240" w:lineRule="auto"/>
        <w:ind w:firstLine="274"/>
        <w:jc w:val="both"/>
        <w:rPr>
          <w:sz w:val="24"/>
          <w:szCs w:val="24"/>
        </w:rPr>
      </w:pPr>
      <w:r w:rsidRPr="007F3E29">
        <w:rPr>
          <w:sz w:val="24"/>
          <w:szCs w:val="24"/>
        </w:rPr>
        <w:t>“(2) The amount of a grant under this section shall be paid at such time as is, or by such instalments</w:t>
      </w:r>
      <w:r w:rsidR="00493ED7" w:rsidRPr="007F3E29">
        <w:rPr>
          <w:sz w:val="24"/>
          <w:szCs w:val="24"/>
        </w:rPr>
        <w:t xml:space="preserve"> </w:t>
      </w:r>
      <w:r w:rsidRPr="007F3E29">
        <w:rPr>
          <w:sz w:val="24"/>
          <w:szCs w:val="24"/>
        </w:rPr>
        <w:t>and at such times as are, determined by an agreement between the Director-General and the prescribed organization or, in the absence of agreement, by the Director-General.”.</w:t>
      </w:r>
    </w:p>
    <w:p w14:paraId="3A2313BF" w14:textId="76F61F88" w:rsidR="008D1195" w:rsidRPr="007F3E29" w:rsidRDefault="006E674E" w:rsidP="007F3E29">
      <w:pPr>
        <w:pStyle w:val="BodyText1"/>
        <w:spacing w:line="240" w:lineRule="auto"/>
        <w:ind w:firstLine="270"/>
        <w:jc w:val="both"/>
        <w:rPr>
          <w:sz w:val="24"/>
          <w:szCs w:val="24"/>
        </w:rPr>
      </w:pPr>
      <w:r w:rsidRPr="007F3E29">
        <w:rPr>
          <w:sz w:val="24"/>
          <w:szCs w:val="24"/>
        </w:rPr>
        <w:t>(2) Notwithstanding the amendment made by sub-section (1), an agreement in force for the purposes of sub-section 6(2) of the Principal Act immediately before the commencement of this Act continues in force as if made for the purposes of sub-section 6(2) of the Principal Act as amended by this Act.</w:t>
      </w:r>
    </w:p>
    <w:p w14:paraId="6EB96AF0" w14:textId="77777777" w:rsidR="008D1195" w:rsidRPr="007F3E29" w:rsidRDefault="006E674E" w:rsidP="007F3E29">
      <w:pPr>
        <w:pStyle w:val="Bodytext31"/>
        <w:spacing w:before="120" w:after="60" w:line="240" w:lineRule="auto"/>
        <w:rPr>
          <w:b/>
          <w:sz w:val="20"/>
          <w:szCs w:val="20"/>
        </w:rPr>
      </w:pPr>
      <w:r w:rsidRPr="007F3E29">
        <w:rPr>
          <w:rStyle w:val="Bodytext33"/>
          <w:b/>
          <w:sz w:val="20"/>
          <w:szCs w:val="20"/>
        </w:rPr>
        <w:t>Terms and conditions of grants.</w:t>
      </w:r>
    </w:p>
    <w:p w14:paraId="5A48703F" w14:textId="2F228A38" w:rsidR="008D1195" w:rsidRPr="007F3E29" w:rsidRDefault="00DB0753" w:rsidP="007F3E29">
      <w:pPr>
        <w:pStyle w:val="BodyText1"/>
        <w:tabs>
          <w:tab w:val="left" w:pos="630"/>
        </w:tabs>
        <w:spacing w:line="240" w:lineRule="auto"/>
        <w:ind w:firstLine="270"/>
        <w:jc w:val="both"/>
        <w:rPr>
          <w:sz w:val="24"/>
          <w:szCs w:val="24"/>
        </w:rPr>
      </w:pPr>
      <w:r w:rsidRPr="007F3E29">
        <w:rPr>
          <w:b/>
          <w:sz w:val="24"/>
          <w:szCs w:val="24"/>
        </w:rPr>
        <w:t>4</w:t>
      </w:r>
      <w:r w:rsidR="00982F94" w:rsidRPr="007F3E29">
        <w:rPr>
          <w:b/>
          <w:sz w:val="24"/>
          <w:szCs w:val="24"/>
        </w:rPr>
        <w:t>.</w:t>
      </w:r>
      <w:r w:rsidR="007F3E29">
        <w:rPr>
          <w:sz w:val="24"/>
          <w:szCs w:val="24"/>
        </w:rPr>
        <w:tab/>
      </w:r>
      <w:r w:rsidR="006E674E" w:rsidRPr="007F3E29">
        <w:rPr>
          <w:sz w:val="24"/>
          <w:szCs w:val="24"/>
        </w:rPr>
        <w:t>Section 9 of the Principal Act is amended by omitting from sub</w:t>
      </w:r>
      <w:r w:rsidR="00B54189">
        <w:rPr>
          <w:sz w:val="24"/>
          <w:szCs w:val="24"/>
        </w:rPr>
        <w:t>-</w:t>
      </w:r>
      <w:r w:rsidR="006E674E" w:rsidRPr="007F3E29">
        <w:rPr>
          <w:sz w:val="24"/>
          <w:szCs w:val="24"/>
        </w:rPr>
        <w:t>section (1) the words “approval of the hostel under section 5 of this Act” and substituting the words “the making of the grant or within such further period as the Director-General fixes having regard to the circumstances of a particular case”.</w:t>
      </w:r>
    </w:p>
    <w:p w14:paraId="280712DB" w14:textId="77777777" w:rsidR="00DB0753" w:rsidRPr="007F3E29" w:rsidRDefault="00DB0753" w:rsidP="007F3E29">
      <w:pPr>
        <w:pStyle w:val="Bodytext31"/>
        <w:spacing w:before="120" w:after="60" w:line="240" w:lineRule="auto"/>
        <w:rPr>
          <w:sz w:val="24"/>
          <w:szCs w:val="24"/>
        </w:rPr>
      </w:pPr>
      <w:r w:rsidRPr="007F3E29">
        <w:rPr>
          <w:rStyle w:val="Bodytext33"/>
          <w:b/>
          <w:sz w:val="20"/>
          <w:szCs w:val="20"/>
        </w:rPr>
        <w:t>Period of operation</w:t>
      </w:r>
      <w:r w:rsidRPr="007F3E29">
        <w:rPr>
          <w:rStyle w:val="Bodytext33"/>
          <w:sz w:val="24"/>
          <w:szCs w:val="24"/>
        </w:rPr>
        <w:t>.</w:t>
      </w:r>
    </w:p>
    <w:p w14:paraId="326B199A" w14:textId="77777777" w:rsidR="008D1195" w:rsidRPr="007F3E29" w:rsidRDefault="00DB0753" w:rsidP="007F3E29">
      <w:pPr>
        <w:pStyle w:val="BodyText1"/>
        <w:tabs>
          <w:tab w:val="left" w:pos="630"/>
        </w:tabs>
        <w:spacing w:after="120" w:line="240" w:lineRule="auto"/>
        <w:ind w:firstLine="274"/>
        <w:jc w:val="both"/>
        <w:rPr>
          <w:sz w:val="24"/>
          <w:szCs w:val="24"/>
        </w:rPr>
      </w:pPr>
      <w:r w:rsidRPr="007F3E29">
        <w:rPr>
          <w:b/>
          <w:sz w:val="24"/>
          <w:szCs w:val="24"/>
        </w:rPr>
        <w:t>5</w:t>
      </w:r>
      <w:r w:rsidR="00982F94" w:rsidRPr="007F3E29">
        <w:rPr>
          <w:b/>
          <w:sz w:val="24"/>
          <w:szCs w:val="24"/>
        </w:rPr>
        <w:t>.</w:t>
      </w:r>
      <w:r w:rsidR="007F3E29">
        <w:rPr>
          <w:sz w:val="24"/>
          <w:szCs w:val="24"/>
        </w:rPr>
        <w:tab/>
      </w:r>
      <w:r w:rsidR="006E674E" w:rsidRPr="007F3E29">
        <w:rPr>
          <w:sz w:val="24"/>
          <w:szCs w:val="24"/>
        </w:rPr>
        <w:t>Section 10 of the Principal Act is amended by adding at the end thereof the following sub-section:—</w:t>
      </w:r>
    </w:p>
    <w:p w14:paraId="51C1EBB5" w14:textId="44231F9B" w:rsidR="008D1195" w:rsidRPr="007F3E29" w:rsidRDefault="00B54189" w:rsidP="007F3E29">
      <w:pPr>
        <w:pStyle w:val="BodyText1"/>
        <w:spacing w:after="120" w:line="240" w:lineRule="auto"/>
        <w:ind w:firstLine="274"/>
        <w:jc w:val="both"/>
        <w:rPr>
          <w:sz w:val="24"/>
          <w:szCs w:val="24"/>
        </w:rPr>
      </w:pPr>
      <w:r>
        <w:rPr>
          <w:sz w:val="24"/>
          <w:szCs w:val="24"/>
        </w:rPr>
        <w:t>“(2) Where—</w:t>
      </w:r>
    </w:p>
    <w:p w14:paraId="40FED313" w14:textId="29FD7F76" w:rsidR="008D1195" w:rsidRPr="007F3E29" w:rsidRDefault="006E0D2F" w:rsidP="00B54189">
      <w:pPr>
        <w:pStyle w:val="BodyText1"/>
        <w:spacing w:line="240" w:lineRule="auto"/>
        <w:ind w:left="1170" w:hanging="360"/>
        <w:jc w:val="both"/>
        <w:rPr>
          <w:sz w:val="24"/>
          <w:szCs w:val="24"/>
        </w:rPr>
      </w:pPr>
      <w:r w:rsidRPr="007F3E29">
        <w:rPr>
          <w:sz w:val="24"/>
          <w:szCs w:val="24"/>
        </w:rPr>
        <w:t xml:space="preserve">(a) </w:t>
      </w:r>
      <w:r w:rsidR="006E674E" w:rsidRPr="007F3E29">
        <w:rPr>
          <w:sz w:val="24"/>
          <w:szCs w:val="24"/>
        </w:rPr>
        <w:t>an approval under section 5 was given, within the period referred to in sub-section (1), with respect to a building</w:t>
      </w:r>
      <w:r w:rsidR="00B54189">
        <w:rPr>
          <w:sz w:val="24"/>
          <w:szCs w:val="24"/>
        </w:rPr>
        <w:t xml:space="preserve"> </w:t>
      </w:r>
      <w:r w:rsidR="006E674E" w:rsidRPr="007F3E29">
        <w:rPr>
          <w:sz w:val="24"/>
          <w:szCs w:val="24"/>
        </w:rPr>
        <w:t>proposed to be erected on a particular site proposed to be acquired by the organization concerned; and</w:t>
      </w:r>
    </w:p>
    <w:p w14:paraId="0AF45626" w14:textId="77777777" w:rsidR="008D1195" w:rsidRPr="007F3E29" w:rsidRDefault="006E0D2F" w:rsidP="007F3E29">
      <w:pPr>
        <w:pStyle w:val="BodyText1"/>
        <w:spacing w:after="120" w:line="240" w:lineRule="auto"/>
        <w:ind w:left="1166" w:hanging="360"/>
        <w:jc w:val="both"/>
        <w:rPr>
          <w:sz w:val="24"/>
          <w:szCs w:val="24"/>
        </w:rPr>
      </w:pPr>
      <w:r w:rsidRPr="007F3E29">
        <w:rPr>
          <w:sz w:val="24"/>
          <w:szCs w:val="24"/>
        </w:rPr>
        <w:t xml:space="preserve">(b) </w:t>
      </w:r>
      <w:r w:rsidR="006E674E" w:rsidRPr="007F3E29">
        <w:rPr>
          <w:sz w:val="24"/>
          <w:szCs w:val="24"/>
        </w:rPr>
        <w:t>the Director-General is satisfied that, by reason of excep</w:t>
      </w:r>
      <w:r w:rsidR="006E674E" w:rsidRPr="007F3E29">
        <w:rPr>
          <w:sz w:val="24"/>
          <w:szCs w:val="24"/>
        </w:rPr>
        <w:softHyphen/>
        <w:t>tional circumstances bey</w:t>
      </w:r>
      <w:r w:rsidR="007F3E29">
        <w:rPr>
          <w:sz w:val="24"/>
          <w:szCs w:val="24"/>
        </w:rPr>
        <w:t>ond the control of the organiza</w:t>
      </w:r>
      <w:r w:rsidR="006E674E" w:rsidRPr="007F3E29">
        <w:rPr>
          <w:sz w:val="24"/>
          <w:szCs w:val="24"/>
        </w:rPr>
        <w:t>tion, the organization has been unable to acquire that site,</w:t>
      </w:r>
    </w:p>
    <w:p w14:paraId="5A99A5E7" w14:textId="77777777" w:rsidR="008D1195" w:rsidRPr="007F3E29" w:rsidRDefault="006E674E" w:rsidP="004B1C2C">
      <w:pPr>
        <w:pStyle w:val="BodyText1"/>
        <w:spacing w:after="120" w:line="240" w:lineRule="auto"/>
        <w:ind w:firstLine="0"/>
        <w:jc w:val="both"/>
        <w:rPr>
          <w:sz w:val="24"/>
          <w:szCs w:val="24"/>
        </w:rPr>
      </w:pPr>
      <w:r w:rsidRPr="007F3E29">
        <w:rPr>
          <w:sz w:val="24"/>
          <w:szCs w:val="24"/>
        </w:rPr>
        <w:t>the Director-General may, in his discretion, at the request of the organization, vary the approval by substituting a reference to another site for the reference to the first-mention</w:t>
      </w:r>
      <w:r w:rsidR="007F3E29">
        <w:rPr>
          <w:sz w:val="24"/>
          <w:szCs w:val="24"/>
        </w:rPr>
        <w:t>ed site and, thereupon, that ap</w:t>
      </w:r>
      <w:r w:rsidRPr="007F3E29">
        <w:rPr>
          <w:sz w:val="24"/>
          <w:szCs w:val="24"/>
        </w:rPr>
        <w:t>proval has effect as so varied.</w:t>
      </w:r>
    </w:p>
    <w:p w14:paraId="537E6E4D" w14:textId="61D57061" w:rsidR="008D1195" w:rsidRPr="007F3E29" w:rsidRDefault="004B1C2C" w:rsidP="004B1C2C">
      <w:pPr>
        <w:pStyle w:val="BodyText1"/>
        <w:tabs>
          <w:tab w:val="left" w:pos="630"/>
        </w:tabs>
        <w:spacing w:line="240" w:lineRule="auto"/>
        <w:ind w:firstLine="274"/>
        <w:jc w:val="both"/>
        <w:rPr>
          <w:sz w:val="24"/>
          <w:szCs w:val="24"/>
        </w:rPr>
      </w:pPr>
      <w:r w:rsidRPr="004B1C2C">
        <w:rPr>
          <w:b/>
          <w:sz w:val="24"/>
          <w:szCs w:val="24"/>
        </w:rPr>
        <w:t>6.</w:t>
      </w:r>
      <w:r>
        <w:rPr>
          <w:sz w:val="24"/>
          <w:szCs w:val="24"/>
        </w:rPr>
        <w:tab/>
      </w:r>
      <w:r w:rsidR="006E674E" w:rsidRPr="007F3E29">
        <w:rPr>
          <w:sz w:val="24"/>
          <w:szCs w:val="24"/>
        </w:rPr>
        <w:t>The Principal Act is amended by adding at the end thereof the following section:—</w:t>
      </w:r>
    </w:p>
    <w:p w14:paraId="345A6294" w14:textId="77777777" w:rsidR="008D1195" w:rsidRPr="007F3E29" w:rsidRDefault="006E674E" w:rsidP="007F3E29">
      <w:pPr>
        <w:pStyle w:val="Bodytext80"/>
        <w:spacing w:before="120" w:after="60" w:line="240" w:lineRule="auto"/>
        <w:jc w:val="both"/>
        <w:rPr>
          <w:sz w:val="20"/>
          <w:szCs w:val="20"/>
        </w:rPr>
      </w:pPr>
      <w:r w:rsidRPr="007F3E29">
        <w:rPr>
          <w:sz w:val="20"/>
          <w:szCs w:val="20"/>
        </w:rPr>
        <w:t>Delegation.</w:t>
      </w:r>
    </w:p>
    <w:p w14:paraId="0A84A31B" w14:textId="77777777" w:rsidR="008D1195" w:rsidRPr="007F3E29" w:rsidRDefault="004B1C2C" w:rsidP="004B1C2C">
      <w:pPr>
        <w:pStyle w:val="BodyText1"/>
        <w:spacing w:after="120" w:line="240" w:lineRule="auto"/>
        <w:ind w:firstLine="274"/>
        <w:jc w:val="both"/>
        <w:rPr>
          <w:sz w:val="24"/>
          <w:szCs w:val="24"/>
        </w:rPr>
      </w:pPr>
      <w:r w:rsidRPr="005B643B">
        <w:rPr>
          <w:sz w:val="24"/>
          <w:szCs w:val="24"/>
        </w:rPr>
        <w:t>“</w:t>
      </w:r>
      <w:r w:rsidR="005B643B" w:rsidRPr="005B643B">
        <w:rPr>
          <w:sz w:val="24"/>
          <w:szCs w:val="24"/>
        </w:rPr>
        <w:t>13</w:t>
      </w:r>
      <w:r w:rsidR="005B643B">
        <w:rPr>
          <w:sz w:val="24"/>
          <w:szCs w:val="24"/>
        </w:rPr>
        <w:t>.</w:t>
      </w:r>
      <w:r w:rsidR="005B643B" w:rsidRPr="007F3E29">
        <w:rPr>
          <w:sz w:val="24"/>
          <w:szCs w:val="24"/>
        </w:rPr>
        <w:t xml:space="preserve"> (</w:t>
      </w:r>
      <w:r w:rsidR="006E674E" w:rsidRPr="007F3E29">
        <w:rPr>
          <w:sz w:val="24"/>
          <w:szCs w:val="24"/>
        </w:rPr>
        <w:t>1) The Director-General may, either generally or as other</w:t>
      </w:r>
      <w:r w:rsidR="006E674E" w:rsidRPr="007F3E29">
        <w:rPr>
          <w:sz w:val="24"/>
          <w:szCs w:val="24"/>
        </w:rPr>
        <w:softHyphen/>
        <w:t>wise provided by the instrument of delegation, by writing signed by him, delegate to an officer of the Australian Public Service any of his powers under this Act, other than this power of delegation.</w:t>
      </w:r>
    </w:p>
    <w:p w14:paraId="74929C46" w14:textId="77777777" w:rsidR="000A163F" w:rsidRDefault="000A163F">
      <w:pPr>
        <w:rPr>
          <w:rFonts w:ascii="Times New Roman" w:eastAsia="Times New Roman" w:hAnsi="Times New Roman" w:cs="Times New Roman"/>
        </w:rPr>
      </w:pPr>
      <w:r>
        <w:br w:type="page"/>
      </w:r>
    </w:p>
    <w:p w14:paraId="1D720665" w14:textId="5BA8C4CC" w:rsidR="008D1195" w:rsidRPr="007F3E29" w:rsidRDefault="006E674E" w:rsidP="004B1C2C">
      <w:pPr>
        <w:pStyle w:val="BodyText1"/>
        <w:spacing w:after="120" w:line="240" w:lineRule="auto"/>
        <w:ind w:firstLine="274"/>
        <w:jc w:val="both"/>
        <w:rPr>
          <w:sz w:val="24"/>
          <w:szCs w:val="24"/>
        </w:rPr>
      </w:pPr>
      <w:r w:rsidRPr="007F3E29">
        <w:rPr>
          <w:sz w:val="24"/>
          <w:szCs w:val="24"/>
        </w:rPr>
        <w:lastRenderedPageBreak/>
        <w:t>“(2) A power so delegated, when exercised by the delegate, shall, for the purposes of this Act, be deemed to have been exercised by the Director-General.</w:t>
      </w:r>
    </w:p>
    <w:p w14:paraId="3A6C2463" w14:textId="77777777" w:rsidR="008D1195" w:rsidRPr="007F3E29" w:rsidRDefault="006E674E" w:rsidP="004B1C2C">
      <w:pPr>
        <w:pStyle w:val="BodyText1"/>
        <w:spacing w:line="240" w:lineRule="auto"/>
        <w:ind w:firstLine="270"/>
        <w:jc w:val="both"/>
        <w:rPr>
          <w:sz w:val="24"/>
          <w:szCs w:val="24"/>
        </w:rPr>
      </w:pPr>
      <w:r w:rsidRPr="007F3E29">
        <w:rPr>
          <w:sz w:val="24"/>
          <w:szCs w:val="24"/>
        </w:rPr>
        <w:t>“(3) A delegation under this section does not prevent the exercise of a power by the Director-General.”.</w:t>
      </w:r>
    </w:p>
    <w:p w14:paraId="61BCBFAE" w14:textId="77777777" w:rsidR="008D1195" w:rsidRPr="007F3E29" w:rsidRDefault="006E674E" w:rsidP="007F3E29">
      <w:pPr>
        <w:pStyle w:val="Bodytext80"/>
        <w:spacing w:before="120" w:after="60" w:line="240" w:lineRule="auto"/>
        <w:jc w:val="both"/>
        <w:rPr>
          <w:b w:val="0"/>
          <w:sz w:val="24"/>
          <w:szCs w:val="24"/>
        </w:rPr>
      </w:pPr>
      <w:r w:rsidRPr="007F3E29">
        <w:rPr>
          <w:sz w:val="20"/>
          <w:szCs w:val="20"/>
        </w:rPr>
        <w:t>Formal</w:t>
      </w:r>
      <w:r w:rsidR="00DB0753" w:rsidRPr="007F3E29">
        <w:rPr>
          <w:sz w:val="20"/>
          <w:szCs w:val="20"/>
        </w:rPr>
        <w:t xml:space="preserve"> </w:t>
      </w:r>
      <w:r w:rsidR="00982F94" w:rsidRPr="007F3E29">
        <w:rPr>
          <w:sz w:val="20"/>
          <w:szCs w:val="20"/>
        </w:rPr>
        <w:t>amend</w:t>
      </w:r>
      <w:r w:rsidRPr="007F3E29">
        <w:rPr>
          <w:sz w:val="20"/>
          <w:szCs w:val="20"/>
        </w:rPr>
        <w:t>ments</w:t>
      </w:r>
      <w:r w:rsidRPr="007F3E29">
        <w:rPr>
          <w:b w:val="0"/>
          <w:sz w:val="24"/>
          <w:szCs w:val="24"/>
        </w:rPr>
        <w:t>.</w:t>
      </w:r>
    </w:p>
    <w:p w14:paraId="21126E9F" w14:textId="77777777" w:rsidR="008D1195" w:rsidRDefault="00DB0753" w:rsidP="004B1C2C">
      <w:pPr>
        <w:pStyle w:val="BodyText1"/>
        <w:tabs>
          <w:tab w:val="left" w:pos="630"/>
        </w:tabs>
        <w:spacing w:line="240" w:lineRule="auto"/>
        <w:ind w:firstLine="270"/>
        <w:jc w:val="both"/>
        <w:rPr>
          <w:sz w:val="24"/>
          <w:szCs w:val="24"/>
        </w:rPr>
      </w:pPr>
      <w:r w:rsidRPr="004B1C2C">
        <w:rPr>
          <w:b/>
          <w:sz w:val="24"/>
          <w:szCs w:val="24"/>
        </w:rPr>
        <w:t>7.</w:t>
      </w:r>
      <w:r w:rsidR="004B1C2C">
        <w:rPr>
          <w:sz w:val="24"/>
          <w:szCs w:val="24"/>
        </w:rPr>
        <w:tab/>
      </w:r>
      <w:r w:rsidR="006E674E" w:rsidRPr="007F3E29">
        <w:rPr>
          <w:sz w:val="24"/>
          <w:szCs w:val="24"/>
        </w:rPr>
        <w:t>The Principal Act is amended as set out in the Schedule.</w:t>
      </w:r>
    </w:p>
    <w:p w14:paraId="0D3AC37A" w14:textId="77777777" w:rsidR="00BE00DF" w:rsidRDefault="004B1C2C" w:rsidP="004B1C2C">
      <w:pPr>
        <w:pStyle w:val="BodyText1"/>
        <w:spacing w:line="240" w:lineRule="auto"/>
        <w:ind w:firstLine="0"/>
        <w:jc w:val="center"/>
        <w:rPr>
          <w:sz w:val="24"/>
          <w:szCs w:val="24"/>
        </w:rPr>
      </w:pPr>
      <w:r>
        <w:rPr>
          <w:sz w:val="24"/>
          <w:szCs w:val="24"/>
        </w:rPr>
        <w:t>___________</w:t>
      </w:r>
    </w:p>
    <w:p w14:paraId="2269C696" w14:textId="77777777" w:rsidR="004B1C2C" w:rsidRPr="007F3E29" w:rsidRDefault="004B1C2C" w:rsidP="004B1C2C">
      <w:pPr>
        <w:pStyle w:val="BodyText1"/>
        <w:spacing w:line="240" w:lineRule="auto"/>
        <w:ind w:firstLine="0"/>
        <w:jc w:val="center"/>
        <w:rPr>
          <w:sz w:val="24"/>
          <w:szCs w:val="24"/>
        </w:rPr>
      </w:pPr>
    </w:p>
    <w:p w14:paraId="4EF422DC" w14:textId="200D7B4A" w:rsidR="008D1195" w:rsidRPr="007F3E29" w:rsidRDefault="00B54189" w:rsidP="004B1C2C">
      <w:pPr>
        <w:pStyle w:val="Bodytext31"/>
        <w:tabs>
          <w:tab w:val="left" w:pos="8280"/>
        </w:tabs>
        <w:spacing w:after="160" w:line="240" w:lineRule="auto"/>
        <w:ind w:firstLine="4234"/>
        <w:jc w:val="center"/>
        <w:rPr>
          <w:sz w:val="24"/>
          <w:szCs w:val="24"/>
        </w:rPr>
      </w:pPr>
      <w:r>
        <w:rPr>
          <w:rStyle w:val="Bodytext311pt"/>
          <w:sz w:val="24"/>
          <w:szCs w:val="24"/>
        </w:rPr>
        <w:t>SCHEDULE</w:t>
      </w:r>
      <w:r w:rsidR="004B1C2C">
        <w:rPr>
          <w:rStyle w:val="Bodytext311pt"/>
          <w:sz w:val="24"/>
          <w:szCs w:val="24"/>
        </w:rPr>
        <w:tab/>
      </w:r>
      <w:r w:rsidR="00BE00DF" w:rsidRPr="007F3E29">
        <w:rPr>
          <w:rStyle w:val="Bodytext32"/>
          <w:sz w:val="24"/>
          <w:szCs w:val="24"/>
        </w:rPr>
        <w:t xml:space="preserve">Section </w:t>
      </w:r>
      <w:r w:rsidR="006E674E" w:rsidRPr="007F3E29">
        <w:rPr>
          <w:rStyle w:val="Bodytext32"/>
          <w:sz w:val="24"/>
          <w:szCs w:val="24"/>
        </w:rPr>
        <w:t>7</w:t>
      </w:r>
    </w:p>
    <w:p w14:paraId="06EA3EDF" w14:textId="77777777" w:rsidR="008D1195" w:rsidRPr="007F3E29" w:rsidRDefault="006E674E" w:rsidP="009D7102">
      <w:pPr>
        <w:pStyle w:val="Bodytext31"/>
        <w:spacing w:after="60" w:line="240" w:lineRule="auto"/>
        <w:ind w:firstLine="270"/>
        <w:jc w:val="center"/>
        <w:rPr>
          <w:sz w:val="24"/>
          <w:szCs w:val="24"/>
        </w:rPr>
      </w:pPr>
      <w:r w:rsidRPr="007F3E29">
        <w:rPr>
          <w:rStyle w:val="Bodytext32"/>
          <w:sz w:val="24"/>
          <w:szCs w:val="24"/>
        </w:rPr>
        <w:t>FORMAL AMENDMENTS</w:t>
      </w:r>
    </w:p>
    <w:p w14:paraId="637AA888" w14:textId="37BE3BCB" w:rsidR="008D1195" w:rsidRPr="007F3E29" w:rsidRDefault="00882C93" w:rsidP="004B1C2C">
      <w:pPr>
        <w:pStyle w:val="Bodytext31"/>
        <w:tabs>
          <w:tab w:val="left" w:pos="630"/>
        </w:tabs>
        <w:spacing w:line="240" w:lineRule="auto"/>
        <w:ind w:firstLine="270"/>
        <w:rPr>
          <w:sz w:val="24"/>
          <w:szCs w:val="24"/>
        </w:rPr>
      </w:pPr>
      <w:r w:rsidRPr="007F3E29">
        <w:rPr>
          <w:rStyle w:val="Bodytext32"/>
          <w:sz w:val="24"/>
          <w:szCs w:val="24"/>
        </w:rPr>
        <w:t>1.</w:t>
      </w:r>
      <w:r w:rsidR="004B1C2C">
        <w:rPr>
          <w:rStyle w:val="Bodytext32"/>
          <w:sz w:val="24"/>
          <w:szCs w:val="24"/>
        </w:rPr>
        <w:tab/>
      </w:r>
      <w:r w:rsidR="006E674E" w:rsidRPr="007F3E29">
        <w:rPr>
          <w:rStyle w:val="Bodytext32"/>
          <w:sz w:val="24"/>
          <w:szCs w:val="24"/>
        </w:rPr>
        <w:t>The following provisions of the Principal Act are amended by omitting the words “of this Act”</w:t>
      </w:r>
      <w:r w:rsidR="005B643B">
        <w:rPr>
          <w:rStyle w:val="Bodytext32"/>
          <w:sz w:val="24"/>
          <w:szCs w:val="24"/>
        </w:rPr>
        <w:t xml:space="preserve"> </w:t>
      </w:r>
      <w:r w:rsidR="006E674E" w:rsidRPr="007F3E29">
        <w:rPr>
          <w:rStyle w:val="Bodytext32"/>
          <w:sz w:val="24"/>
          <w:szCs w:val="24"/>
        </w:rPr>
        <w:t>(wherever occurring):—</w:t>
      </w:r>
    </w:p>
    <w:p w14:paraId="73A05A18" w14:textId="738B07FC" w:rsidR="008D1195" w:rsidRPr="007F3E29" w:rsidRDefault="006E674E" w:rsidP="009D7102">
      <w:pPr>
        <w:pStyle w:val="Bodytext31"/>
        <w:spacing w:before="120" w:line="240" w:lineRule="auto"/>
        <w:ind w:firstLine="270"/>
        <w:rPr>
          <w:sz w:val="24"/>
          <w:szCs w:val="24"/>
        </w:rPr>
      </w:pPr>
      <w:r w:rsidRPr="007F3E29">
        <w:rPr>
          <w:rStyle w:val="Bodytext32"/>
          <w:sz w:val="24"/>
          <w:szCs w:val="24"/>
        </w:rPr>
        <w:t>Sections 3(1) (definition of “approved hostel”), 8,</w:t>
      </w:r>
      <w:r w:rsidR="00B54189">
        <w:rPr>
          <w:rStyle w:val="Bodytext32"/>
          <w:sz w:val="24"/>
          <w:szCs w:val="24"/>
        </w:rPr>
        <w:t xml:space="preserve"> </w:t>
      </w:r>
      <w:r w:rsidRPr="007F3E29">
        <w:rPr>
          <w:rStyle w:val="Bodytext32"/>
          <w:sz w:val="24"/>
          <w:szCs w:val="24"/>
        </w:rPr>
        <w:t>9(1) and 12(2).</w:t>
      </w:r>
    </w:p>
    <w:p w14:paraId="69AD521D" w14:textId="77777777" w:rsidR="008D1195" w:rsidRDefault="004B1C2C" w:rsidP="009D7102">
      <w:pPr>
        <w:pStyle w:val="Bodytext31"/>
        <w:tabs>
          <w:tab w:val="left" w:pos="630"/>
        </w:tabs>
        <w:spacing w:before="120" w:after="120" w:line="240" w:lineRule="auto"/>
        <w:ind w:firstLine="270"/>
        <w:rPr>
          <w:rStyle w:val="Bodytext32"/>
          <w:sz w:val="24"/>
          <w:szCs w:val="24"/>
        </w:rPr>
      </w:pPr>
      <w:r>
        <w:rPr>
          <w:rStyle w:val="Bodytext32"/>
          <w:sz w:val="24"/>
          <w:szCs w:val="24"/>
        </w:rPr>
        <w:t>2.</w:t>
      </w:r>
      <w:r>
        <w:rPr>
          <w:rStyle w:val="Bodytext32"/>
          <w:sz w:val="24"/>
          <w:szCs w:val="24"/>
        </w:rPr>
        <w:tab/>
      </w:r>
      <w:r w:rsidR="006E674E" w:rsidRPr="007F3E29">
        <w:rPr>
          <w:rStyle w:val="Bodytext32"/>
          <w:sz w:val="24"/>
          <w:szCs w:val="24"/>
        </w:rPr>
        <w:t>The Principal Act is further amended as set out in the following table:—</w:t>
      </w:r>
    </w:p>
    <w:tbl>
      <w:tblPr>
        <w:tblStyle w:val="TableGrid"/>
        <w:tblW w:w="0" w:type="auto"/>
        <w:tblLook w:val="04A0" w:firstRow="1" w:lastRow="0" w:firstColumn="1" w:lastColumn="0" w:noHBand="0" w:noVBand="1"/>
      </w:tblPr>
      <w:tblGrid>
        <w:gridCol w:w="3168"/>
        <w:gridCol w:w="6300"/>
      </w:tblGrid>
      <w:tr w:rsidR="004B1C2C" w:rsidRPr="00C35B42" w14:paraId="44808F91" w14:textId="77777777" w:rsidTr="00A52A0A">
        <w:tc>
          <w:tcPr>
            <w:tcW w:w="3168" w:type="dxa"/>
            <w:tcBorders>
              <w:left w:val="nil"/>
              <w:bottom w:val="single" w:sz="4" w:space="0" w:color="auto"/>
              <w:right w:val="nil"/>
            </w:tcBorders>
            <w:vAlign w:val="center"/>
          </w:tcPr>
          <w:p w14:paraId="39340511" w14:textId="77777777" w:rsidR="004B1C2C" w:rsidRPr="00A52A0A" w:rsidRDefault="00C35B42" w:rsidP="00A52A0A">
            <w:pPr>
              <w:pStyle w:val="Bodytext31"/>
              <w:tabs>
                <w:tab w:val="left" w:pos="630"/>
              </w:tabs>
              <w:spacing w:line="240" w:lineRule="auto"/>
              <w:jc w:val="left"/>
              <w:rPr>
                <w:rStyle w:val="Bodytext32"/>
                <w:sz w:val="20"/>
                <w:szCs w:val="20"/>
              </w:rPr>
            </w:pPr>
            <w:r w:rsidRPr="00A52A0A">
              <w:rPr>
                <w:color w:val="auto"/>
                <w:sz w:val="20"/>
                <w:szCs w:val="20"/>
              </w:rPr>
              <w:t>Provision</w:t>
            </w:r>
          </w:p>
        </w:tc>
        <w:tc>
          <w:tcPr>
            <w:tcW w:w="6300" w:type="dxa"/>
            <w:tcBorders>
              <w:left w:val="nil"/>
              <w:bottom w:val="single" w:sz="4" w:space="0" w:color="auto"/>
              <w:right w:val="nil"/>
            </w:tcBorders>
            <w:vAlign w:val="center"/>
          </w:tcPr>
          <w:p w14:paraId="1BB3318C" w14:textId="77777777" w:rsidR="004B1C2C" w:rsidRPr="00A52A0A" w:rsidRDefault="00C35B42" w:rsidP="00A52A0A">
            <w:pPr>
              <w:pStyle w:val="Bodytext31"/>
              <w:tabs>
                <w:tab w:val="left" w:pos="630"/>
              </w:tabs>
              <w:spacing w:line="240" w:lineRule="auto"/>
              <w:jc w:val="left"/>
              <w:rPr>
                <w:rStyle w:val="Bodytext32"/>
                <w:sz w:val="20"/>
                <w:szCs w:val="20"/>
              </w:rPr>
            </w:pPr>
            <w:r w:rsidRPr="00A52A0A">
              <w:rPr>
                <w:color w:val="auto"/>
                <w:sz w:val="20"/>
                <w:szCs w:val="20"/>
              </w:rPr>
              <w:t>Amendment</w:t>
            </w:r>
          </w:p>
        </w:tc>
      </w:tr>
      <w:tr w:rsidR="00C35B42" w:rsidRPr="00C35B42" w14:paraId="37696B07" w14:textId="77777777" w:rsidTr="009D7102">
        <w:trPr>
          <w:trHeight w:val="165"/>
        </w:trPr>
        <w:tc>
          <w:tcPr>
            <w:tcW w:w="3168" w:type="dxa"/>
            <w:tcBorders>
              <w:left w:val="nil"/>
              <w:bottom w:val="nil"/>
              <w:right w:val="nil"/>
            </w:tcBorders>
            <w:vAlign w:val="bottom"/>
          </w:tcPr>
          <w:p w14:paraId="13108100" w14:textId="0FCB5A7F" w:rsidR="00C35B42" w:rsidRPr="00C35B42" w:rsidRDefault="00C35B42" w:rsidP="00B54189">
            <w:pPr>
              <w:widowControl/>
              <w:autoSpaceDE w:val="0"/>
              <w:autoSpaceDN w:val="0"/>
              <w:adjustRightInd w:val="0"/>
              <w:ind w:left="270" w:hanging="270"/>
              <w:rPr>
                <w:rFonts w:ascii="Times New Roman" w:hAnsi="Times New Roman" w:cs="Times New Roman"/>
              </w:rPr>
            </w:pPr>
            <w:r w:rsidRPr="00C35B42">
              <w:rPr>
                <w:rFonts w:ascii="Times New Roman" w:hAnsi="Times New Roman" w:cs="Times New Roman"/>
                <w:color w:val="auto"/>
              </w:rPr>
              <w:t>Section 3(1) (definition of</w:t>
            </w:r>
            <w:r w:rsidR="00A52A0A">
              <w:rPr>
                <w:rFonts w:ascii="Times New Roman" w:hAnsi="Times New Roman" w:cs="Times New Roman"/>
                <w:color w:val="auto"/>
              </w:rPr>
              <w:t xml:space="preserve"> </w:t>
            </w:r>
            <w:r w:rsidR="00B54189">
              <w:rPr>
                <w:rFonts w:ascii="Times New Roman" w:hAnsi="Times New Roman" w:cs="Times New Roman"/>
                <w:color w:val="auto"/>
              </w:rPr>
              <w:t>“</w:t>
            </w:r>
            <w:r w:rsidRPr="00C35B42">
              <w:rPr>
                <w:rFonts w:ascii="Times New Roman" w:hAnsi="Times New Roman" w:cs="Times New Roman"/>
                <w:color w:val="auto"/>
              </w:rPr>
              <w:t>qualifying subsidized</w:t>
            </w:r>
            <w:r>
              <w:rPr>
                <w:rFonts w:ascii="Times New Roman" w:hAnsi="Times New Roman" w:cs="Times New Roman"/>
                <w:color w:val="auto"/>
              </w:rPr>
              <w:t xml:space="preserve"> </w:t>
            </w:r>
            <w:r w:rsidR="00B54189">
              <w:rPr>
                <w:rFonts w:ascii="Times New Roman" w:hAnsi="Times New Roman" w:cs="Times New Roman"/>
                <w:color w:val="auto"/>
              </w:rPr>
              <w:t>home”</w:t>
            </w:r>
            <w:r w:rsidRPr="00C35B42">
              <w:rPr>
                <w:rFonts w:ascii="Times New Roman" w:hAnsi="Times New Roman" w:cs="Times New Roman"/>
                <w:color w:val="auto"/>
              </w:rPr>
              <w:t>)</w:t>
            </w:r>
          </w:p>
        </w:tc>
        <w:tc>
          <w:tcPr>
            <w:tcW w:w="6300" w:type="dxa"/>
            <w:tcBorders>
              <w:left w:val="nil"/>
              <w:bottom w:val="nil"/>
              <w:right w:val="nil"/>
            </w:tcBorders>
          </w:tcPr>
          <w:p w14:paraId="7B318FDF" w14:textId="23F8DFE9" w:rsidR="00C35B42" w:rsidRPr="00C35B42" w:rsidRDefault="00B54189" w:rsidP="00B54189">
            <w:pPr>
              <w:widowControl/>
              <w:autoSpaceDE w:val="0"/>
              <w:autoSpaceDN w:val="0"/>
              <w:adjustRightInd w:val="0"/>
              <w:rPr>
                <w:rStyle w:val="Bodytext32"/>
                <w:rFonts w:eastAsia="Courier New"/>
                <w:sz w:val="24"/>
                <w:szCs w:val="24"/>
              </w:rPr>
            </w:pPr>
            <w:r>
              <w:rPr>
                <w:rFonts w:ascii="Times New Roman" w:hAnsi="Times New Roman" w:cs="Times New Roman"/>
                <w:color w:val="auto"/>
              </w:rPr>
              <w:t>Omit “</w:t>
            </w:r>
            <w:r w:rsidR="00C35B42" w:rsidRPr="00C35B42">
              <w:rPr>
                <w:rFonts w:ascii="Times New Roman" w:hAnsi="Times New Roman" w:cs="Times New Roman"/>
                <w:color w:val="auto"/>
              </w:rPr>
              <w:t>the twenty-second day of October, One thousand nine</w:t>
            </w:r>
            <w:r w:rsidR="00C35B42">
              <w:rPr>
                <w:rFonts w:ascii="Times New Roman" w:hAnsi="Times New Roman" w:cs="Times New Roman"/>
                <w:color w:val="auto"/>
              </w:rPr>
              <w:t xml:space="preserve"> </w:t>
            </w:r>
            <w:r w:rsidR="00C35B42" w:rsidRPr="00C35B42">
              <w:rPr>
                <w:rFonts w:ascii="Times New Roman" w:hAnsi="Times New Roman" w:cs="Times New Roman"/>
                <w:color w:val="auto"/>
              </w:rPr>
              <w:t>hundre</w:t>
            </w:r>
            <w:r>
              <w:rPr>
                <w:rFonts w:ascii="Times New Roman" w:hAnsi="Times New Roman" w:cs="Times New Roman"/>
                <w:color w:val="auto"/>
              </w:rPr>
              <w:t>d and fifty-seven”, substitute “</w:t>
            </w:r>
            <w:r w:rsidR="00C35B42" w:rsidRPr="00C35B42">
              <w:rPr>
                <w:rFonts w:ascii="Times New Roman" w:hAnsi="Times New Roman" w:cs="Times New Roman"/>
                <w:color w:val="auto"/>
              </w:rPr>
              <w:t>22 October 1957</w:t>
            </w:r>
            <w:r>
              <w:rPr>
                <w:rFonts w:ascii="Times New Roman" w:hAnsi="Times New Roman" w:cs="Times New Roman"/>
                <w:color w:val="auto"/>
              </w:rPr>
              <w:t>”</w:t>
            </w:r>
            <w:r w:rsidR="00C35B42" w:rsidRPr="00C35B42">
              <w:rPr>
                <w:rFonts w:ascii="Times New Roman" w:hAnsi="Times New Roman" w:cs="Times New Roman"/>
                <w:color w:val="auto"/>
              </w:rPr>
              <w:t>.</w:t>
            </w:r>
          </w:p>
        </w:tc>
      </w:tr>
      <w:tr w:rsidR="00C35B42" w:rsidRPr="00C35B42" w14:paraId="40AAD71B" w14:textId="77777777" w:rsidTr="00A52A0A">
        <w:trPr>
          <w:trHeight w:val="105"/>
        </w:trPr>
        <w:tc>
          <w:tcPr>
            <w:tcW w:w="3168" w:type="dxa"/>
            <w:tcBorders>
              <w:top w:val="nil"/>
              <w:left w:val="nil"/>
              <w:bottom w:val="nil"/>
              <w:right w:val="nil"/>
            </w:tcBorders>
            <w:vAlign w:val="bottom"/>
          </w:tcPr>
          <w:p w14:paraId="623BBFB0" w14:textId="34B7DDBF" w:rsidR="00C35B42" w:rsidRPr="00C35B42" w:rsidRDefault="00B54189" w:rsidP="00A52A0A">
            <w:pPr>
              <w:widowControl/>
              <w:autoSpaceDE w:val="0"/>
              <w:autoSpaceDN w:val="0"/>
              <w:adjustRightInd w:val="0"/>
              <w:ind w:left="270"/>
              <w:rPr>
                <w:rFonts w:ascii="Times New Roman" w:hAnsi="Times New Roman" w:cs="Times New Roman"/>
              </w:rPr>
            </w:pPr>
            <w:r>
              <w:rPr>
                <w:rFonts w:ascii="Times New Roman" w:hAnsi="Times New Roman" w:cs="Times New Roman"/>
                <w:color w:val="auto"/>
              </w:rPr>
              <w:t>(definition of “</w:t>
            </w:r>
            <w:r w:rsidR="00C35B42" w:rsidRPr="00C35B42">
              <w:rPr>
                <w:rFonts w:ascii="Times New Roman" w:hAnsi="Times New Roman" w:cs="Times New Roman"/>
                <w:color w:val="auto"/>
              </w:rPr>
              <w:t>qualifying</w:t>
            </w:r>
            <w:r w:rsidR="00C35B42">
              <w:rPr>
                <w:rFonts w:ascii="Times New Roman" w:hAnsi="Times New Roman" w:cs="Times New Roman"/>
                <w:color w:val="auto"/>
              </w:rPr>
              <w:t xml:space="preserve"> </w:t>
            </w:r>
            <w:r>
              <w:rPr>
                <w:rFonts w:ascii="Times New Roman" w:hAnsi="Times New Roman" w:cs="Times New Roman"/>
                <w:color w:val="auto"/>
              </w:rPr>
              <w:t>unsubsidized home”</w:t>
            </w:r>
            <w:r w:rsidR="00C35B42" w:rsidRPr="00C35B42">
              <w:rPr>
                <w:rFonts w:ascii="Times New Roman" w:hAnsi="Times New Roman" w:cs="Times New Roman"/>
                <w:color w:val="auto"/>
              </w:rPr>
              <w:t>)</w:t>
            </w:r>
          </w:p>
        </w:tc>
        <w:tc>
          <w:tcPr>
            <w:tcW w:w="6300" w:type="dxa"/>
            <w:tcBorders>
              <w:top w:val="nil"/>
              <w:left w:val="nil"/>
              <w:bottom w:val="nil"/>
              <w:right w:val="nil"/>
            </w:tcBorders>
            <w:vAlign w:val="bottom"/>
          </w:tcPr>
          <w:p w14:paraId="29359C1B" w14:textId="62EFC42B" w:rsidR="00A52A0A" w:rsidRDefault="00B54189" w:rsidP="00A52A0A">
            <w:pPr>
              <w:widowControl/>
              <w:autoSpaceDE w:val="0"/>
              <w:autoSpaceDN w:val="0"/>
              <w:adjustRightInd w:val="0"/>
              <w:rPr>
                <w:rFonts w:ascii="Times New Roman" w:hAnsi="Times New Roman" w:cs="Times New Roman"/>
                <w:color w:val="auto"/>
              </w:rPr>
            </w:pPr>
            <w:r>
              <w:rPr>
                <w:rFonts w:ascii="Times New Roman" w:hAnsi="Times New Roman" w:cs="Times New Roman"/>
                <w:color w:val="auto"/>
              </w:rPr>
              <w:t>Omit “</w:t>
            </w:r>
            <w:r w:rsidR="00C35B42" w:rsidRPr="00C35B42">
              <w:rPr>
                <w:rFonts w:ascii="Times New Roman" w:hAnsi="Times New Roman" w:cs="Times New Roman"/>
                <w:color w:val="auto"/>
              </w:rPr>
              <w:t>the fifteenth day of August, One thousand nine hundred</w:t>
            </w:r>
          </w:p>
          <w:p w14:paraId="08B27122" w14:textId="3C6B0F6C" w:rsidR="00C35B42" w:rsidRPr="00C35B42" w:rsidRDefault="00B54189" w:rsidP="00A52A0A">
            <w:pPr>
              <w:widowControl/>
              <w:autoSpaceDE w:val="0"/>
              <w:autoSpaceDN w:val="0"/>
              <w:adjustRightInd w:val="0"/>
              <w:rPr>
                <w:rStyle w:val="Bodytext32"/>
                <w:rFonts w:eastAsia="Courier New"/>
                <w:sz w:val="24"/>
                <w:szCs w:val="24"/>
              </w:rPr>
            </w:pPr>
            <w:r>
              <w:rPr>
                <w:rFonts w:ascii="Times New Roman" w:hAnsi="Times New Roman" w:cs="Times New Roman"/>
                <w:color w:val="auto"/>
              </w:rPr>
              <w:t>and seventy-two”, substitute “15 August 1972”</w:t>
            </w:r>
            <w:r w:rsidR="00C35B42" w:rsidRPr="00C35B42">
              <w:rPr>
                <w:rFonts w:ascii="Times New Roman" w:hAnsi="Times New Roman" w:cs="Times New Roman"/>
                <w:color w:val="auto"/>
              </w:rPr>
              <w:t>.</w:t>
            </w:r>
          </w:p>
        </w:tc>
      </w:tr>
      <w:tr w:rsidR="00C35B42" w:rsidRPr="00C35B42" w14:paraId="6DC9E339" w14:textId="77777777" w:rsidTr="00A52A0A">
        <w:tc>
          <w:tcPr>
            <w:tcW w:w="3168" w:type="dxa"/>
            <w:tcBorders>
              <w:top w:val="nil"/>
              <w:left w:val="nil"/>
              <w:right w:val="nil"/>
            </w:tcBorders>
            <w:vAlign w:val="bottom"/>
          </w:tcPr>
          <w:p w14:paraId="750AF1A9" w14:textId="77777777" w:rsidR="00C35B42" w:rsidRPr="00C35B42" w:rsidRDefault="00C35B42" w:rsidP="00A52A0A">
            <w:pPr>
              <w:autoSpaceDE w:val="0"/>
              <w:autoSpaceDN w:val="0"/>
              <w:adjustRightInd w:val="0"/>
              <w:rPr>
                <w:rFonts w:ascii="Times New Roman" w:hAnsi="Times New Roman" w:cs="Times New Roman"/>
              </w:rPr>
            </w:pPr>
            <w:r w:rsidRPr="00C35B42">
              <w:rPr>
                <w:rFonts w:ascii="Times New Roman" w:hAnsi="Times New Roman" w:cs="Times New Roman"/>
                <w:color w:val="auto"/>
              </w:rPr>
              <w:t>Section 10</w:t>
            </w:r>
          </w:p>
        </w:tc>
        <w:tc>
          <w:tcPr>
            <w:tcW w:w="6300" w:type="dxa"/>
            <w:tcBorders>
              <w:top w:val="nil"/>
              <w:left w:val="nil"/>
              <w:bottom w:val="single" w:sz="4" w:space="0" w:color="auto"/>
              <w:right w:val="nil"/>
            </w:tcBorders>
            <w:vAlign w:val="bottom"/>
          </w:tcPr>
          <w:p w14:paraId="3FE5CBD8" w14:textId="53AD0195" w:rsidR="00C35B42" w:rsidRPr="00C35B42" w:rsidRDefault="00B54189" w:rsidP="00A52A0A">
            <w:pPr>
              <w:pStyle w:val="Bodytext31"/>
              <w:tabs>
                <w:tab w:val="left" w:pos="630"/>
              </w:tabs>
              <w:spacing w:line="240" w:lineRule="auto"/>
              <w:jc w:val="left"/>
              <w:rPr>
                <w:rStyle w:val="Bodytext32"/>
                <w:sz w:val="24"/>
                <w:szCs w:val="24"/>
              </w:rPr>
            </w:pPr>
            <w:r>
              <w:rPr>
                <w:color w:val="auto"/>
                <w:sz w:val="24"/>
                <w:szCs w:val="24"/>
              </w:rPr>
              <w:t>Omit “of this Act”</w:t>
            </w:r>
            <w:r w:rsidR="00C35B42" w:rsidRPr="00C35B42">
              <w:rPr>
                <w:color w:val="auto"/>
                <w:sz w:val="24"/>
                <w:szCs w:val="24"/>
              </w:rPr>
              <w:t xml:space="preserve"> (first occurring).</w:t>
            </w:r>
          </w:p>
        </w:tc>
      </w:tr>
    </w:tbl>
    <w:p w14:paraId="751F0607" w14:textId="77777777" w:rsidR="00A52A0A" w:rsidRDefault="00A52A0A" w:rsidP="004B1C2C">
      <w:pPr>
        <w:pStyle w:val="Bodytext31"/>
        <w:tabs>
          <w:tab w:val="left" w:pos="630"/>
        </w:tabs>
        <w:spacing w:line="240" w:lineRule="auto"/>
        <w:ind w:firstLine="270"/>
        <w:rPr>
          <w:rStyle w:val="Bodytext32"/>
          <w:sz w:val="24"/>
          <w:szCs w:val="24"/>
        </w:rPr>
      </w:pPr>
    </w:p>
    <w:sectPr w:rsidR="00A52A0A" w:rsidSect="00763DCF">
      <w:headerReference w:type="even" r:id="rId8"/>
      <w:headerReference w:type="default" r:id="rId9"/>
      <w:type w:val="continuous"/>
      <w:pgSz w:w="11909" w:h="18000"/>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707CD" w14:textId="77777777" w:rsidR="003943CC" w:rsidRDefault="003943CC">
      <w:r>
        <w:separator/>
      </w:r>
    </w:p>
  </w:endnote>
  <w:endnote w:type="continuationSeparator" w:id="0">
    <w:p w14:paraId="5FA7B418" w14:textId="77777777" w:rsidR="003943CC" w:rsidRDefault="0039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B3E40" w14:textId="77777777" w:rsidR="003943CC" w:rsidRDefault="003943CC"/>
  </w:footnote>
  <w:footnote w:type="continuationSeparator" w:id="0">
    <w:p w14:paraId="0B693D2A" w14:textId="77777777" w:rsidR="003943CC" w:rsidRDefault="00394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F555" w14:textId="77777777" w:rsidR="00763DCF" w:rsidRPr="00763DCF" w:rsidRDefault="00763DCF" w:rsidP="00763DCF">
    <w:pPr>
      <w:pStyle w:val="Header"/>
      <w:tabs>
        <w:tab w:val="clear" w:pos="4513"/>
        <w:tab w:val="clear" w:pos="9026"/>
        <w:tab w:val="center" w:pos="5040"/>
        <w:tab w:val="right" w:pos="9720"/>
      </w:tabs>
      <w:rPr>
        <w:rFonts w:ascii="Times New Roman" w:hAnsi="Times New Roman" w:cs="Times New Roman"/>
        <w:sz w:val="22"/>
        <w:szCs w:val="22"/>
      </w:rPr>
    </w:pPr>
    <w:r>
      <w:rPr>
        <w:rFonts w:ascii="Times New Roman" w:hAnsi="Times New Roman" w:cs="Times New Roman"/>
        <w:sz w:val="22"/>
        <w:szCs w:val="22"/>
      </w:rPr>
      <w:t>No. 92</w:t>
    </w:r>
    <w:r w:rsidRPr="00763DCF">
      <w:rPr>
        <w:rFonts w:ascii="Times New Roman" w:hAnsi="Times New Roman" w:cs="Times New Roman"/>
        <w:sz w:val="22"/>
        <w:szCs w:val="22"/>
      </w:rPr>
      <w:tab/>
    </w:r>
    <w:r w:rsidRPr="00763DCF">
      <w:rPr>
        <w:rFonts w:ascii="Times New Roman" w:hAnsi="Times New Roman" w:cs="Times New Roman"/>
        <w:i/>
        <w:iCs/>
        <w:color w:val="auto"/>
        <w:sz w:val="22"/>
        <w:szCs w:val="22"/>
        <w:lang w:val="en-IN"/>
      </w:rPr>
      <w:t>Aged Persons Hostels Amendment</w:t>
    </w:r>
    <w:r w:rsidRPr="00763DCF">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0FF72" w14:textId="77777777" w:rsidR="00763DCF" w:rsidRPr="00763DCF" w:rsidRDefault="00763DCF" w:rsidP="00763DCF">
    <w:pPr>
      <w:pStyle w:val="Header"/>
      <w:tabs>
        <w:tab w:val="clear" w:pos="4513"/>
        <w:tab w:val="clear" w:pos="9026"/>
        <w:tab w:val="center" w:pos="5040"/>
        <w:tab w:val="right" w:pos="9720"/>
      </w:tabs>
      <w:rPr>
        <w:rFonts w:ascii="Times New Roman" w:hAnsi="Times New Roman" w:cs="Times New Roman"/>
        <w:sz w:val="22"/>
        <w:szCs w:val="22"/>
      </w:rPr>
    </w:pPr>
    <w:r w:rsidRPr="00763DCF">
      <w:rPr>
        <w:rFonts w:ascii="Times New Roman" w:hAnsi="Times New Roman" w:cs="Times New Roman"/>
        <w:sz w:val="22"/>
        <w:szCs w:val="22"/>
      </w:rPr>
      <w:t>1976</w:t>
    </w:r>
    <w:r w:rsidRPr="00763DCF">
      <w:rPr>
        <w:rFonts w:ascii="Times New Roman" w:hAnsi="Times New Roman" w:cs="Times New Roman"/>
        <w:sz w:val="22"/>
        <w:szCs w:val="22"/>
      </w:rPr>
      <w:tab/>
    </w:r>
    <w:r w:rsidRPr="00763DCF">
      <w:rPr>
        <w:rFonts w:ascii="Times New Roman" w:hAnsi="Times New Roman" w:cs="Times New Roman"/>
        <w:i/>
        <w:iCs/>
        <w:color w:val="auto"/>
        <w:sz w:val="22"/>
        <w:szCs w:val="22"/>
        <w:lang w:val="en-IN"/>
      </w:rPr>
      <w:t>Aged Persons Hostels Amendment</w:t>
    </w:r>
    <w:r w:rsidRPr="00763DCF">
      <w:rPr>
        <w:rFonts w:ascii="Times New Roman" w:hAnsi="Times New Roman" w:cs="Times New Roman"/>
        <w:i/>
        <w:iCs/>
        <w:color w:val="auto"/>
        <w:sz w:val="22"/>
        <w:szCs w:val="22"/>
        <w:lang w:val="en-IN"/>
      </w:rPr>
      <w:tab/>
    </w:r>
    <w:r w:rsidRPr="00763DCF">
      <w:rPr>
        <w:rFonts w:ascii="Times New Roman" w:hAnsi="Times New Roman" w:cs="Times New Roman"/>
        <w:iCs/>
        <w:color w:val="auto"/>
        <w:sz w:val="22"/>
        <w:szCs w:val="22"/>
        <w:lang w:val="en-IN"/>
      </w:rPr>
      <w:t>No. 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1D59"/>
    <w:multiLevelType w:val="multilevel"/>
    <w:tmpl w:val="256C1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53485"/>
    <w:multiLevelType w:val="multilevel"/>
    <w:tmpl w:val="18CCA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75A87"/>
    <w:multiLevelType w:val="multilevel"/>
    <w:tmpl w:val="846A5D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30848"/>
    <w:multiLevelType w:val="multilevel"/>
    <w:tmpl w:val="C0EA7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93721"/>
    <w:multiLevelType w:val="multilevel"/>
    <w:tmpl w:val="5FE0A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D1195"/>
    <w:rsid w:val="000A163F"/>
    <w:rsid w:val="000C45D0"/>
    <w:rsid w:val="000D3C9B"/>
    <w:rsid w:val="0016425E"/>
    <w:rsid w:val="00247E51"/>
    <w:rsid w:val="002D5B38"/>
    <w:rsid w:val="0032100F"/>
    <w:rsid w:val="003540D6"/>
    <w:rsid w:val="00384DE2"/>
    <w:rsid w:val="003943CC"/>
    <w:rsid w:val="00493ED7"/>
    <w:rsid w:val="004B1C2C"/>
    <w:rsid w:val="00564CDE"/>
    <w:rsid w:val="005A16BB"/>
    <w:rsid w:val="005B643B"/>
    <w:rsid w:val="00615532"/>
    <w:rsid w:val="0069079E"/>
    <w:rsid w:val="006E0D2F"/>
    <w:rsid w:val="006E674E"/>
    <w:rsid w:val="00763DCF"/>
    <w:rsid w:val="007F3E29"/>
    <w:rsid w:val="00860922"/>
    <w:rsid w:val="00882C93"/>
    <w:rsid w:val="008D1195"/>
    <w:rsid w:val="00982F94"/>
    <w:rsid w:val="009B11C1"/>
    <w:rsid w:val="009D7102"/>
    <w:rsid w:val="00A071AE"/>
    <w:rsid w:val="00A13552"/>
    <w:rsid w:val="00A42C74"/>
    <w:rsid w:val="00A52A0A"/>
    <w:rsid w:val="00A55181"/>
    <w:rsid w:val="00A6548A"/>
    <w:rsid w:val="00B54189"/>
    <w:rsid w:val="00BE00DF"/>
    <w:rsid w:val="00C13531"/>
    <w:rsid w:val="00C35B42"/>
    <w:rsid w:val="00C852A3"/>
    <w:rsid w:val="00CE2D07"/>
    <w:rsid w:val="00D76C5C"/>
    <w:rsid w:val="00D802D5"/>
    <w:rsid w:val="00DB0753"/>
    <w:rsid w:val="00E376F4"/>
    <w:rsid w:val="00EB3771"/>
    <w:rsid w:val="00EC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18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33">
    <w:name w:val="Body text (3)3"/>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17"/>
      <w:szCs w:val="17"/>
      <w:u w:val="none"/>
    </w:rPr>
  </w:style>
  <w:style w:type="character" w:customStyle="1" w:styleId="Bodytext2">
    <w:name w:val="Body text (2)_"/>
    <w:basedOn w:val="DefaultParagraphFont"/>
    <w:link w:val="Bodytext20"/>
    <w:rPr>
      <w:rFonts w:ascii="CordiaUPC" w:eastAsia="CordiaUPC" w:hAnsi="CordiaUPC" w:cs="CordiaUPC"/>
      <w:b/>
      <w:bCs/>
      <w:i w:val="0"/>
      <w:iCs w:val="0"/>
      <w:smallCaps w:val="0"/>
      <w:strike w:val="0"/>
      <w:sz w:val="41"/>
      <w:szCs w:val="41"/>
      <w:u w:val="none"/>
    </w:rPr>
  </w:style>
  <w:style w:type="character" w:customStyle="1" w:styleId="Heading1">
    <w:name w:val="Heading #1_"/>
    <w:basedOn w:val="DefaultParagraphFont"/>
    <w:link w:val="Heading10"/>
    <w:rPr>
      <w:rFonts w:ascii="CordiaUPC" w:eastAsia="CordiaUPC" w:hAnsi="CordiaUPC" w:cs="CordiaUPC"/>
      <w:b/>
      <w:bCs/>
      <w:i w:val="0"/>
      <w:iCs w:val="0"/>
      <w:smallCaps w:val="0"/>
      <w:strike w:val="0"/>
      <w:sz w:val="41"/>
      <w:szCs w:val="41"/>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CordiaUPC">
    <w:name w:val="Body text + CordiaUPC"/>
    <w:aliases w:val="25 pt,Bold"/>
    <w:basedOn w:val="Bodytext"/>
    <w:rPr>
      <w:rFonts w:ascii="CordiaUPC" w:eastAsia="CordiaUPC" w:hAnsi="CordiaUPC" w:cs="CordiaUPC"/>
      <w:b/>
      <w:bCs/>
      <w:i w:val="0"/>
      <w:iCs w:val="0"/>
      <w:smallCaps w:val="0"/>
      <w:strike w:val="0"/>
      <w:color w:val="000000"/>
      <w:spacing w:val="0"/>
      <w:w w:val="100"/>
      <w:position w:val="0"/>
      <w:sz w:val="50"/>
      <w:szCs w:val="50"/>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311pt">
    <w:name w:val="Body text (3) + 11 pt"/>
    <w:basedOn w:val="Bodytext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2">
    <w:name w:val="Body text (3)2"/>
    <w:basedOn w:val="Bodytext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17"/>
      <w:szCs w:val="17"/>
      <w:u w:val="none"/>
    </w:rPr>
  </w:style>
  <w:style w:type="character" w:customStyle="1" w:styleId="Bodytext495pt">
    <w:name w:val="Body text (4) + 9.5 pt"/>
    <w:aliases w:val="Not Bold"/>
    <w:basedOn w:val="Bodytext4"/>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paragraph" w:customStyle="1" w:styleId="Bodytext31">
    <w:name w:val="Body text (3)1"/>
    <w:basedOn w:val="Normal"/>
    <w:link w:val="Bodytext30"/>
    <w:pPr>
      <w:spacing w:line="202" w:lineRule="exact"/>
      <w:jc w:val="both"/>
    </w:pPr>
    <w:rPr>
      <w:rFonts w:ascii="Times New Roman" w:eastAsia="Times New Roman" w:hAnsi="Times New Roman" w:cs="Times New Roman"/>
      <w:sz w:val="16"/>
      <w:szCs w:val="16"/>
    </w:rPr>
  </w:style>
  <w:style w:type="paragraph" w:customStyle="1" w:styleId="Bodytext80">
    <w:name w:val="Body text (8)"/>
    <w:basedOn w:val="Normal"/>
    <w:link w:val="Bodytext8"/>
    <w:pPr>
      <w:spacing w:line="0" w:lineRule="atLeast"/>
    </w:pPr>
    <w:rPr>
      <w:rFonts w:ascii="Times New Roman" w:eastAsia="Times New Roman" w:hAnsi="Times New Roman" w:cs="Times New Roman"/>
      <w:b/>
      <w:bCs/>
      <w:sz w:val="17"/>
      <w:szCs w:val="17"/>
    </w:rPr>
  </w:style>
  <w:style w:type="paragraph" w:customStyle="1" w:styleId="Bodytext20">
    <w:name w:val="Body text (2)"/>
    <w:basedOn w:val="Normal"/>
    <w:link w:val="Bodytext2"/>
    <w:pPr>
      <w:spacing w:line="0" w:lineRule="atLeast"/>
    </w:pPr>
    <w:rPr>
      <w:rFonts w:ascii="CordiaUPC" w:eastAsia="CordiaUPC" w:hAnsi="CordiaUPC" w:cs="CordiaUPC"/>
      <w:b/>
      <w:bCs/>
      <w:sz w:val="41"/>
      <w:szCs w:val="41"/>
    </w:rPr>
  </w:style>
  <w:style w:type="paragraph" w:customStyle="1" w:styleId="Heading10">
    <w:name w:val="Heading #1"/>
    <w:basedOn w:val="Normal"/>
    <w:link w:val="Heading1"/>
    <w:pPr>
      <w:spacing w:line="0" w:lineRule="atLeast"/>
      <w:outlineLvl w:val="0"/>
    </w:pPr>
    <w:rPr>
      <w:rFonts w:ascii="CordiaUPC" w:eastAsia="CordiaUPC" w:hAnsi="CordiaUPC" w:cs="CordiaUPC"/>
      <w:b/>
      <w:bCs/>
      <w:sz w:val="41"/>
      <w:szCs w:val="41"/>
    </w:rPr>
  </w:style>
  <w:style w:type="paragraph" w:customStyle="1" w:styleId="BodyText1">
    <w:name w:val="Body Text1"/>
    <w:basedOn w:val="Normal"/>
    <w:link w:val="Bodytext"/>
    <w:pPr>
      <w:spacing w:line="0" w:lineRule="atLeast"/>
      <w:ind w:hanging="460"/>
    </w:pPr>
    <w:rPr>
      <w:rFonts w:ascii="Times New Roman" w:eastAsia="Times New Roman" w:hAnsi="Times New Roman" w:cs="Times New Roman"/>
      <w:sz w:val="22"/>
      <w:szCs w:val="22"/>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i/>
      <w:iCs/>
      <w:sz w:val="22"/>
      <w:szCs w:val="22"/>
    </w:rPr>
  </w:style>
  <w:style w:type="paragraph" w:customStyle="1" w:styleId="Bodytext40">
    <w:name w:val="Body text (4)"/>
    <w:basedOn w:val="Normal"/>
    <w:link w:val="Bodytext4"/>
    <w:pPr>
      <w:spacing w:line="0" w:lineRule="atLeast"/>
    </w:pPr>
    <w:rPr>
      <w:rFonts w:ascii="Times New Roman" w:eastAsia="Times New Roman" w:hAnsi="Times New Roman" w:cs="Times New Roman"/>
      <w:b/>
      <w:bCs/>
      <w:sz w:val="17"/>
      <w:szCs w:val="17"/>
    </w:rPr>
  </w:style>
  <w:style w:type="table" w:styleId="TableGrid">
    <w:name w:val="Table Grid"/>
    <w:basedOn w:val="TableNormal"/>
    <w:uiPriority w:val="59"/>
    <w:rsid w:val="004B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DCF"/>
    <w:pPr>
      <w:tabs>
        <w:tab w:val="center" w:pos="4513"/>
        <w:tab w:val="right" w:pos="9026"/>
      </w:tabs>
    </w:pPr>
  </w:style>
  <w:style w:type="character" w:customStyle="1" w:styleId="HeaderChar">
    <w:name w:val="Header Char"/>
    <w:basedOn w:val="DefaultParagraphFont"/>
    <w:link w:val="Header"/>
    <w:uiPriority w:val="99"/>
    <w:rsid w:val="00763DCF"/>
    <w:rPr>
      <w:color w:val="000000"/>
    </w:rPr>
  </w:style>
  <w:style w:type="paragraph" w:styleId="Footer">
    <w:name w:val="footer"/>
    <w:basedOn w:val="Normal"/>
    <w:link w:val="FooterChar"/>
    <w:uiPriority w:val="99"/>
    <w:unhideWhenUsed/>
    <w:rsid w:val="00763DCF"/>
    <w:pPr>
      <w:tabs>
        <w:tab w:val="center" w:pos="4513"/>
        <w:tab w:val="right" w:pos="9026"/>
      </w:tabs>
    </w:pPr>
  </w:style>
  <w:style w:type="character" w:customStyle="1" w:styleId="FooterChar">
    <w:name w:val="Footer Char"/>
    <w:basedOn w:val="DefaultParagraphFont"/>
    <w:link w:val="Footer"/>
    <w:uiPriority w:val="99"/>
    <w:rsid w:val="00763DCF"/>
    <w:rPr>
      <w:color w:val="000000"/>
    </w:rPr>
  </w:style>
  <w:style w:type="character" w:styleId="CommentReference">
    <w:name w:val="annotation reference"/>
    <w:basedOn w:val="DefaultParagraphFont"/>
    <w:uiPriority w:val="99"/>
    <w:semiHidden/>
    <w:unhideWhenUsed/>
    <w:rsid w:val="00564CDE"/>
    <w:rPr>
      <w:sz w:val="16"/>
      <w:szCs w:val="16"/>
    </w:rPr>
  </w:style>
  <w:style w:type="paragraph" w:styleId="CommentText">
    <w:name w:val="annotation text"/>
    <w:basedOn w:val="Normal"/>
    <w:link w:val="CommentTextChar"/>
    <w:uiPriority w:val="99"/>
    <w:semiHidden/>
    <w:unhideWhenUsed/>
    <w:rsid w:val="00564CDE"/>
    <w:rPr>
      <w:sz w:val="20"/>
      <w:szCs w:val="20"/>
    </w:rPr>
  </w:style>
  <w:style w:type="character" w:customStyle="1" w:styleId="CommentTextChar">
    <w:name w:val="Comment Text Char"/>
    <w:basedOn w:val="DefaultParagraphFont"/>
    <w:link w:val="CommentText"/>
    <w:uiPriority w:val="99"/>
    <w:semiHidden/>
    <w:rsid w:val="00564CDE"/>
    <w:rPr>
      <w:color w:val="000000"/>
      <w:sz w:val="20"/>
      <w:szCs w:val="20"/>
    </w:rPr>
  </w:style>
  <w:style w:type="paragraph" w:styleId="CommentSubject">
    <w:name w:val="annotation subject"/>
    <w:basedOn w:val="CommentText"/>
    <w:next w:val="CommentText"/>
    <w:link w:val="CommentSubjectChar"/>
    <w:uiPriority w:val="99"/>
    <w:semiHidden/>
    <w:unhideWhenUsed/>
    <w:rsid w:val="00564CDE"/>
    <w:rPr>
      <w:b/>
      <w:bCs/>
    </w:rPr>
  </w:style>
  <w:style w:type="character" w:customStyle="1" w:styleId="CommentSubjectChar">
    <w:name w:val="Comment Subject Char"/>
    <w:basedOn w:val="CommentTextChar"/>
    <w:link w:val="CommentSubject"/>
    <w:uiPriority w:val="99"/>
    <w:semiHidden/>
    <w:rsid w:val="00564CDE"/>
    <w:rPr>
      <w:b/>
      <w:bCs/>
      <w:color w:val="000000"/>
      <w:sz w:val="20"/>
      <w:szCs w:val="20"/>
    </w:rPr>
  </w:style>
  <w:style w:type="paragraph" w:styleId="BalloonText">
    <w:name w:val="Balloon Text"/>
    <w:basedOn w:val="Normal"/>
    <w:link w:val="BalloonTextChar"/>
    <w:uiPriority w:val="99"/>
    <w:semiHidden/>
    <w:unhideWhenUsed/>
    <w:rsid w:val="00564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DE"/>
    <w:rPr>
      <w:rFonts w:ascii="Segoe UI" w:hAnsi="Segoe UI" w:cs="Segoe UI"/>
      <w:color w:val="000000"/>
      <w:sz w:val="18"/>
      <w:szCs w:val="18"/>
    </w:rPr>
  </w:style>
  <w:style w:type="paragraph" w:styleId="Revision">
    <w:name w:val="Revision"/>
    <w:hidden/>
    <w:uiPriority w:val="99"/>
    <w:semiHidden/>
    <w:rsid w:val="000A163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5CC2E-7E37-4C32-8A39-F82CB7DA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2018-09-30T04:04:00Z</dcterms:created>
  <dcterms:modified xsi:type="dcterms:W3CDTF">2019-08-09T06:57:00Z</dcterms:modified>
</cp:coreProperties>
</file>