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FB528" w14:textId="77777777" w:rsidR="008C76C7" w:rsidRPr="00320EB5" w:rsidRDefault="003311DD" w:rsidP="00320EB5">
      <w:pPr>
        <w:jc w:val="center"/>
        <w:rPr>
          <w:rFonts w:ascii="Times New Roman" w:hAnsi="Times New Roman" w:cs="Times New Roman"/>
          <w:b/>
          <w:sz w:val="36"/>
          <w:szCs w:val="36"/>
        </w:rPr>
      </w:pPr>
      <w:bookmarkStart w:id="0" w:name="bookmark0"/>
      <w:r w:rsidRPr="00320EB5">
        <w:rPr>
          <w:rFonts w:ascii="Times New Roman" w:hAnsi="Times New Roman" w:cs="Times New Roman"/>
          <w:b/>
          <w:sz w:val="36"/>
          <w:szCs w:val="36"/>
        </w:rPr>
        <w:t>TRADE PRACTICES AMENDMENT ACT 1976</w:t>
      </w:r>
      <w:bookmarkEnd w:id="0"/>
    </w:p>
    <w:p w14:paraId="0C8589A4" w14:textId="77777777" w:rsidR="00320EB5" w:rsidRPr="00320EB5" w:rsidRDefault="00320EB5" w:rsidP="00320EB5">
      <w:pPr>
        <w:jc w:val="center"/>
        <w:rPr>
          <w:rFonts w:ascii="Times New Roman" w:hAnsi="Times New Roman" w:cs="Times New Roman"/>
          <w:sz w:val="36"/>
          <w:szCs w:val="36"/>
        </w:rPr>
      </w:pPr>
    </w:p>
    <w:p w14:paraId="79FDFE57" w14:textId="77777777" w:rsidR="008C76C7" w:rsidRDefault="003311DD" w:rsidP="00320EB5">
      <w:pPr>
        <w:jc w:val="center"/>
        <w:rPr>
          <w:rFonts w:ascii="Times New Roman" w:hAnsi="Times New Roman" w:cs="Times New Roman"/>
          <w:b/>
          <w:sz w:val="28"/>
          <w:szCs w:val="28"/>
        </w:rPr>
      </w:pPr>
      <w:bookmarkStart w:id="1" w:name="bookmark1"/>
      <w:r w:rsidRPr="00320EB5">
        <w:rPr>
          <w:rFonts w:ascii="Times New Roman" w:hAnsi="Times New Roman" w:cs="Times New Roman"/>
          <w:b/>
          <w:sz w:val="28"/>
          <w:szCs w:val="28"/>
        </w:rPr>
        <w:t>No. 88 of 1976</w:t>
      </w:r>
      <w:bookmarkEnd w:id="1"/>
    </w:p>
    <w:p w14:paraId="1D4EA7F4" w14:textId="77777777" w:rsidR="00320EB5" w:rsidRPr="00320EB5" w:rsidRDefault="00320EB5" w:rsidP="00320EB5">
      <w:pPr>
        <w:jc w:val="center"/>
        <w:rPr>
          <w:rFonts w:ascii="Times New Roman" w:hAnsi="Times New Roman" w:cs="Times New Roman"/>
          <w:b/>
          <w:sz w:val="28"/>
          <w:szCs w:val="28"/>
        </w:rPr>
      </w:pPr>
    </w:p>
    <w:p w14:paraId="6D8DF2A3" w14:textId="77777777" w:rsidR="008C76C7" w:rsidRDefault="003311DD" w:rsidP="00320EB5">
      <w:pPr>
        <w:pStyle w:val="BodyText7"/>
        <w:spacing w:line="240" w:lineRule="auto"/>
        <w:ind w:firstLine="0"/>
        <w:jc w:val="center"/>
        <w:rPr>
          <w:rStyle w:val="BodyText3"/>
          <w:sz w:val="24"/>
          <w:szCs w:val="24"/>
        </w:rPr>
      </w:pPr>
      <w:r w:rsidRPr="00320EB5">
        <w:rPr>
          <w:rStyle w:val="BodyText3"/>
          <w:sz w:val="24"/>
          <w:szCs w:val="24"/>
        </w:rPr>
        <w:t>An Act relating to Trade Practices.</w:t>
      </w:r>
    </w:p>
    <w:p w14:paraId="601DE25D" w14:textId="77777777" w:rsidR="00320EB5" w:rsidRPr="00320EB5" w:rsidRDefault="00320EB5" w:rsidP="00320EB5">
      <w:pPr>
        <w:pStyle w:val="BodyText7"/>
        <w:spacing w:line="240" w:lineRule="auto"/>
        <w:ind w:firstLine="0"/>
        <w:jc w:val="center"/>
        <w:rPr>
          <w:sz w:val="24"/>
          <w:szCs w:val="24"/>
        </w:rPr>
      </w:pPr>
    </w:p>
    <w:p w14:paraId="7581F0A9" w14:textId="77777777" w:rsidR="008C76C7" w:rsidRPr="00320EB5" w:rsidRDefault="003311DD" w:rsidP="00320EB5">
      <w:pPr>
        <w:pStyle w:val="BodyText7"/>
        <w:spacing w:line="240" w:lineRule="auto"/>
        <w:ind w:firstLine="274"/>
        <w:jc w:val="both"/>
        <w:rPr>
          <w:sz w:val="24"/>
          <w:szCs w:val="24"/>
        </w:rPr>
      </w:pPr>
      <w:r w:rsidRPr="00320EB5">
        <w:rPr>
          <w:rStyle w:val="BodyText3"/>
          <w:sz w:val="24"/>
          <w:szCs w:val="24"/>
        </w:rPr>
        <w:t>BE IT ENACTED by the Queen, and the Senate and House of Representatives of the Commonwealth of Australia, as follows:—</w:t>
      </w:r>
    </w:p>
    <w:p w14:paraId="14FA6C4C" w14:textId="77777777" w:rsidR="008C76C7" w:rsidRPr="00320EB5" w:rsidRDefault="003311DD" w:rsidP="00320EB5">
      <w:pPr>
        <w:pStyle w:val="Bodytext25"/>
        <w:spacing w:before="120" w:after="60" w:line="240" w:lineRule="auto"/>
        <w:ind w:firstLine="0"/>
        <w:rPr>
          <w:b/>
          <w:sz w:val="20"/>
          <w:szCs w:val="20"/>
        </w:rPr>
      </w:pPr>
      <w:r w:rsidRPr="00320EB5">
        <w:rPr>
          <w:rStyle w:val="Bodytext2"/>
          <w:b/>
          <w:sz w:val="20"/>
          <w:szCs w:val="20"/>
        </w:rPr>
        <w:t>Short title and citation.</w:t>
      </w:r>
    </w:p>
    <w:p w14:paraId="66195E79" w14:textId="062AE145" w:rsidR="008C76C7" w:rsidRPr="00320EB5" w:rsidRDefault="00320EB5" w:rsidP="00320EB5">
      <w:pPr>
        <w:pStyle w:val="BodyText7"/>
        <w:spacing w:after="120" w:line="240" w:lineRule="auto"/>
        <w:ind w:firstLine="274"/>
        <w:jc w:val="both"/>
        <w:rPr>
          <w:sz w:val="24"/>
          <w:szCs w:val="24"/>
        </w:rPr>
      </w:pPr>
      <w:r w:rsidRPr="00320EB5">
        <w:rPr>
          <w:rStyle w:val="BodyText3"/>
          <w:b/>
          <w:sz w:val="24"/>
          <w:szCs w:val="24"/>
        </w:rPr>
        <w:t>1.</w:t>
      </w:r>
      <w:r w:rsidR="00EE7D58">
        <w:rPr>
          <w:rStyle w:val="BodyText3"/>
          <w:b/>
          <w:sz w:val="24"/>
          <w:szCs w:val="24"/>
        </w:rPr>
        <w:t xml:space="preserve"> </w:t>
      </w:r>
      <w:r w:rsidR="003311DD" w:rsidRPr="00320EB5">
        <w:rPr>
          <w:rStyle w:val="BodyText3"/>
          <w:sz w:val="24"/>
          <w:szCs w:val="24"/>
        </w:rPr>
        <w:t xml:space="preserve">(1) This Act may be cited as the </w:t>
      </w:r>
      <w:r w:rsidR="003311DD" w:rsidRPr="00320EB5">
        <w:rPr>
          <w:rStyle w:val="BodytextItalic"/>
          <w:sz w:val="24"/>
          <w:szCs w:val="24"/>
        </w:rPr>
        <w:t xml:space="preserve">Trade Practices Amendment Act </w:t>
      </w:r>
      <w:r w:rsidR="003311DD" w:rsidRPr="00320EB5">
        <w:rPr>
          <w:rStyle w:val="BodyText3"/>
          <w:sz w:val="24"/>
          <w:szCs w:val="24"/>
        </w:rPr>
        <w:t>1976.</w:t>
      </w:r>
    </w:p>
    <w:p w14:paraId="764A3101" w14:textId="3610D149" w:rsidR="008C76C7" w:rsidRPr="00320EB5" w:rsidRDefault="00F23988" w:rsidP="00320EB5">
      <w:pPr>
        <w:pStyle w:val="BodyText7"/>
        <w:spacing w:after="120" w:line="240" w:lineRule="auto"/>
        <w:ind w:firstLine="274"/>
        <w:jc w:val="both"/>
        <w:rPr>
          <w:sz w:val="24"/>
          <w:szCs w:val="24"/>
        </w:rPr>
      </w:pPr>
      <w:r w:rsidRPr="00320EB5">
        <w:rPr>
          <w:rStyle w:val="BodyText3"/>
          <w:sz w:val="24"/>
          <w:szCs w:val="24"/>
        </w:rPr>
        <w:t xml:space="preserve">(2) </w:t>
      </w:r>
      <w:r w:rsidR="003311DD" w:rsidRPr="00320EB5">
        <w:rPr>
          <w:rStyle w:val="BodyText3"/>
          <w:sz w:val="24"/>
          <w:szCs w:val="24"/>
        </w:rPr>
        <w:t xml:space="preserve">The </w:t>
      </w:r>
      <w:r w:rsidR="003311DD" w:rsidRPr="00320EB5">
        <w:rPr>
          <w:rStyle w:val="BodytextItalic"/>
          <w:sz w:val="24"/>
          <w:szCs w:val="24"/>
        </w:rPr>
        <w:t>Trade Practices Act</w:t>
      </w:r>
      <w:r w:rsidR="003311DD" w:rsidRPr="00320EB5">
        <w:rPr>
          <w:rStyle w:val="BodyText3"/>
          <w:sz w:val="24"/>
          <w:szCs w:val="24"/>
        </w:rPr>
        <w:t xml:space="preserve"> 1974-1975 is in this Act referred to as the Principal Act.</w:t>
      </w:r>
    </w:p>
    <w:p w14:paraId="1746E688" w14:textId="77777777" w:rsidR="008C76C7" w:rsidRPr="00320EB5" w:rsidRDefault="00F23988" w:rsidP="00320EB5">
      <w:pPr>
        <w:pStyle w:val="BodyText7"/>
        <w:spacing w:line="240" w:lineRule="auto"/>
        <w:ind w:firstLine="274"/>
        <w:jc w:val="both"/>
        <w:rPr>
          <w:sz w:val="24"/>
          <w:szCs w:val="24"/>
        </w:rPr>
      </w:pPr>
      <w:r w:rsidRPr="00320EB5">
        <w:rPr>
          <w:rStyle w:val="BodyText3"/>
          <w:sz w:val="24"/>
          <w:szCs w:val="24"/>
        </w:rPr>
        <w:t xml:space="preserve">(3) </w:t>
      </w:r>
      <w:r w:rsidR="003311DD" w:rsidRPr="00320EB5">
        <w:rPr>
          <w:rStyle w:val="BodyText3"/>
          <w:sz w:val="24"/>
          <w:szCs w:val="24"/>
        </w:rPr>
        <w:t xml:space="preserve">The Principal Act, as amended by this Act, may be cited as the </w:t>
      </w:r>
      <w:r w:rsidR="003311DD" w:rsidRPr="00320EB5">
        <w:rPr>
          <w:rStyle w:val="BodytextItalic"/>
          <w:sz w:val="24"/>
          <w:szCs w:val="24"/>
        </w:rPr>
        <w:t>Trade Practices Act</w:t>
      </w:r>
      <w:r w:rsidR="003311DD" w:rsidRPr="00320EB5">
        <w:rPr>
          <w:rStyle w:val="BodyText3"/>
          <w:sz w:val="24"/>
          <w:szCs w:val="24"/>
        </w:rPr>
        <w:t xml:space="preserve"> 1974-1976.</w:t>
      </w:r>
    </w:p>
    <w:p w14:paraId="1606A9EE" w14:textId="77777777" w:rsidR="008C76C7" w:rsidRPr="00320EB5" w:rsidRDefault="003311DD" w:rsidP="00320EB5">
      <w:pPr>
        <w:pStyle w:val="Bodytext25"/>
        <w:spacing w:before="120" w:after="60" w:line="240" w:lineRule="auto"/>
        <w:ind w:firstLine="0"/>
        <w:rPr>
          <w:b/>
          <w:sz w:val="20"/>
          <w:szCs w:val="20"/>
        </w:rPr>
      </w:pPr>
      <w:r w:rsidRPr="00320EB5">
        <w:rPr>
          <w:rStyle w:val="Bodytext2"/>
          <w:b/>
          <w:sz w:val="20"/>
          <w:szCs w:val="20"/>
        </w:rPr>
        <w:t>Commencement.</w:t>
      </w:r>
    </w:p>
    <w:p w14:paraId="18B1BD9F" w14:textId="3E39A05B" w:rsidR="008C76C7" w:rsidRPr="00320EB5" w:rsidRDefault="00320EB5" w:rsidP="00320EB5">
      <w:pPr>
        <w:pStyle w:val="BodyText7"/>
        <w:tabs>
          <w:tab w:val="left" w:pos="630"/>
        </w:tabs>
        <w:spacing w:line="240" w:lineRule="auto"/>
        <w:ind w:firstLine="270"/>
        <w:jc w:val="both"/>
        <w:rPr>
          <w:sz w:val="24"/>
          <w:szCs w:val="24"/>
        </w:rPr>
      </w:pPr>
      <w:r>
        <w:rPr>
          <w:rStyle w:val="BodyText3"/>
          <w:b/>
          <w:sz w:val="24"/>
          <w:szCs w:val="24"/>
        </w:rPr>
        <w:t>2.</w:t>
      </w:r>
      <w:r>
        <w:rPr>
          <w:rStyle w:val="BodyText3"/>
          <w:b/>
          <w:sz w:val="24"/>
          <w:szCs w:val="24"/>
        </w:rPr>
        <w:tab/>
      </w:r>
      <w:bookmarkStart w:id="2" w:name="_GoBack"/>
      <w:r w:rsidR="003311DD" w:rsidRPr="00320EB5">
        <w:rPr>
          <w:rStyle w:val="BodyText3"/>
          <w:sz w:val="24"/>
          <w:szCs w:val="24"/>
        </w:rPr>
        <w:t>This Act shall come into operation on the day on which it receives the Royal Assent but the amendments made by paragraph 3(a) and by sections 8 and 17 shall be deemed to have had effect at all times on and from 1 October 1974.</w:t>
      </w:r>
      <w:bookmarkEnd w:id="2"/>
    </w:p>
    <w:p w14:paraId="75C42C0A" w14:textId="77777777" w:rsidR="00F23988" w:rsidRPr="00320EB5" w:rsidRDefault="00F23988" w:rsidP="00320EB5">
      <w:pPr>
        <w:pStyle w:val="Bodytext25"/>
        <w:spacing w:before="120" w:after="60" w:line="240" w:lineRule="auto"/>
        <w:ind w:firstLine="0"/>
        <w:rPr>
          <w:b/>
          <w:sz w:val="20"/>
          <w:szCs w:val="20"/>
        </w:rPr>
      </w:pPr>
      <w:r w:rsidRPr="00320EB5">
        <w:rPr>
          <w:rStyle w:val="Bodytext2"/>
          <w:b/>
          <w:sz w:val="20"/>
          <w:szCs w:val="20"/>
        </w:rPr>
        <w:t>Interpretation.</w:t>
      </w:r>
    </w:p>
    <w:p w14:paraId="01DA6D14" w14:textId="77777777" w:rsidR="008C76C7" w:rsidRPr="00320EB5" w:rsidRDefault="00F23988" w:rsidP="00320EB5">
      <w:pPr>
        <w:pStyle w:val="BodyText7"/>
        <w:tabs>
          <w:tab w:val="left" w:pos="630"/>
        </w:tabs>
        <w:spacing w:after="120" w:line="240" w:lineRule="auto"/>
        <w:ind w:firstLine="274"/>
        <w:jc w:val="both"/>
        <w:rPr>
          <w:sz w:val="24"/>
          <w:szCs w:val="24"/>
        </w:rPr>
      </w:pPr>
      <w:r w:rsidRPr="00320EB5">
        <w:rPr>
          <w:rStyle w:val="BodyText3"/>
          <w:b/>
          <w:sz w:val="24"/>
          <w:szCs w:val="24"/>
        </w:rPr>
        <w:t>3.</w:t>
      </w:r>
      <w:r w:rsidR="00320EB5">
        <w:rPr>
          <w:rStyle w:val="BodyText3"/>
          <w:sz w:val="24"/>
          <w:szCs w:val="24"/>
        </w:rPr>
        <w:tab/>
      </w:r>
      <w:r w:rsidR="003311DD" w:rsidRPr="00320EB5">
        <w:rPr>
          <w:rStyle w:val="BodyText3"/>
          <w:sz w:val="24"/>
          <w:szCs w:val="24"/>
        </w:rPr>
        <w:t>Section 4 of the Principal Act is amended—</w:t>
      </w:r>
    </w:p>
    <w:p w14:paraId="33974C0B" w14:textId="77777777" w:rsidR="008C76C7" w:rsidRPr="00320EB5" w:rsidRDefault="00F23988" w:rsidP="00320EB5">
      <w:pPr>
        <w:pStyle w:val="BodyText7"/>
        <w:spacing w:after="120" w:line="240" w:lineRule="auto"/>
        <w:ind w:left="634" w:hanging="360"/>
        <w:jc w:val="both"/>
        <w:rPr>
          <w:sz w:val="24"/>
          <w:szCs w:val="24"/>
        </w:rPr>
      </w:pPr>
      <w:r w:rsidRPr="00320EB5">
        <w:rPr>
          <w:rStyle w:val="BodyText3"/>
          <w:sz w:val="24"/>
          <w:szCs w:val="24"/>
        </w:rPr>
        <w:t xml:space="preserve">(a) </w:t>
      </w:r>
      <w:r w:rsidR="003311DD" w:rsidRPr="00320EB5">
        <w:rPr>
          <w:rStyle w:val="BodyText3"/>
          <w:sz w:val="24"/>
          <w:szCs w:val="24"/>
        </w:rPr>
        <w:t>by omitting from sub-section (1) the definition of “Court” and substituting the following definition:—</w:t>
      </w:r>
    </w:p>
    <w:p w14:paraId="4E4D092E" w14:textId="43C99DCC" w:rsidR="008C76C7" w:rsidRPr="00320EB5" w:rsidRDefault="003311DD" w:rsidP="00320EB5">
      <w:pPr>
        <w:pStyle w:val="BodyText7"/>
        <w:spacing w:line="240" w:lineRule="auto"/>
        <w:ind w:firstLine="810"/>
        <w:jc w:val="both"/>
        <w:rPr>
          <w:sz w:val="24"/>
          <w:szCs w:val="24"/>
        </w:rPr>
      </w:pPr>
      <w:r w:rsidRPr="00320EB5">
        <w:rPr>
          <w:rStyle w:val="BodyText3"/>
          <w:sz w:val="24"/>
          <w:szCs w:val="24"/>
        </w:rPr>
        <w:t>“‘Court’ means the Australian Industrial Court;</w:t>
      </w:r>
    </w:p>
    <w:p w14:paraId="7C66099E" w14:textId="77777777" w:rsidR="008C76C7" w:rsidRPr="00320EB5" w:rsidRDefault="00F23988" w:rsidP="00320EB5">
      <w:pPr>
        <w:pStyle w:val="BodyText7"/>
        <w:spacing w:after="120" w:line="240" w:lineRule="auto"/>
        <w:ind w:firstLine="274"/>
        <w:jc w:val="both"/>
        <w:rPr>
          <w:sz w:val="24"/>
          <w:szCs w:val="24"/>
        </w:rPr>
      </w:pPr>
      <w:r w:rsidRPr="00320EB5">
        <w:rPr>
          <w:rStyle w:val="BodyText3"/>
          <w:sz w:val="24"/>
          <w:szCs w:val="24"/>
        </w:rPr>
        <w:t xml:space="preserve">(b) </w:t>
      </w:r>
      <w:r w:rsidR="003311DD" w:rsidRPr="00320EB5">
        <w:rPr>
          <w:rStyle w:val="BodyText3"/>
          <w:sz w:val="24"/>
          <w:szCs w:val="24"/>
        </w:rPr>
        <w:t xml:space="preserve">by omitting from sub-section (1) the definition </w:t>
      </w:r>
      <w:r w:rsidR="00B8682E" w:rsidRPr="00320EB5">
        <w:rPr>
          <w:rStyle w:val="BodyText3"/>
          <w:sz w:val="24"/>
          <w:szCs w:val="24"/>
        </w:rPr>
        <w:t>of</w:t>
      </w:r>
      <w:r w:rsidR="00B8682E">
        <w:rPr>
          <w:rStyle w:val="BodyText3"/>
          <w:sz w:val="24"/>
          <w:szCs w:val="24"/>
        </w:rPr>
        <w:t xml:space="preserve"> </w:t>
      </w:r>
      <w:r w:rsidR="00B8682E" w:rsidRPr="00320EB5">
        <w:rPr>
          <w:rStyle w:val="BodyText3"/>
          <w:sz w:val="24"/>
          <w:szCs w:val="24"/>
        </w:rPr>
        <w:t>“</w:t>
      </w:r>
      <w:r w:rsidR="003311DD" w:rsidRPr="00320EB5">
        <w:rPr>
          <w:rStyle w:val="BodyText3"/>
          <w:sz w:val="24"/>
          <w:szCs w:val="24"/>
        </w:rPr>
        <w:t>person”; and</w:t>
      </w:r>
    </w:p>
    <w:p w14:paraId="718BDF6B" w14:textId="77777777" w:rsidR="008C76C7" w:rsidRPr="00320EB5" w:rsidRDefault="00F23988" w:rsidP="00320EB5">
      <w:pPr>
        <w:pStyle w:val="BodyText7"/>
        <w:spacing w:after="120" w:line="240" w:lineRule="auto"/>
        <w:ind w:firstLine="274"/>
        <w:jc w:val="both"/>
        <w:rPr>
          <w:sz w:val="24"/>
          <w:szCs w:val="24"/>
        </w:rPr>
      </w:pPr>
      <w:r w:rsidRPr="00320EB5">
        <w:rPr>
          <w:rStyle w:val="BodyText3"/>
          <w:sz w:val="24"/>
          <w:szCs w:val="24"/>
        </w:rPr>
        <w:t xml:space="preserve">(c) </w:t>
      </w:r>
      <w:r w:rsidR="003311DD" w:rsidRPr="00320EB5">
        <w:rPr>
          <w:rStyle w:val="BodyText3"/>
          <w:sz w:val="24"/>
          <w:szCs w:val="24"/>
        </w:rPr>
        <w:t>by adding at the end of the section the following sub-section:—</w:t>
      </w:r>
    </w:p>
    <w:p w14:paraId="1E06F0CD" w14:textId="77777777" w:rsidR="008C76C7" w:rsidRPr="00320EB5" w:rsidRDefault="003311DD" w:rsidP="00320EB5">
      <w:pPr>
        <w:pStyle w:val="BodyText7"/>
        <w:spacing w:line="240" w:lineRule="auto"/>
        <w:ind w:firstLine="810"/>
        <w:jc w:val="both"/>
        <w:rPr>
          <w:sz w:val="24"/>
          <w:szCs w:val="24"/>
        </w:rPr>
      </w:pPr>
      <w:r w:rsidRPr="00320EB5">
        <w:rPr>
          <w:rStyle w:val="BodyText3"/>
          <w:sz w:val="24"/>
          <w:szCs w:val="24"/>
        </w:rPr>
        <w:t>“(5) The express references in this Act to corporations and bodies corporate shall not be taken to imply that references to persons do not also include references to persons who are not natural persons.”.</w:t>
      </w:r>
    </w:p>
    <w:p w14:paraId="0B50B5BA" w14:textId="77777777" w:rsidR="008C76C7" w:rsidRPr="00320EB5" w:rsidRDefault="003311DD" w:rsidP="00320EB5">
      <w:pPr>
        <w:pStyle w:val="Bodytext25"/>
        <w:spacing w:before="120" w:after="60" w:line="240" w:lineRule="auto"/>
        <w:ind w:firstLine="0"/>
        <w:rPr>
          <w:b/>
          <w:sz w:val="20"/>
          <w:szCs w:val="20"/>
        </w:rPr>
      </w:pPr>
      <w:r w:rsidRPr="00320EB5">
        <w:rPr>
          <w:rStyle w:val="Bodytext2"/>
          <w:b/>
          <w:sz w:val="20"/>
          <w:szCs w:val="20"/>
        </w:rPr>
        <w:t>Additional operation of Act.</w:t>
      </w:r>
    </w:p>
    <w:p w14:paraId="32585E76" w14:textId="77777777" w:rsidR="008C76C7" w:rsidRPr="00320EB5" w:rsidRDefault="00F23988" w:rsidP="00320EB5">
      <w:pPr>
        <w:pStyle w:val="BodyText7"/>
        <w:tabs>
          <w:tab w:val="left" w:pos="630"/>
        </w:tabs>
        <w:spacing w:line="240" w:lineRule="auto"/>
        <w:ind w:firstLine="270"/>
        <w:jc w:val="both"/>
        <w:rPr>
          <w:sz w:val="24"/>
          <w:szCs w:val="24"/>
        </w:rPr>
      </w:pPr>
      <w:r w:rsidRPr="00320EB5">
        <w:rPr>
          <w:rStyle w:val="BodyText3"/>
          <w:b/>
          <w:sz w:val="24"/>
          <w:szCs w:val="24"/>
        </w:rPr>
        <w:t>4.</w:t>
      </w:r>
      <w:r w:rsidR="00320EB5">
        <w:rPr>
          <w:rStyle w:val="BodyText3"/>
          <w:sz w:val="24"/>
          <w:szCs w:val="24"/>
        </w:rPr>
        <w:tab/>
      </w:r>
      <w:r w:rsidR="003311DD" w:rsidRPr="00320EB5">
        <w:rPr>
          <w:rStyle w:val="BodyText3"/>
          <w:sz w:val="24"/>
          <w:szCs w:val="24"/>
        </w:rPr>
        <w:t>Section 6 of the Principal Act is amended—</w:t>
      </w:r>
    </w:p>
    <w:p w14:paraId="032CB00F" w14:textId="28B773AD" w:rsidR="008C76C7" w:rsidRPr="00320EB5" w:rsidRDefault="00F23988" w:rsidP="00320EB5">
      <w:pPr>
        <w:pStyle w:val="BodyText7"/>
        <w:spacing w:line="240" w:lineRule="auto"/>
        <w:ind w:left="630" w:hanging="360"/>
        <w:jc w:val="both"/>
        <w:rPr>
          <w:sz w:val="24"/>
          <w:szCs w:val="24"/>
        </w:rPr>
      </w:pPr>
      <w:r w:rsidRPr="00320EB5">
        <w:rPr>
          <w:rStyle w:val="BodyText3"/>
          <w:sz w:val="24"/>
          <w:szCs w:val="24"/>
        </w:rPr>
        <w:t xml:space="preserve">(a) </w:t>
      </w:r>
      <w:r w:rsidR="003311DD" w:rsidRPr="00320EB5">
        <w:rPr>
          <w:rStyle w:val="BodyText3"/>
          <w:sz w:val="24"/>
          <w:szCs w:val="24"/>
        </w:rPr>
        <w:t>by omitting from paragraph (b) of sub-section (2) the words “section 46, Part V (other than section 55)” and substituting the words “sections 46, 60 and 61, sub-sections 64(3) and (4)”; and</w:t>
      </w:r>
    </w:p>
    <w:p w14:paraId="646AE519" w14:textId="20DD8226" w:rsidR="008C76C7" w:rsidRPr="00320EB5" w:rsidRDefault="00F23988" w:rsidP="00320EB5">
      <w:pPr>
        <w:pStyle w:val="BodyText7"/>
        <w:spacing w:line="240" w:lineRule="auto"/>
        <w:ind w:firstLine="270"/>
        <w:jc w:val="both"/>
        <w:rPr>
          <w:sz w:val="24"/>
          <w:szCs w:val="24"/>
        </w:rPr>
      </w:pPr>
      <w:r w:rsidRPr="00320EB5">
        <w:rPr>
          <w:rStyle w:val="BodyText3"/>
          <w:sz w:val="24"/>
          <w:szCs w:val="24"/>
        </w:rPr>
        <w:t xml:space="preserve">(b) </w:t>
      </w:r>
      <w:r w:rsidR="003311DD" w:rsidRPr="00320EB5">
        <w:rPr>
          <w:rStyle w:val="BodyText3"/>
          <w:sz w:val="24"/>
          <w:szCs w:val="24"/>
        </w:rPr>
        <w:t>by omitting from paragraph (h) of sub-section (2) the word and figures “or 89(7)”.</w:t>
      </w:r>
    </w:p>
    <w:p w14:paraId="0516C7CB" w14:textId="77777777" w:rsidR="008C76C7" w:rsidRPr="00320EB5" w:rsidRDefault="00320EB5" w:rsidP="00320EB5">
      <w:pPr>
        <w:pStyle w:val="Bodytext25"/>
        <w:spacing w:before="120" w:after="60" w:line="240" w:lineRule="auto"/>
        <w:ind w:firstLine="0"/>
        <w:rPr>
          <w:b/>
          <w:sz w:val="20"/>
          <w:szCs w:val="20"/>
        </w:rPr>
      </w:pPr>
      <w:r w:rsidRPr="00320EB5">
        <w:rPr>
          <w:rStyle w:val="Bodytext20"/>
          <w:b/>
          <w:sz w:val="20"/>
          <w:szCs w:val="20"/>
        </w:rPr>
        <w:t>Represen</w:t>
      </w:r>
      <w:r w:rsidR="003311DD" w:rsidRPr="00320EB5">
        <w:rPr>
          <w:rStyle w:val="Bodytext20"/>
          <w:b/>
          <w:sz w:val="20"/>
          <w:szCs w:val="20"/>
        </w:rPr>
        <w:t>tation at public hearings by Commission.</w:t>
      </w:r>
    </w:p>
    <w:p w14:paraId="55FB607B" w14:textId="77777777" w:rsidR="008C76C7" w:rsidRPr="00320EB5" w:rsidRDefault="00450C8C" w:rsidP="00450C8C">
      <w:pPr>
        <w:pStyle w:val="BodyText7"/>
        <w:tabs>
          <w:tab w:val="left" w:pos="630"/>
        </w:tabs>
        <w:spacing w:after="120" w:line="240" w:lineRule="auto"/>
        <w:ind w:firstLine="274"/>
        <w:jc w:val="both"/>
        <w:rPr>
          <w:sz w:val="24"/>
          <w:szCs w:val="24"/>
        </w:rPr>
      </w:pPr>
      <w:r w:rsidRPr="00450C8C">
        <w:rPr>
          <w:rStyle w:val="BodyText4"/>
          <w:b/>
          <w:sz w:val="24"/>
          <w:szCs w:val="24"/>
        </w:rPr>
        <w:t>5.</w:t>
      </w:r>
      <w:r>
        <w:rPr>
          <w:rStyle w:val="BodyText4"/>
          <w:sz w:val="24"/>
          <w:szCs w:val="24"/>
        </w:rPr>
        <w:tab/>
      </w:r>
      <w:r w:rsidR="003311DD" w:rsidRPr="00320EB5">
        <w:rPr>
          <w:rStyle w:val="BodyText4"/>
          <w:sz w:val="24"/>
          <w:szCs w:val="24"/>
        </w:rPr>
        <w:t>Section 24 of the Principal Act is amended by omitting paragraph</w:t>
      </w:r>
      <w:r w:rsidRPr="00320EB5">
        <w:rPr>
          <w:rStyle w:val="BodyText4"/>
          <w:sz w:val="24"/>
          <w:szCs w:val="24"/>
        </w:rPr>
        <w:t xml:space="preserve"> </w:t>
      </w:r>
      <w:r w:rsidR="00F23988" w:rsidRPr="00320EB5">
        <w:rPr>
          <w:rStyle w:val="BodyText4"/>
          <w:sz w:val="24"/>
          <w:szCs w:val="24"/>
        </w:rPr>
        <w:t xml:space="preserve">(a) </w:t>
      </w:r>
      <w:r w:rsidR="003311DD" w:rsidRPr="00320EB5">
        <w:rPr>
          <w:rStyle w:val="BodyText4"/>
          <w:sz w:val="24"/>
          <w:szCs w:val="24"/>
        </w:rPr>
        <w:t>and substituting the following paragraphs: —</w:t>
      </w:r>
    </w:p>
    <w:p w14:paraId="27B12F31" w14:textId="77777777" w:rsidR="008C76C7" w:rsidRPr="00320EB5" w:rsidRDefault="00B8682E" w:rsidP="00450C8C">
      <w:pPr>
        <w:pStyle w:val="BodyText7"/>
        <w:spacing w:after="120" w:line="240" w:lineRule="auto"/>
        <w:ind w:firstLine="274"/>
        <w:jc w:val="both"/>
        <w:rPr>
          <w:sz w:val="24"/>
          <w:szCs w:val="24"/>
        </w:rPr>
      </w:pPr>
      <w:r>
        <w:rPr>
          <w:rStyle w:val="BodyText4"/>
          <w:sz w:val="24"/>
          <w:szCs w:val="24"/>
        </w:rPr>
        <w:t>“</w:t>
      </w:r>
      <w:r w:rsidR="003311DD" w:rsidRPr="00320EB5">
        <w:rPr>
          <w:rStyle w:val="BodyText4"/>
          <w:sz w:val="24"/>
          <w:szCs w:val="24"/>
        </w:rPr>
        <w:t>(a) a natural person may appear in person;</w:t>
      </w:r>
    </w:p>
    <w:p w14:paraId="536C42D7" w14:textId="77777777" w:rsidR="008C76C7" w:rsidRPr="00320EB5" w:rsidRDefault="003311DD" w:rsidP="00450C8C">
      <w:pPr>
        <w:pStyle w:val="BodyText7"/>
        <w:spacing w:line="240" w:lineRule="auto"/>
        <w:ind w:left="810" w:hanging="540"/>
        <w:jc w:val="both"/>
        <w:rPr>
          <w:sz w:val="24"/>
          <w:szCs w:val="24"/>
        </w:rPr>
      </w:pPr>
      <w:r w:rsidRPr="00320EB5">
        <w:rPr>
          <w:rStyle w:val="BodyText4"/>
          <w:sz w:val="24"/>
          <w:szCs w:val="24"/>
        </w:rPr>
        <w:t xml:space="preserve">“(aa) a person other than a body corporate may be represented by an employee of the person approved by the </w:t>
      </w:r>
      <w:r w:rsidR="00B8682E">
        <w:rPr>
          <w:rStyle w:val="BodyText4"/>
          <w:sz w:val="24"/>
          <w:szCs w:val="24"/>
        </w:rPr>
        <w:t>Commission;</w:t>
      </w:r>
      <w:r w:rsidRPr="00320EB5">
        <w:rPr>
          <w:rStyle w:val="BodyText4"/>
          <w:sz w:val="24"/>
          <w:szCs w:val="24"/>
        </w:rPr>
        <w:t>”.</w:t>
      </w:r>
    </w:p>
    <w:p w14:paraId="7B4D1C5A" w14:textId="77777777" w:rsidR="008C76C7" w:rsidRPr="00320EB5" w:rsidRDefault="00450C8C" w:rsidP="00450C8C">
      <w:pPr>
        <w:pStyle w:val="BodyText7"/>
        <w:spacing w:line="240" w:lineRule="auto"/>
        <w:ind w:firstLine="270"/>
        <w:jc w:val="both"/>
        <w:rPr>
          <w:sz w:val="24"/>
          <w:szCs w:val="24"/>
        </w:rPr>
      </w:pPr>
      <w:r>
        <w:rPr>
          <w:rStyle w:val="BodyText4"/>
          <w:b/>
          <w:sz w:val="24"/>
          <w:szCs w:val="24"/>
        </w:rPr>
        <w:t>6</w:t>
      </w:r>
      <w:r w:rsidR="00B8682E">
        <w:rPr>
          <w:rStyle w:val="BodyText4"/>
          <w:b/>
          <w:sz w:val="24"/>
          <w:szCs w:val="24"/>
        </w:rPr>
        <w:t>.</w:t>
      </w:r>
      <w:r>
        <w:rPr>
          <w:rStyle w:val="BodyText4"/>
          <w:b/>
          <w:sz w:val="24"/>
          <w:szCs w:val="24"/>
        </w:rPr>
        <w:t xml:space="preserve"> </w:t>
      </w:r>
      <w:r w:rsidR="003311DD" w:rsidRPr="00320EB5">
        <w:rPr>
          <w:rStyle w:val="BodyText4"/>
          <w:sz w:val="24"/>
          <w:szCs w:val="24"/>
        </w:rPr>
        <w:t>(1) Section 33 of the Principal Act is repealed and the following section substituted: —</w:t>
      </w:r>
    </w:p>
    <w:p w14:paraId="58459843" w14:textId="77777777" w:rsidR="00F23988" w:rsidRPr="00320EB5" w:rsidRDefault="00046B45" w:rsidP="00320EB5">
      <w:pPr>
        <w:pStyle w:val="Bodytext25"/>
        <w:spacing w:before="120" w:after="60" w:line="240" w:lineRule="auto"/>
        <w:ind w:firstLine="0"/>
        <w:rPr>
          <w:b/>
          <w:sz w:val="20"/>
          <w:szCs w:val="20"/>
        </w:rPr>
      </w:pPr>
      <w:r>
        <w:rPr>
          <w:rStyle w:val="Bodytext20"/>
          <w:b/>
          <w:sz w:val="20"/>
          <w:szCs w:val="20"/>
        </w:rPr>
        <w:t>Remuner</w:t>
      </w:r>
      <w:r w:rsidR="00F23988" w:rsidRPr="00320EB5">
        <w:rPr>
          <w:rStyle w:val="Bodytext20"/>
          <w:b/>
          <w:sz w:val="20"/>
          <w:szCs w:val="20"/>
        </w:rPr>
        <w:t>ation of members of Tribunal.</w:t>
      </w:r>
    </w:p>
    <w:p w14:paraId="00EF2E04" w14:textId="77777777" w:rsidR="008C76C7" w:rsidRPr="00320EB5" w:rsidRDefault="003311DD" w:rsidP="00450C8C">
      <w:pPr>
        <w:pStyle w:val="BodyText7"/>
        <w:spacing w:line="240" w:lineRule="auto"/>
        <w:ind w:firstLine="270"/>
        <w:jc w:val="both"/>
        <w:rPr>
          <w:sz w:val="24"/>
          <w:szCs w:val="24"/>
        </w:rPr>
      </w:pPr>
      <w:r w:rsidRPr="00320EB5">
        <w:rPr>
          <w:rStyle w:val="BodyText4"/>
          <w:sz w:val="24"/>
          <w:szCs w:val="24"/>
        </w:rPr>
        <w:t>“33. (1) The President shall, if he is not the Chief Judge of the Court or the President of the Australian Conciliation and Arbitration Commission, be paid—</w:t>
      </w:r>
    </w:p>
    <w:p w14:paraId="72C5039A" w14:textId="77777777" w:rsidR="008C76C7" w:rsidRPr="00320EB5" w:rsidRDefault="00F23988" w:rsidP="00450C8C">
      <w:pPr>
        <w:pStyle w:val="BodyText7"/>
        <w:spacing w:after="120" w:line="240" w:lineRule="auto"/>
        <w:ind w:left="634" w:hanging="360"/>
        <w:jc w:val="both"/>
        <w:rPr>
          <w:sz w:val="24"/>
          <w:szCs w:val="24"/>
        </w:rPr>
      </w:pPr>
      <w:r w:rsidRPr="00320EB5">
        <w:rPr>
          <w:rStyle w:val="BodyText4"/>
          <w:sz w:val="24"/>
          <w:szCs w:val="24"/>
        </w:rPr>
        <w:t xml:space="preserve">(a) </w:t>
      </w:r>
      <w:r w:rsidR="003311DD" w:rsidRPr="00320EB5">
        <w:rPr>
          <w:rStyle w:val="BodyText4"/>
          <w:sz w:val="24"/>
          <w:szCs w:val="24"/>
        </w:rPr>
        <w:t>additional salary at a rate per a</w:t>
      </w:r>
      <w:r w:rsidR="001F4D71" w:rsidRPr="00320EB5">
        <w:rPr>
          <w:rStyle w:val="BodyText4"/>
          <w:sz w:val="24"/>
          <w:szCs w:val="24"/>
        </w:rPr>
        <w:t>nnum equal to the difference be</w:t>
      </w:r>
      <w:r w:rsidR="003311DD" w:rsidRPr="00320EB5">
        <w:rPr>
          <w:rStyle w:val="BodyText4"/>
          <w:sz w:val="24"/>
          <w:szCs w:val="24"/>
        </w:rPr>
        <w:t>tween the rate per annum of the salary payable to the Chief Judge of the Court and the rate per annum of the salary payable to a Judge of the Court; and</w:t>
      </w:r>
    </w:p>
    <w:p w14:paraId="0B2814F9" w14:textId="77777777" w:rsidR="008C76C7" w:rsidRPr="00320EB5" w:rsidRDefault="00F23988" w:rsidP="00450C8C">
      <w:pPr>
        <w:pStyle w:val="BodyText7"/>
        <w:spacing w:line="240" w:lineRule="auto"/>
        <w:ind w:left="630" w:hanging="360"/>
        <w:jc w:val="both"/>
        <w:rPr>
          <w:sz w:val="24"/>
          <w:szCs w:val="24"/>
        </w:rPr>
      </w:pPr>
      <w:r w:rsidRPr="00320EB5">
        <w:rPr>
          <w:rStyle w:val="BodyText4"/>
          <w:sz w:val="24"/>
          <w:szCs w:val="24"/>
        </w:rPr>
        <w:t xml:space="preserve">(b) </w:t>
      </w:r>
      <w:r w:rsidR="003311DD" w:rsidRPr="00320EB5">
        <w:rPr>
          <w:rStyle w:val="BodyText4"/>
          <w:sz w:val="24"/>
          <w:szCs w:val="24"/>
        </w:rPr>
        <w:t>an additional annual allowance at a rate per annum equal to the difference between the rate per annum of the annual allowance payable to the Chief Judge of the Court and the rate per annum of the annual allowance payable to a Judge of the Court.</w:t>
      </w:r>
    </w:p>
    <w:p w14:paraId="1BB95460" w14:textId="77777777" w:rsidR="008C76C7" w:rsidRPr="00320EB5" w:rsidRDefault="003311DD" w:rsidP="00450C8C">
      <w:pPr>
        <w:pStyle w:val="BodyText7"/>
        <w:spacing w:after="120" w:line="240" w:lineRule="auto"/>
        <w:ind w:firstLine="274"/>
        <w:jc w:val="both"/>
        <w:rPr>
          <w:sz w:val="24"/>
          <w:szCs w:val="24"/>
        </w:rPr>
      </w:pPr>
      <w:r w:rsidRPr="00320EB5">
        <w:rPr>
          <w:rStyle w:val="BodyText4"/>
          <w:sz w:val="24"/>
          <w:szCs w:val="24"/>
        </w:rPr>
        <w:lastRenderedPageBreak/>
        <w:t>“(2) A member of the Tribunal other than a presidential member shall be paid such remuneration as is determined by the Remuneration Tribunal.</w:t>
      </w:r>
    </w:p>
    <w:p w14:paraId="2FE69807" w14:textId="1D5A40E4" w:rsidR="008C76C7" w:rsidRPr="00320EB5" w:rsidRDefault="003311DD" w:rsidP="00450C8C">
      <w:pPr>
        <w:pStyle w:val="BodyText7"/>
        <w:spacing w:after="120" w:line="240" w:lineRule="auto"/>
        <w:ind w:firstLine="274"/>
        <w:jc w:val="both"/>
        <w:rPr>
          <w:sz w:val="24"/>
          <w:szCs w:val="24"/>
        </w:rPr>
      </w:pPr>
      <w:r w:rsidRPr="00320EB5">
        <w:rPr>
          <w:rStyle w:val="BodyText4"/>
          <w:sz w:val="24"/>
          <w:szCs w:val="24"/>
        </w:rPr>
        <w:t xml:space="preserve">“(3) Subject to the </w:t>
      </w:r>
      <w:r w:rsidRPr="00320EB5">
        <w:rPr>
          <w:rStyle w:val="BodytextItalic"/>
          <w:sz w:val="24"/>
          <w:szCs w:val="24"/>
        </w:rPr>
        <w:t>Remuneration Tribunals Act</w:t>
      </w:r>
      <w:r w:rsidRPr="00320EB5">
        <w:rPr>
          <w:rStyle w:val="BodyText4"/>
          <w:sz w:val="24"/>
          <w:szCs w:val="24"/>
        </w:rPr>
        <w:t xml:space="preserve"> 1973, a member of the Tribunal other than a presidential member shall be paid such allowances as are prescribed.</w:t>
      </w:r>
    </w:p>
    <w:p w14:paraId="3C632460" w14:textId="77777777" w:rsidR="008C76C7" w:rsidRPr="00320EB5" w:rsidRDefault="003311DD" w:rsidP="00450C8C">
      <w:pPr>
        <w:pStyle w:val="BodyText7"/>
        <w:spacing w:before="120" w:after="120" w:line="240" w:lineRule="auto"/>
        <w:ind w:firstLine="274"/>
        <w:jc w:val="both"/>
        <w:rPr>
          <w:sz w:val="24"/>
          <w:szCs w:val="24"/>
        </w:rPr>
      </w:pPr>
      <w:r w:rsidRPr="00320EB5">
        <w:rPr>
          <w:rStyle w:val="BodyText4"/>
          <w:sz w:val="24"/>
          <w:szCs w:val="24"/>
        </w:rPr>
        <w:t>“(4) Where the President, not being the Chief Judge of the Court or the President of the Australian C</w:t>
      </w:r>
      <w:r w:rsidR="00450C8C">
        <w:rPr>
          <w:rStyle w:val="BodyText4"/>
          <w:sz w:val="24"/>
          <w:szCs w:val="24"/>
        </w:rPr>
        <w:t>onciliation and Arbitration Com</w:t>
      </w:r>
      <w:r w:rsidRPr="00320EB5">
        <w:rPr>
          <w:rStyle w:val="BodyText4"/>
          <w:sz w:val="24"/>
          <w:szCs w:val="24"/>
        </w:rPr>
        <w:t>mission, dies or—</w:t>
      </w:r>
    </w:p>
    <w:p w14:paraId="42775CED" w14:textId="77777777" w:rsidR="008C76C7" w:rsidRPr="00320EB5" w:rsidRDefault="00F23988" w:rsidP="00450C8C">
      <w:pPr>
        <w:pStyle w:val="BodyText7"/>
        <w:spacing w:after="120" w:line="240" w:lineRule="auto"/>
        <w:ind w:firstLine="274"/>
        <w:jc w:val="both"/>
        <w:rPr>
          <w:sz w:val="24"/>
          <w:szCs w:val="24"/>
        </w:rPr>
      </w:pPr>
      <w:r w:rsidRPr="00320EB5">
        <w:rPr>
          <w:rStyle w:val="BodyText4"/>
          <w:sz w:val="24"/>
          <w:szCs w:val="24"/>
        </w:rPr>
        <w:t xml:space="preserve">(a) </w:t>
      </w:r>
      <w:r w:rsidR="003311DD" w:rsidRPr="00320EB5">
        <w:rPr>
          <w:rStyle w:val="BodyText4"/>
          <w:sz w:val="24"/>
          <w:szCs w:val="24"/>
        </w:rPr>
        <w:t>being a Judge of a Federal Court, retires as such a Judge; or</w:t>
      </w:r>
    </w:p>
    <w:p w14:paraId="7834D912" w14:textId="77777777" w:rsidR="008C76C7" w:rsidRPr="00320EB5" w:rsidRDefault="00F23988" w:rsidP="00450C8C">
      <w:pPr>
        <w:pStyle w:val="BodyText7"/>
        <w:tabs>
          <w:tab w:val="left" w:pos="630"/>
        </w:tabs>
        <w:spacing w:after="120" w:line="240" w:lineRule="auto"/>
        <w:ind w:left="634" w:hanging="360"/>
        <w:jc w:val="both"/>
        <w:rPr>
          <w:sz w:val="24"/>
          <w:szCs w:val="24"/>
        </w:rPr>
      </w:pPr>
      <w:r w:rsidRPr="00320EB5">
        <w:rPr>
          <w:rStyle w:val="BodyText4"/>
          <w:sz w:val="24"/>
          <w:szCs w:val="24"/>
        </w:rPr>
        <w:t xml:space="preserve">(b) </w:t>
      </w:r>
      <w:r w:rsidR="003311DD" w:rsidRPr="00320EB5">
        <w:rPr>
          <w:rStyle w:val="BodyText4"/>
          <w:sz w:val="24"/>
          <w:szCs w:val="24"/>
        </w:rPr>
        <w:t>being a person who has the status of a Judge of the Court, retires from the office by virtue of which he has that status,</w:t>
      </w:r>
    </w:p>
    <w:p w14:paraId="1E7873BD" w14:textId="77777777" w:rsidR="008C76C7" w:rsidRPr="00320EB5" w:rsidRDefault="003311DD" w:rsidP="00450C8C">
      <w:pPr>
        <w:pStyle w:val="BodyText7"/>
        <w:spacing w:after="120" w:line="240" w:lineRule="auto"/>
        <w:ind w:firstLine="0"/>
        <w:jc w:val="both"/>
        <w:rPr>
          <w:sz w:val="24"/>
          <w:szCs w:val="24"/>
        </w:rPr>
      </w:pPr>
      <w:r w:rsidRPr="00320EB5">
        <w:rPr>
          <w:rStyle w:val="BodyText4"/>
          <w:sz w:val="24"/>
          <w:szCs w:val="24"/>
        </w:rPr>
        <w:t xml:space="preserve">the </w:t>
      </w:r>
      <w:r w:rsidRPr="00320EB5">
        <w:rPr>
          <w:rStyle w:val="BodytextItalic"/>
          <w:sz w:val="24"/>
          <w:szCs w:val="24"/>
        </w:rPr>
        <w:t>Judges’ Pensions Act</w:t>
      </w:r>
      <w:r w:rsidRPr="00320EB5">
        <w:rPr>
          <w:rStyle w:val="BodyText4"/>
          <w:sz w:val="24"/>
          <w:szCs w:val="24"/>
        </w:rPr>
        <w:t xml:space="preserve"> 1968 applies to and in relation to him as if he had been Chief Judge of the Court immediately</w:t>
      </w:r>
      <w:r w:rsidR="00450C8C">
        <w:rPr>
          <w:rStyle w:val="BodyText4"/>
          <w:sz w:val="24"/>
          <w:szCs w:val="24"/>
        </w:rPr>
        <w:t xml:space="preserve"> before his death or re</w:t>
      </w:r>
      <w:r w:rsidR="00B8682E">
        <w:rPr>
          <w:rStyle w:val="BodyText4"/>
          <w:sz w:val="24"/>
          <w:szCs w:val="24"/>
        </w:rPr>
        <w:t>tirement.</w:t>
      </w:r>
      <w:r w:rsidRPr="00320EB5">
        <w:rPr>
          <w:rStyle w:val="BodyText4"/>
          <w:sz w:val="24"/>
          <w:szCs w:val="24"/>
        </w:rPr>
        <w:t>’’.</w:t>
      </w:r>
    </w:p>
    <w:p w14:paraId="0DFCD83B" w14:textId="055808E7" w:rsidR="008C76C7" w:rsidRPr="00320EB5" w:rsidRDefault="003311DD" w:rsidP="00450C8C">
      <w:pPr>
        <w:pStyle w:val="BodyText7"/>
        <w:spacing w:line="240" w:lineRule="auto"/>
        <w:ind w:firstLine="270"/>
        <w:jc w:val="both"/>
        <w:rPr>
          <w:sz w:val="24"/>
          <w:szCs w:val="24"/>
        </w:rPr>
      </w:pPr>
      <w:r w:rsidRPr="00320EB5">
        <w:rPr>
          <w:rStyle w:val="BodyText4"/>
          <w:sz w:val="24"/>
          <w:szCs w:val="24"/>
        </w:rPr>
        <w:t>(2) Sub-section 33(4) of the Principal Act as amended by this Act applies in the case of a President of the Tribunal who retired before the commencement of this Act as if that sub-section had been in force at the time of his retirement.</w:t>
      </w:r>
    </w:p>
    <w:p w14:paraId="37FFF63F" w14:textId="77777777" w:rsidR="008C76C7" w:rsidRPr="00320EB5" w:rsidRDefault="003311DD" w:rsidP="00046B45">
      <w:pPr>
        <w:pStyle w:val="Bodytext25"/>
        <w:spacing w:before="120" w:after="60" w:line="240" w:lineRule="auto"/>
        <w:ind w:firstLine="0"/>
        <w:rPr>
          <w:sz w:val="24"/>
          <w:szCs w:val="24"/>
        </w:rPr>
      </w:pPr>
      <w:r w:rsidRPr="00046B45">
        <w:rPr>
          <w:rStyle w:val="Bodytext20"/>
          <w:b/>
          <w:sz w:val="20"/>
          <w:szCs w:val="20"/>
        </w:rPr>
        <w:t>Exceptions</w:t>
      </w:r>
      <w:r w:rsidRPr="00320EB5">
        <w:rPr>
          <w:rStyle w:val="Bodytext20"/>
          <w:sz w:val="24"/>
          <w:szCs w:val="24"/>
        </w:rPr>
        <w:t>.</w:t>
      </w:r>
    </w:p>
    <w:p w14:paraId="7196AC2B" w14:textId="77777777" w:rsidR="008C76C7" w:rsidRPr="00320EB5" w:rsidRDefault="00F23988" w:rsidP="00450C8C">
      <w:pPr>
        <w:pStyle w:val="BodyText7"/>
        <w:tabs>
          <w:tab w:val="left" w:pos="630"/>
        </w:tabs>
        <w:spacing w:line="240" w:lineRule="auto"/>
        <w:ind w:firstLine="270"/>
        <w:jc w:val="both"/>
        <w:rPr>
          <w:sz w:val="24"/>
          <w:szCs w:val="24"/>
        </w:rPr>
      </w:pPr>
      <w:r w:rsidRPr="00450C8C">
        <w:rPr>
          <w:rStyle w:val="BodyText4"/>
          <w:b/>
          <w:sz w:val="24"/>
          <w:szCs w:val="24"/>
        </w:rPr>
        <w:t>7.</w:t>
      </w:r>
      <w:r w:rsidR="00450C8C">
        <w:rPr>
          <w:rStyle w:val="BodyText4"/>
          <w:sz w:val="24"/>
          <w:szCs w:val="24"/>
        </w:rPr>
        <w:tab/>
      </w:r>
      <w:r w:rsidR="003311DD" w:rsidRPr="00320EB5">
        <w:rPr>
          <w:rStyle w:val="BodyText4"/>
          <w:sz w:val="24"/>
          <w:szCs w:val="24"/>
        </w:rPr>
        <w:t>Section 51 of the Principal Act is amended by omitting paragraph (g) of sub-section (2) and substituting the following paragraph:—</w:t>
      </w:r>
    </w:p>
    <w:p w14:paraId="22F44090" w14:textId="78CDC3DD" w:rsidR="008C76C7" w:rsidRPr="00320EB5" w:rsidRDefault="003311DD" w:rsidP="00EE7D58">
      <w:pPr>
        <w:pStyle w:val="BodyText7"/>
        <w:spacing w:line="240" w:lineRule="auto"/>
        <w:ind w:left="720" w:hanging="450"/>
        <w:jc w:val="both"/>
        <w:rPr>
          <w:sz w:val="24"/>
          <w:szCs w:val="24"/>
        </w:rPr>
      </w:pPr>
      <w:r w:rsidRPr="00320EB5">
        <w:rPr>
          <w:rStyle w:val="BodyText4"/>
          <w:sz w:val="24"/>
          <w:szCs w:val="24"/>
        </w:rPr>
        <w:t xml:space="preserve">“(g) to any provision of a contract, or to any arrangement or understanding, being a provision </w:t>
      </w:r>
      <w:r w:rsidR="00EE7D58">
        <w:rPr>
          <w:rStyle w:val="BodyText4"/>
          <w:sz w:val="24"/>
          <w:szCs w:val="24"/>
        </w:rPr>
        <w:t>or an arrangement or understandi</w:t>
      </w:r>
      <w:r w:rsidRPr="00320EB5">
        <w:rPr>
          <w:rStyle w:val="BodyText4"/>
          <w:sz w:val="24"/>
          <w:szCs w:val="24"/>
        </w:rPr>
        <w:t>ng that relates exclusively to the export of goods from</w:t>
      </w:r>
      <w:r w:rsidR="00EE7D58">
        <w:rPr>
          <w:rStyle w:val="BodyText4"/>
          <w:sz w:val="24"/>
          <w:szCs w:val="24"/>
        </w:rPr>
        <w:t xml:space="preserve"> </w:t>
      </w:r>
      <w:r w:rsidRPr="00320EB5">
        <w:rPr>
          <w:rStyle w:val="BodyText5"/>
          <w:sz w:val="24"/>
          <w:szCs w:val="24"/>
        </w:rPr>
        <w:t>Australia or to the supply of services outside Australia, if full and accurate particulars of the provision, or of the arrangement or understanding, were</w:t>
      </w:r>
      <w:r w:rsidR="001F4D71" w:rsidRPr="00320EB5">
        <w:rPr>
          <w:rStyle w:val="BodyText5"/>
          <w:sz w:val="24"/>
          <w:szCs w:val="24"/>
        </w:rPr>
        <w:t xml:space="preserve"> furnished to the Commission be</w:t>
      </w:r>
      <w:r w:rsidRPr="00320EB5">
        <w:rPr>
          <w:rStyle w:val="BodyText5"/>
          <w:sz w:val="24"/>
          <w:szCs w:val="24"/>
        </w:rPr>
        <w:t xml:space="preserve">fore the expiration of 7 days </w:t>
      </w:r>
      <w:r w:rsidR="001F4D71" w:rsidRPr="00320EB5">
        <w:rPr>
          <w:rStyle w:val="BodyText5"/>
          <w:sz w:val="24"/>
          <w:szCs w:val="24"/>
        </w:rPr>
        <w:t>after the date on which the con</w:t>
      </w:r>
      <w:r w:rsidRPr="00320EB5">
        <w:rPr>
          <w:rStyle w:val="BodyText5"/>
          <w:sz w:val="24"/>
          <w:szCs w:val="24"/>
        </w:rPr>
        <w:t>tract or arrangement was made or the understanding was entered into or the date of coming into operation of this paragraph, whichever is the later.”.</w:t>
      </w:r>
    </w:p>
    <w:p w14:paraId="0F5D9787" w14:textId="77777777" w:rsidR="008C76C7" w:rsidRPr="00450C8C" w:rsidRDefault="003311DD" w:rsidP="00450C8C">
      <w:pPr>
        <w:pStyle w:val="Bodytext25"/>
        <w:spacing w:before="120" w:after="60" w:line="240" w:lineRule="auto"/>
        <w:ind w:firstLine="0"/>
        <w:rPr>
          <w:b/>
          <w:sz w:val="20"/>
          <w:szCs w:val="20"/>
        </w:rPr>
      </w:pPr>
      <w:r w:rsidRPr="00450C8C">
        <w:rPr>
          <w:rStyle w:val="Bodytext22"/>
          <w:b/>
          <w:sz w:val="20"/>
          <w:szCs w:val="20"/>
        </w:rPr>
        <w:t>Pecuniary penalties.</w:t>
      </w:r>
    </w:p>
    <w:p w14:paraId="148AC6E6" w14:textId="77777777" w:rsidR="008C76C7" w:rsidRPr="00320EB5" w:rsidRDefault="00450C8C" w:rsidP="00450C8C">
      <w:pPr>
        <w:pStyle w:val="BodyText7"/>
        <w:tabs>
          <w:tab w:val="left" w:pos="630"/>
        </w:tabs>
        <w:spacing w:line="240" w:lineRule="auto"/>
        <w:ind w:firstLine="270"/>
        <w:jc w:val="both"/>
        <w:rPr>
          <w:sz w:val="24"/>
          <w:szCs w:val="24"/>
        </w:rPr>
      </w:pPr>
      <w:r w:rsidRPr="00450C8C">
        <w:rPr>
          <w:rStyle w:val="BodyText5"/>
          <w:b/>
          <w:sz w:val="24"/>
          <w:szCs w:val="24"/>
        </w:rPr>
        <w:t>8.</w:t>
      </w:r>
      <w:r>
        <w:rPr>
          <w:rStyle w:val="BodyText5"/>
          <w:sz w:val="24"/>
          <w:szCs w:val="24"/>
        </w:rPr>
        <w:tab/>
      </w:r>
      <w:r w:rsidR="003311DD" w:rsidRPr="00320EB5">
        <w:rPr>
          <w:rStyle w:val="BodyText5"/>
          <w:sz w:val="24"/>
          <w:szCs w:val="24"/>
        </w:rPr>
        <w:t>Section 76 of the Principal Act is amended by omitting the words “Superior Court of Australia or the Australian Industrial Court” and substituting the word “Court”.</w:t>
      </w:r>
    </w:p>
    <w:p w14:paraId="2AFD2984" w14:textId="77777777" w:rsidR="005E2AD1" w:rsidRPr="00320EB5" w:rsidRDefault="005E2AD1" w:rsidP="00450C8C">
      <w:pPr>
        <w:pStyle w:val="Bodytext25"/>
        <w:spacing w:before="120" w:after="60" w:line="240" w:lineRule="auto"/>
        <w:ind w:firstLine="0"/>
        <w:rPr>
          <w:sz w:val="24"/>
          <w:szCs w:val="24"/>
        </w:rPr>
      </w:pPr>
      <w:r w:rsidRPr="00450C8C">
        <w:rPr>
          <w:rStyle w:val="Bodytext22"/>
          <w:b/>
          <w:sz w:val="20"/>
          <w:szCs w:val="20"/>
        </w:rPr>
        <w:t>Procedure for applications</w:t>
      </w:r>
      <w:r w:rsidRPr="00320EB5">
        <w:rPr>
          <w:rStyle w:val="Bodytext22"/>
          <w:sz w:val="24"/>
          <w:szCs w:val="24"/>
        </w:rPr>
        <w:t>.</w:t>
      </w:r>
    </w:p>
    <w:p w14:paraId="4D2E7D20" w14:textId="1FCAEDB2" w:rsidR="008C76C7" w:rsidRPr="00320EB5" w:rsidRDefault="005E2AD1" w:rsidP="00450C8C">
      <w:pPr>
        <w:pStyle w:val="BodyText7"/>
        <w:tabs>
          <w:tab w:val="left" w:pos="630"/>
        </w:tabs>
        <w:spacing w:line="240" w:lineRule="auto"/>
        <w:ind w:firstLine="270"/>
        <w:jc w:val="both"/>
        <w:rPr>
          <w:sz w:val="24"/>
          <w:szCs w:val="24"/>
        </w:rPr>
      </w:pPr>
      <w:r w:rsidRPr="00450C8C">
        <w:rPr>
          <w:rStyle w:val="BodyText5"/>
          <w:b/>
          <w:sz w:val="24"/>
          <w:szCs w:val="24"/>
        </w:rPr>
        <w:t>9.</w:t>
      </w:r>
      <w:r w:rsidR="00450C8C">
        <w:rPr>
          <w:rStyle w:val="BodyText5"/>
          <w:sz w:val="24"/>
          <w:szCs w:val="24"/>
        </w:rPr>
        <w:tab/>
      </w:r>
      <w:r w:rsidR="003311DD" w:rsidRPr="00320EB5">
        <w:rPr>
          <w:rStyle w:val="BodyText5"/>
          <w:sz w:val="24"/>
          <w:szCs w:val="24"/>
        </w:rPr>
        <w:t>Section 89 of the Principal Act is amended by omitting sub</w:t>
      </w:r>
      <w:r w:rsidR="00EE7D58">
        <w:rPr>
          <w:rStyle w:val="BodyText5"/>
          <w:sz w:val="24"/>
          <w:szCs w:val="24"/>
        </w:rPr>
        <w:t>-</w:t>
      </w:r>
      <w:r w:rsidR="003311DD" w:rsidRPr="00320EB5">
        <w:rPr>
          <w:rStyle w:val="BodyText5"/>
          <w:sz w:val="24"/>
          <w:szCs w:val="24"/>
        </w:rPr>
        <w:t>section (7).</w:t>
      </w:r>
    </w:p>
    <w:p w14:paraId="0B831C1B" w14:textId="77777777" w:rsidR="005E2AD1" w:rsidRPr="00450C8C" w:rsidRDefault="00450C8C" w:rsidP="00450C8C">
      <w:pPr>
        <w:pStyle w:val="Bodytext25"/>
        <w:spacing w:before="120" w:after="60" w:line="240" w:lineRule="auto"/>
        <w:ind w:firstLine="0"/>
        <w:rPr>
          <w:b/>
          <w:sz w:val="20"/>
          <w:szCs w:val="20"/>
        </w:rPr>
      </w:pPr>
      <w:r w:rsidRPr="00450C8C">
        <w:rPr>
          <w:rStyle w:val="Bodytext22"/>
          <w:b/>
          <w:sz w:val="20"/>
          <w:szCs w:val="20"/>
        </w:rPr>
        <w:t>Determin</w:t>
      </w:r>
      <w:r w:rsidR="005E2AD1" w:rsidRPr="00450C8C">
        <w:rPr>
          <w:rStyle w:val="Bodytext22"/>
          <w:b/>
          <w:sz w:val="20"/>
          <w:szCs w:val="20"/>
        </w:rPr>
        <w:t>ati</w:t>
      </w:r>
      <w:r w:rsidRPr="00450C8C">
        <w:rPr>
          <w:rStyle w:val="Bodytext22"/>
          <w:b/>
          <w:sz w:val="20"/>
          <w:szCs w:val="20"/>
        </w:rPr>
        <w:t>on of applications for authoriz</w:t>
      </w:r>
      <w:r w:rsidR="005E2AD1" w:rsidRPr="00450C8C">
        <w:rPr>
          <w:rStyle w:val="Bodytext22"/>
          <w:b/>
          <w:sz w:val="20"/>
          <w:szCs w:val="20"/>
        </w:rPr>
        <w:t>ations.</w:t>
      </w:r>
    </w:p>
    <w:p w14:paraId="3FD9E55E" w14:textId="77777777" w:rsidR="008C76C7" w:rsidRPr="00320EB5" w:rsidRDefault="001F4D71" w:rsidP="003B3304">
      <w:pPr>
        <w:pStyle w:val="BodyText7"/>
        <w:tabs>
          <w:tab w:val="left" w:pos="630"/>
        </w:tabs>
        <w:spacing w:after="120" w:line="240" w:lineRule="auto"/>
        <w:ind w:firstLine="274"/>
        <w:jc w:val="both"/>
        <w:rPr>
          <w:sz w:val="24"/>
          <w:szCs w:val="24"/>
        </w:rPr>
      </w:pPr>
      <w:r w:rsidRPr="00450C8C">
        <w:rPr>
          <w:rStyle w:val="BodyText5"/>
          <w:b/>
          <w:sz w:val="24"/>
          <w:szCs w:val="24"/>
        </w:rPr>
        <w:t>10.</w:t>
      </w:r>
      <w:r w:rsidR="00450C8C">
        <w:rPr>
          <w:rStyle w:val="BodyText5"/>
          <w:sz w:val="24"/>
          <w:szCs w:val="24"/>
        </w:rPr>
        <w:tab/>
      </w:r>
      <w:r w:rsidR="003311DD" w:rsidRPr="00320EB5">
        <w:rPr>
          <w:rStyle w:val="BodyText5"/>
          <w:sz w:val="24"/>
          <w:szCs w:val="24"/>
        </w:rPr>
        <w:t>Section 90 of the Principal Act is amended—</w:t>
      </w:r>
    </w:p>
    <w:p w14:paraId="25410B69" w14:textId="470D82F5" w:rsidR="008C76C7" w:rsidRPr="00320EB5" w:rsidRDefault="001F4D71" w:rsidP="003B3304">
      <w:pPr>
        <w:pStyle w:val="BodyText7"/>
        <w:spacing w:after="120" w:line="240" w:lineRule="auto"/>
        <w:ind w:left="634" w:hanging="360"/>
        <w:jc w:val="both"/>
        <w:rPr>
          <w:sz w:val="24"/>
          <w:szCs w:val="24"/>
        </w:rPr>
      </w:pPr>
      <w:r w:rsidRPr="00320EB5">
        <w:rPr>
          <w:rStyle w:val="BodyText5"/>
          <w:sz w:val="24"/>
          <w:szCs w:val="24"/>
        </w:rPr>
        <w:t>(a)</w:t>
      </w:r>
      <w:r w:rsidR="003311DD" w:rsidRPr="00320EB5">
        <w:rPr>
          <w:rStyle w:val="BodyText5"/>
          <w:sz w:val="24"/>
          <w:szCs w:val="24"/>
        </w:rPr>
        <w:t xml:space="preserve"> by omitting from sub-section (2) the words “or any other person” and substituting the words “, by the Commonwealth, by a State or by any other person";</w:t>
      </w:r>
    </w:p>
    <w:p w14:paraId="4B5F80D4" w14:textId="29E370FF" w:rsidR="008C76C7" w:rsidRPr="00320EB5" w:rsidRDefault="003B3304" w:rsidP="003B3304">
      <w:pPr>
        <w:pStyle w:val="BodyText7"/>
        <w:spacing w:after="120" w:line="240" w:lineRule="auto"/>
        <w:ind w:left="634" w:hanging="360"/>
        <w:jc w:val="both"/>
        <w:rPr>
          <w:sz w:val="24"/>
          <w:szCs w:val="24"/>
        </w:rPr>
      </w:pPr>
      <w:r>
        <w:rPr>
          <w:rStyle w:val="BodyText5"/>
          <w:sz w:val="24"/>
          <w:szCs w:val="24"/>
        </w:rPr>
        <w:t xml:space="preserve">(b) </w:t>
      </w:r>
      <w:r w:rsidR="003311DD" w:rsidRPr="00320EB5">
        <w:rPr>
          <w:rStyle w:val="BodyText5"/>
          <w:sz w:val="24"/>
          <w:szCs w:val="24"/>
        </w:rPr>
        <w:t>by omitting from sub-section (5) the words “Subject to sub</w:t>
      </w:r>
      <w:r w:rsidR="00EE7D58">
        <w:rPr>
          <w:rStyle w:val="BodyText5"/>
          <w:sz w:val="24"/>
          <w:szCs w:val="24"/>
        </w:rPr>
        <w:t>-</w:t>
      </w:r>
      <w:r w:rsidR="003311DD" w:rsidRPr="00320EB5">
        <w:rPr>
          <w:rStyle w:val="BodyText5"/>
          <w:sz w:val="24"/>
          <w:szCs w:val="24"/>
        </w:rPr>
        <w:t>sections (9) and (11)” and substituting the words “Subject to sub-section (9)”;</w:t>
      </w:r>
    </w:p>
    <w:p w14:paraId="29DE1C02" w14:textId="77777777" w:rsidR="008C76C7" w:rsidRPr="00320EB5" w:rsidRDefault="001F4D71" w:rsidP="003B3304">
      <w:pPr>
        <w:pStyle w:val="BodyText7"/>
        <w:spacing w:after="120" w:line="240" w:lineRule="auto"/>
        <w:ind w:left="634" w:hanging="360"/>
        <w:jc w:val="both"/>
        <w:rPr>
          <w:sz w:val="24"/>
          <w:szCs w:val="24"/>
        </w:rPr>
      </w:pPr>
      <w:r w:rsidRPr="00320EB5">
        <w:rPr>
          <w:rStyle w:val="BodyText5"/>
          <w:sz w:val="24"/>
          <w:szCs w:val="24"/>
        </w:rPr>
        <w:t xml:space="preserve">(c) </w:t>
      </w:r>
      <w:r w:rsidR="003311DD" w:rsidRPr="00320EB5">
        <w:rPr>
          <w:rStyle w:val="BodyText5"/>
          <w:sz w:val="24"/>
          <w:szCs w:val="24"/>
        </w:rPr>
        <w:t>by omitting from sub-section (6) the words “prescribed date” and substituting the words “date on which the application is received by the Commission”;</w:t>
      </w:r>
    </w:p>
    <w:p w14:paraId="48E54E25" w14:textId="4CA57D88" w:rsidR="008C76C7" w:rsidRPr="00320EB5" w:rsidRDefault="001F4D71" w:rsidP="003B3304">
      <w:pPr>
        <w:pStyle w:val="BodyText7"/>
        <w:spacing w:after="120" w:line="240" w:lineRule="auto"/>
        <w:ind w:left="634" w:hanging="360"/>
        <w:jc w:val="both"/>
        <w:rPr>
          <w:sz w:val="24"/>
          <w:szCs w:val="24"/>
        </w:rPr>
      </w:pPr>
      <w:r w:rsidRPr="00320EB5">
        <w:rPr>
          <w:rStyle w:val="BodyText5"/>
          <w:sz w:val="24"/>
          <w:szCs w:val="24"/>
        </w:rPr>
        <w:t xml:space="preserve">(d) </w:t>
      </w:r>
      <w:r w:rsidR="003311DD" w:rsidRPr="00320EB5">
        <w:rPr>
          <w:rStyle w:val="BodyText5"/>
          <w:sz w:val="24"/>
          <w:szCs w:val="24"/>
        </w:rPr>
        <w:t>by omitting from sub-section (9) the words “Subject to sub</w:t>
      </w:r>
      <w:r w:rsidR="00EE7D58">
        <w:rPr>
          <w:rStyle w:val="BodyText5"/>
          <w:sz w:val="24"/>
          <w:szCs w:val="24"/>
        </w:rPr>
        <w:t>-</w:t>
      </w:r>
      <w:r w:rsidR="003311DD" w:rsidRPr="00320EB5">
        <w:rPr>
          <w:rStyle w:val="BodyText5"/>
          <w:sz w:val="24"/>
          <w:szCs w:val="24"/>
        </w:rPr>
        <w:t>section (10), where—” and substituting the word “Where—”; and</w:t>
      </w:r>
    </w:p>
    <w:p w14:paraId="1FF3BDFB" w14:textId="77777777" w:rsidR="008C76C7" w:rsidRPr="00320EB5" w:rsidRDefault="001F4D71" w:rsidP="003B3304">
      <w:pPr>
        <w:pStyle w:val="BodyText7"/>
        <w:spacing w:line="240" w:lineRule="auto"/>
        <w:ind w:firstLine="270"/>
        <w:jc w:val="both"/>
        <w:rPr>
          <w:sz w:val="24"/>
          <w:szCs w:val="24"/>
        </w:rPr>
      </w:pPr>
      <w:r w:rsidRPr="00320EB5">
        <w:rPr>
          <w:rStyle w:val="BodyText5"/>
          <w:sz w:val="24"/>
          <w:szCs w:val="24"/>
        </w:rPr>
        <w:t xml:space="preserve">(e) </w:t>
      </w:r>
      <w:r w:rsidR="003311DD" w:rsidRPr="00320EB5">
        <w:rPr>
          <w:rStyle w:val="BodyText5"/>
          <w:sz w:val="24"/>
          <w:szCs w:val="24"/>
        </w:rPr>
        <w:t>by omitting sub-sections (10), (11), (12), (13) and (14).</w:t>
      </w:r>
    </w:p>
    <w:p w14:paraId="64CC062C" w14:textId="77777777" w:rsidR="008C76C7" w:rsidRPr="003B3304" w:rsidRDefault="003311DD" w:rsidP="003B3304">
      <w:pPr>
        <w:pStyle w:val="Bodytext25"/>
        <w:spacing w:before="120" w:after="60" w:line="240" w:lineRule="auto"/>
        <w:ind w:firstLine="0"/>
        <w:rPr>
          <w:b/>
          <w:sz w:val="24"/>
          <w:szCs w:val="24"/>
        </w:rPr>
      </w:pPr>
      <w:r w:rsidRPr="003B3304">
        <w:rPr>
          <w:rStyle w:val="Bodytext22"/>
          <w:b/>
          <w:sz w:val="20"/>
          <w:szCs w:val="20"/>
        </w:rPr>
        <w:t>Applications for review</w:t>
      </w:r>
      <w:r w:rsidRPr="003B3304">
        <w:rPr>
          <w:rStyle w:val="Bodytext22"/>
          <w:b/>
          <w:sz w:val="24"/>
          <w:szCs w:val="24"/>
        </w:rPr>
        <w:t>.</w:t>
      </w:r>
    </w:p>
    <w:p w14:paraId="0215A479" w14:textId="77777777" w:rsidR="008C76C7" w:rsidRPr="00320EB5" w:rsidRDefault="001F4D71" w:rsidP="003B3304">
      <w:pPr>
        <w:pStyle w:val="BodyText7"/>
        <w:tabs>
          <w:tab w:val="left" w:pos="630"/>
        </w:tabs>
        <w:spacing w:line="240" w:lineRule="auto"/>
        <w:ind w:firstLine="270"/>
        <w:jc w:val="both"/>
        <w:rPr>
          <w:sz w:val="24"/>
          <w:szCs w:val="24"/>
        </w:rPr>
      </w:pPr>
      <w:r w:rsidRPr="003B3304">
        <w:rPr>
          <w:rStyle w:val="BodyText5"/>
          <w:b/>
          <w:sz w:val="24"/>
          <w:szCs w:val="24"/>
        </w:rPr>
        <w:t>11.</w:t>
      </w:r>
      <w:r w:rsidR="003B3304">
        <w:rPr>
          <w:rStyle w:val="BodyText5"/>
          <w:sz w:val="24"/>
          <w:szCs w:val="24"/>
        </w:rPr>
        <w:tab/>
      </w:r>
      <w:r w:rsidR="003311DD" w:rsidRPr="00320EB5">
        <w:rPr>
          <w:rStyle w:val="BodyText5"/>
          <w:sz w:val="24"/>
          <w:szCs w:val="24"/>
        </w:rPr>
        <w:t>Section 101 of the Principal Act is amended by omitting from sub-section (1) the word and figures “or (11)”.</w:t>
      </w:r>
    </w:p>
    <w:p w14:paraId="13536B4F" w14:textId="77777777" w:rsidR="005E2AD1" w:rsidRPr="003B3304" w:rsidRDefault="005E2AD1" w:rsidP="003B3304">
      <w:pPr>
        <w:pStyle w:val="Bodytext25"/>
        <w:spacing w:before="120" w:after="60" w:line="240" w:lineRule="auto"/>
        <w:ind w:firstLine="0"/>
        <w:rPr>
          <w:b/>
          <w:sz w:val="20"/>
          <w:szCs w:val="20"/>
        </w:rPr>
      </w:pPr>
      <w:r w:rsidRPr="003B3304">
        <w:rPr>
          <w:rStyle w:val="Bodytext22"/>
          <w:b/>
          <w:sz w:val="20"/>
          <w:szCs w:val="20"/>
        </w:rPr>
        <w:t>Representation.</w:t>
      </w:r>
    </w:p>
    <w:p w14:paraId="024875C5" w14:textId="03CDB27C" w:rsidR="008C76C7" w:rsidRPr="00320EB5" w:rsidRDefault="001F4D71" w:rsidP="003B3304">
      <w:pPr>
        <w:pStyle w:val="BodyText7"/>
        <w:tabs>
          <w:tab w:val="left" w:pos="630"/>
        </w:tabs>
        <w:spacing w:after="120" w:line="240" w:lineRule="auto"/>
        <w:ind w:firstLine="274"/>
        <w:jc w:val="both"/>
        <w:rPr>
          <w:sz w:val="24"/>
          <w:szCs w:val="24"/>
        </w:rPr>
      </w:pPr>
      <w:r w:rsidRPr="003B3304">
        <w:rPr>
          <w:rStyle w:val="BodyText5"/>
          <w:b/>
          <w:sz w:val="24"/>
          <w:szCs w:val="24"/>
        </w:rPr>
        <w:t>12.</w:t>
      </w:r>
      <w:r w:rsidR="003B3304">
        <w:rPr>
          <w:rStyle w:val="BodyText5"/>
          <w:sz w:val="24"/>
          <w:szCs w:val="24"/>
        </w:rPr>
        <w:tab/>
      </w:r>
      <w:r w:rsidR="003311DD" w:rsidRPr="00320EB5">
        <w:rPr>
          <w:rStyle w:val="BodyText5"/>
          <w:sz w:val="24"/>
          <w:szCs w:val="24"/>
        </w:rPr>
        <w:t>Section 110 of the Principal Act is amended by omitting paragraph (a) and substituting the following paragraphs:—</w:t>
      </w:r>
    </w:p>
    <w:p w14:paraId="30DAB64C" w14:textId="77777777" w:rsidR="008C76C7" w:rsidRPr="00320EB5" w:rsidRDefault="003311DD" w:rsidP="003B3304">
      <w:pPr>
        <w:pStyle w:val="BodyText7"/>
        <w:spacing w:after="120" w:line="240" w:lineRule="auto"/>
        <w:ind w:firstLine="274"/>
        <w:jc w:val="both"/>
        <w:rPr>
          <w:sz w:val="24"/>
          <w:szCs w:val="24"/>
        </w:rPr>
      </w:pPr>
      <w:r w:rsidRPr="00320EB5">
        <w:rPr>
          <w:rStyle w:val="BodyText5"/>
          <w:sz w:val="24"/>
          <w:szCs w:val="24"/>
        </w:rPr>
        <w:t>“(a) a natural person may appear in person;</w:t>
      </w:r>
    </w:p>
    <w:p w14:paraId="42D09C91" w14:textId="77777777" w:rsidR="00EE7D58" w:rsidRDefault="00EE7D58">
      <w:pPr>
        <w:rPr>
          <w:rStyle w:val="BodyText5"/>
          <w:rFonts w:eastAsia="Courier New"/>
          <w:sz w:val="24"/>
          <w:szCs w:val="24"/>
        </w:rPr>
      </w:pPr>
      <w:r>
        <w:rPr>
          <w:rStyle w:val="BodyText5"/>
          <w:rFonts w:eastAsia="Courier New"/>
          <w:sz w:val="24"/>
          <w:szCs w:val="24"/>
        </w:rPr>
        <w:br w:type="page"/>
      </w:r>
    </w:p>
    <w:p w14:paraId="51905023" w14:textId="0544FDFE" w:rsidR="008C76C7" w:rsidRPr="00320EB5" w:rsidRDefault="003311DD" w:rsidP="003B3304">
      <w:pPr>
        <w:pStyle w:val="BodyText7"/>
        <w:spacing w:after="120" w:line="240" w:lineRule="auto"/>
        <w:ind w:left="821" w:hanging="547"/>
        <w:jc w:val="both"/>
        <w:rPr>
          <w:rStyle w:val="BodyText5"/>
          <w:sz w:val="24"/>
          <w:szCs w:val="24"/>
        </w:rPr>
      </w:pPr>
      <w:r w:rsidRPr="00320EB5">
        <w:rPr>
          <w:rStyle w:val="BodyText5"/>
          <w:sz w:val="24"/>
          <w:szCs w:val="24"/>
        </w:rPr>
        <w:lastRenderedPageBreak/>
        <w:t>“(aa) a person other than a body corporate may be represented by an employee of the person approved by the Tribunal;</w:t>
      </w:r>
    </w:p>
    <w:p w14:paraId="285F26FB" w14:textId="77777777" w:rsidR="005B409C" w:rsidRPr="005B409C" w:rsidRDefault="005B409C" w:rsidP="005B409C">
      <w:pPr>
        <w:pStyle w:val="BodyText7"/>
        <w:spacing w:before="120" w:after="60" w:line="240" w:lineRule="auto"/>
        <w:ind w:firstLine="0"/>
        <w:jc w:val="both"/>
        <w:rPr>
          <w:rStyle w:val="BodyText23"/>
          <w:b/>
          <w:sz w:val="20"/>
          <w:szCs w:val="20"/>
        </w:rPr>
      </w:pPr>
      <w:r w:rsidRPr="005B409C">
        <w:rPr>
          <w:rStyle w:val="Bodytext8pt"/>
          <w:b/>
          <w:sz w:val="20"/>
          <w:szCs w:val="20"/>
        </w:rPr>
        <w:t>Interpretation</w:t>
      </w:r>
    </w:p>
    <w:p w14:paraId="656743F9" w14:textId="63391745" w:rsidR="00C73066" w:rsidRPr="00320EB5" w:rsidRDefault="00C73066" w:rsidP="00624F6C">
      <w:pPr>
        <w:pStyle w:val="BodyText7"/>
        <w:tabs>
          <w:tab w:val="left" w:pos="630"/>
        </w:tabs>
        <w:spacing w:line="240" w:lineRule="auto"/>
        <w:ind w:firstLine="270"/>
        <w:jc w:val="both"/>
        <w:rPr>
          <w:sz w:val="24"/>
          <w:szCs w:val="24"/>
        </w:rPr>
      </w:pPr>
      <w:r w:rsidRPr="00624F6C">
        <w:rPr>
          <w:rStyle w:val="BodyText23"/>
          <w:b/>
          <w:sz w:val="24"/>
          <w:szCs w:val="24"/>
        </w:rPr>
        <w:t>13.</w:t>
      </w:r>
      <w:r w:rsidR="00624F6C">
        <w:rPr>
          <w:rStyle w:val="BodyText23"/>
          <w:sz w:val="24"/>
          <w:szCs w:val="24"/>
        </w:rPr>
        <w:tab/>
      </w:r>
      <w:r w:rsidRPr="00320EB5">
        <w:rPr>
          <w:rStyle w:val="BodyText23"/>
          <w:sz w:val="24"/>
          <w:szCs w:val="24"/>
        </w:rPr>
        <w:t>Section 111 of the Principal Act is amended by omitting from the definition of “Australian flag shipping operator” in sub-section (1) the words “a law of Australia” and substituting the words “a law of the Commonwealth</w:t>
      </w:r>
      <w:r w:rsidR="00EE7D58">
        <w:rPr>
          <w:rStyle w:val="BodyText23"/>
          <w:sz w:val="24"/>
          <w:szCs w:val="24"/>
        </w:rPr>
        <w:t>”</w:t>
      </w:r>
      <w:r w:rsidRPr="00320EB5">
        <w:rPr>
          <w:rStyle w:val="BodyText23"/>
          <w:sz w:val="24"/>
          <w:szCs w:val="24"/>
        </w:rPr>
        <w:t>.</w:t>
      </w:r>
    </w:p>
    <w:p w14:paraId="477F621E" w14:textId="77777777" w:rsidR="008C76C7" w:rsidRPr="003B3304" w:rsidRDefault="003311DD" w:rsidP="003B3304">
      <w:pPr>
        <w:pStyle w:val="Bodytext25"/>
        <w:spacing w:before="120" w:after="60" w:line="240" w:lineRule="auto"/>
        <w:ind w:firstLine="0"/>
        <w:rPr>
          <w:b/>
          <w:sz w:val="20"/>
          <w:szCs w:val="20"/>
        </w:rPr>
      </w:pPr>
      <w:r w:rsidRPr="003B3304">
        <w:rPr>
          <w:rStyle w:val="Bodytext20"/>
          <w:b/>
          <w:sz w:val="20"/>
          <w:szCs w:val="20"/>
        </w:rPr>
        <w:t>Institution of prosecutions.</w:t>
      </w:r>
    </w:p>
    <w:p w14:paraId="7CE3E1E0" w14:textId="76EE85BF" w:rsidR="008C76C7" w:rsidRPr="00320EB5" w:rsidRDefault="00287A20" w:rsidP="003B3304">
      <w:pPr>
        <w:pStyle w:val="BodyText7"/>
        <w:tabs>
          <w:tab w:val="left" w:pos="630"/>
        </w:tabs>
        <w:spacing w:after="120" w:line="240" w:lineRule="auto"/>
        <w:ind w:firstLine="274"/>
        <w:jc w:val="both"/>
        <w:rPr>
          <w:sz w:val="24"/>
          <w:szCs w:val="24"/>
        </w:rPr>
      </w:pPr>
      <w:r w:rsidRPr="003B3304">
        <w:rPr>
          <w:rStyle w:val="BodyText62"/>
          <w:b/>
          <w:sz w:val="24"/>
          <w:szCs w:val="24"/>
        </w:rPr>
        <w:t>14.</w:t>
      </w:r>
      <w:r w:rsidR="003B3304">
        <w:rPr>
          <w:rStyle w:val="BodyText62"/>
          <w:sz w:val="24"/>
          <w:szCs w:val="24"/>
        </w:rPr>
        <w:tab/>
      </w:r>
      <w:r w:rsidR="003311DD" w:rsidRPr="00320EB5">
        <w:rPr>
          <w:rStyle w:val="BodyText62"/>
          <w:sz w:val="24"/>
          <w:szCs w:val="24"/>
        </w:rPr>
        <w:t>Section 140 of the Principal Act is amended by omitting sub</w:t>
      </w:r>
      <w:r w:rsidR="00EE7D58">
        <w:rPr>
          <w:rStyle w:val="BodyText62"/>
          <w:sz w:val="24"/>
          <w:szCs w:val="24"/>
        </w:rPr>
        <w:t>-</w:t>
      </w:r>
      <w:r w:rsidR="003311DD" w:rsidRPr="00320EB5">
        <w:rPr>
          <w:rStyle w:val="BodyText62"/>
          <w:sz w:val="24"/>
          <w:szCs w:val="24"/>
        </w:rPr>
        <w:t>section (1) and substituting the following sub-section:—</w:t>
      </w:r>
    </w:p>
    <w:p w14:paraId="4D5D4B6E" w14:textId="1B8E97E4" w:rsidR="008C76C7" w:rsidRPr="00320EB5" w:rsidRDefault="003311DD" w:rsidP="003B3304">
      <w:pPr>
        <w:pStyle w:val="BodyText7"/>
        <w:spacing w:after="120" w:line="240" w:lineRule="auto"/>
        <w:ind w:firstLine="274"/>
        <w:jc w:val="both"/>
        <w:rPr>
          <w:sz w:val="24"/>
          <w:szCs w:val="24"/>
        </w:rPr>
      </w:pPr>
      <w:r w:rsidRPr="00320EB5">
        <w:rPr>
          <w:rStyle w:val="BodytextSpacing1pt"/>
          <w:spacing w:val="0"/>
          <w:sz w:val="24"/>
          <w:szCs w:val="24"/>
        </w:rPr>
        <w:t>“(1)</w:t>
      </w:r>
      <w:r w:rsidRPr="00320EB5">
        <w:rPr>
          <w:rStyle w:val="BodyText62"/>
          <w:sz w:val="24"/>
          <w:szCs w:val="24"/>
        </w:rPr>
        <w:t xml:space="preserve"> For the purpose of proceedings before the Court for an offence against this Part, the references in paragraph 163(4)(b) to the Minister shall be read as references to the Minister administering this Part.</w:t>
      </w:r>
    </w:p>
    <w:p w14:paraId="0F239AF3" w14:textId="4865C42B" w:rsidR="008C76C7" w:rsidRPr="00320EB5" w:rsidRDefault="00287A20" w:rsidP="003B3304">
      <w:pPr>
        <w:pStyle w:val="BodyText7"/>
        <w:tabs>
          <w:tab w:val="left" w:pos="630"/>
        </w:tabs>
        <w:spacing w:line="240" w:lineRule="auto"/>
        <w:ind w:firstLine="270"/>
        <w:jc w:val="both"/>
        <w:rPr>
          <w:sz w:val="24"/>
          <w:szCs w:val="24"/>
        </w:rPr>
      </w:pPr>
      <w:r w:rsidRPr="003B3304">
        <w:rPr>
          <w:rStyle w:val="BodyText62"/>
          <w:b/>
          <w:sz w:val="24"/>
          <w:szCs w:val="24"/>
        </w:rPr>
        <w:t>15.</w:t>
      </w:r>
      <w:r w:rsidR="003B3304">
        <w:rPr>
          <w:rStyle w:val="BodyText62"/>
          <w:sz w:val="24"/>
          <w:szCs w:val="24"/>
        </w:rPr>
        <w:tab/>
      </w:r>
      <w:r w:rsidR="003311DD" w:rsidRPr="00320EB5">
        <w:rPr>
          <w:rStyle w:val="BodyText62"/>
          <w:sz w:val="24"/>
          <w:szCs w:val="24"/>
        </w:rPr>
        <w:t>After section 163 of the Principal Act the following section is inserted:—</w:t>
      </w:r>
    </w:p>
    <w:p w14:paraId="63FC038A" w14:textId="77777777" w:rsidR="008C76C7" w:rsidRPr="003B3304" w:rsidRDefault="003311DD" w:rsidP="003B3304">
      <w:pPr>
        <w:pStyle w:val="Bodytext25"/>
        <w:spacing w:before="120" w:after="60" w:line="240" w:lineRule="auto"/>
        <w:ind w:firstLine="0"/>
        <w:rPr>
          <w:b/>
          <w:sz w:val="20"/>
          <w:szCs w:val="20"/>
        </w:rPr>
      </w:pPr>
      <w:r w:rsidRPr="003B3304">
        <w:rPr>
          <w:rStyle w:val="Bodytext20"/>
          <w:b/>
          <w:sz w:val="20"/>
          <w:szCs w:val="20"/>
        </w:rPr>
        <w:t>Jurisdiction of Court to make declarations and orders.</w:t>
      </w:r>
    </w:p>
    <w:p w14:paraId="5620A5DD" w14:textId="04959B44" w:rsidR="008C76C7" w:rsidRPr="00320EB5" w:rsidRDefault="00B8682E" w:rsidP="003B3304">
      <w:pPr>
        <w:pStyle w:val="BodyText7"/>
        <w:spacing w:line="240" w:lineRule="auto"/>
        <w:ind w:firstLine="270"/>
        <w:jc w:val="both"/>
        <w:rPr>
          <w:sz w:val="24"/>
          <w:szCs w:val="24"/>
        </w:rPr>
      </w:pPr>
      <w:r>
        <w:rPr>
          <w:rStyle w:val="BodyText62"/>
          <w:sz w:val="24"/>
          <w:szCs w:val="24"/>
        </w:rPr>
        <w:t>“163</w:t>
      </w:r>
      <w:r w:rsidR="003311DD" w:rsidRPr="00320EB5">
        <w:rPr>
          <w:rStyle w:val="Bodytext8pt0"/>
          <w:sz w:val="24"/>
          <w:szCs w:val="24"/>
        </w:rPr>
        <w:t xml:space="preserve">a. </w:t>
      </w:r>
      <w:r w:rsidR="003311DD" w:rsidRPr="00320EB5">
        <w:rPr>
          <w:rStyle w:val="BodyText62"/>
          <w:sz w:val="24"/>
          <w:szCs w:val="24"/>
        </w:rPr>
        <w:t>(1) Subject to this section, a</w:t>
      </w:r>
      <w:r w:rsidR="00EE7D58">
        <w:rPr>
          <w:rStyle w:val="BodyText62"/>
          <w:sz w:val="24"/>
          <w:szCs w:val="24"/>
        </w:rPr>
        <w:t xml:space="preserve"> person may institute a proceed</w:t>
      </w:r>
      <w:r w:rsidR="003311DD" w:rsidRPr="00320EB5">
        <w:rPr>
          <w:rStyle w:val="BodyText62"/>
          <w:sz w:val="24"/>
          <w:szCs w:val="24"/>
        </w:rPr>
        <w:t>ing in the Court seeking, in relation to a matter arising under this Act, the making of—</w:t>
      </w:r>
    </w:p>
    <w:p w14:paraId="3D87FC3B" w14:textId="7A723786" w:rsidR="008C76C7" w:rsidRPr="00320EB5" w:rsidRDefault="00287A20" w:rsidP="003B3304">
      <w:pPr>
        <w:pStyle w:val="BodyText7"/>
        <w:spacing w:after="120" w:line="240" w:lineRule="auto"/>
        <w:ind w:left="634" w:hanging="360"/>
        <w:jc w:val="both"/>
        <w:rPr>
          <w:sz w:val="24"/>
          <w:szCs w:val="24"/>
        </w:rPr>
      </w:pPr>
      <w:r w:rsidRPr="00320EB5">
        <w:rPr>
          <w:rStyle w:val="BodyText62"/>
          <w:sz w:val="24"/>
          <w:szCs w:val="24"/>
        </w:rPr>
        <w:t>(a)</w:t>
      </w:r>
      <w:r w:rsidR="003311DD" w:rsidRPr="00320EB5">
        <w:rPr>
          <w:rStyle w:val="BodyText62"/>
          <w:sz w:val="24"/>
          <w:szCs w:val="24"/>
        </w:rPr>
        <w:t xml:space="preserve"> a declaration in relation to the operation or effect of any provision of this Act other than Division 2 of Part V or in relation to the validity of any act or thing d</w:t>
      </w:r>
      <w:r w:rsidR="003B3304">
        <w:rPr>
          <w:rStyle w:val="BodyText62"/>
          <w:sz w:val="24"/>
          <w:szCs w:val="24"/>
        </w:rPr>
        <w:t>one, proposed to be done or pur</w:t>
      </w:r>
      <w:r w:rsidR="003311DD" w:rsidRPr="00320EB5">
        <w:rPr>
          <w:rStyle w:val="BodyText62"/>
          <w:sz w:val="24"/>
          <w:szCs w:val="24"/>
        </w:rPr>
        <w:t>porting to have been done under this Act; or</w:t>
      </w:r>
    </w:p>
    <w:p w14:paraId="24E44152" w14:textId="77777777" w:rsidR="008C76C7" w:rsidRPr="00320EB5" w:rsidRDefault="00287A20" w:rsidP="003B3304">
      <w:pPr>
        <w:pStyle w:val="BodyText7"/>
        <w:spacing w:line="240" w:lineRule="auto"/>
        <w:ind w:firstLine="270"/>
        <w:jc w:val="both"/>
        <w:rPr>
          <w:sz w:val="24"/>
          <w:szCs w:val="24"/>
        </w:rPr>
      </w:pPr>
      <w:r w:rsidRPr="00320EB5">
        <w:rPr>
          <w:rStyle w:val="BodyText62"/>
          <w:sz w:val="24"/>
          <w:szCs w:val="24"/>
        </w:rPr>
        <w:t>(b)</w:t>
      </w:r>
      <w:r w:rsidR="003311DD" w:rsidRPr="00320EB5">
        <w:rPr>
          <w:rStyle w:val="BodyText62"/>
          <w:sz w:val="24"/>
          <w:szCs w:val="24"/>
        </w:rPr>
        <w:t xml:space="preserve"> an order by way of, or in the nature of, prohibition, certiorari or mandamus,</w:t>
      </w:r>
    </w:p>
    <w:p w14:paraId="63AAB11E" w14:textId="77777777" w:rsidR="008C76C7" w:rsidRPr="00320EB5" w:rsidRDefault="003311DD" w:rsidP="003B3304">
      <w:pPr>
        <w:pStyle w:val="BodyText7"/>
        <w:spacing w:after="120" w:line="240" w:lineRule="auto"/>
        <w:ind w:left="634" w:firstLine="0"/>
        <w:jc w:val="both"/>
        <w:rPr>
          <w:sz w:val="24"/>
          <w:szCs w:val="24"/>
        </w:rPr>
      </w:pPr>
      <w:r w:rsidRPr="00320EB5">
        <w:rPr>
          <w:rStyle w:val="BodyText62"/>
          <w:sz w:val="24"/>
          <w:szCs w:val="24"/>
        </w:rPr>
        <w:t>or both such a declaration and such an order, and the Court has jurisdic</w:t>
      </w:r>
      <w:r w:rsidRPr="00320EB5">
        <w:rPr>
          <w:rStyle w:val="BodyText62"/>
          <w:sz w:val="24"/>
          <w:szCs w:val="24"/>
        </w:rPr>
        <w:softHyphen/>
        <w:t>tion to hear and determine the proceeding.</w:t>
      </w:r>
    </w:p>
    <w:p w14:paraId="2659ACEF" w14:textId="1C518A48" w:rsidR="008C76C7" w:rsidRPr="00320EB5" w:rsidRDefault="003311DD" w:rsidP="003B3304">
      <w:pPr>
        <w:pStyle w:val="BodyText7"/>
        <w:spacing w:after="120" w:line="240" w:lineRule="auto"/>
        <w:ind w:firstLine="274"/>
        <w:jc w:val="both"/>
        <w:rPr>
          <w:sz w:val="24"/>
          <w:szCs w:val="24"/>
        </w:rPr>
      </w:pPr>
      <w:r w:rsidRPr="00320EB5">
        <w:rPr>
          <w:rStyle w:val="BodytextSpacing1pt"/>
          <w:spacing w:val="0"/>
          <w:sz w:val="24"/>
          <w:szCs w:val="24"/>
        </w:rPr>
        <w:t>“(2)</w:t>
      </w:r>
      <w:r w:rsidRPr="00320EB5">
        <w:rPr>
          <w:rStyle w:val="BodyText62"/>
          <w:sz w:val="24"/>
          <w:szCs w:val="24"/>
        </w:rPr>
        <w:t xml:space="preserve"> The Minister may institute a proceeding in the Court under this section and may intervene in any proceeding instituted in the Court under this section or in a proceeding instituted in any other court in which a party is seeking the making of a declaration of a kind mentioned in paragraph </w:t>
      </w:r>
      <w:r w:rsidRPr="00320EB5">
        <w:rPr>
          <w:rStyle w:val="BodytextSpacing1pt"/>
          <w:spacing w:val="0"/>
          <w:sz w:val="24"/>
          <w:szCs w:val="24"/>
        </w:rPr>
        <w:t>(</w:t>
      </w:r>
      <w:r w:rsidR="00EE7D58">
        <w:rPr>
          <w:rStyle w:val="BodytextSpacing1pt"/>
          <w:spacing w:val="0"/>
          <w:sz w:val="24"/>
          <w:szCs w:val="24"/>
        </w:rPr>
        <w:t>1</w:t>
      </w:r>
      <w:r w:rsidRPr="00320EB5">
        <w:rPr>
          <w:rStyle w:val="BodytextSpacing1pt"/>
          <w:spacing w:val="0"/>
          <w:sz w:val="24"/>
          <w:szCs w:val="24"/>
        </w:rPr>
        <w:t>)(a)</w:t>
      </w:r>
      <w:r w:rsidRPr="00320EB5">
        <w:rPr>
          <w:rStyle w:val="BodyText62"/>
          <w:sz w:val="24"/>
          <w:szCs w:val="24"/>
        </w:rPr>
        <w:t xml:space="preserve"> or an order of a kind mentioned in paragraph </w:t>
      </w:r>
      <w:r w:rsidRPr="00320EB5">
        <w:rPr>
          <w:rStyle w:val="BodytextSpacing1pt"/>
          <w:spacing w:val="0"/>
          <w:sz w:val="24"/>
          <w:szCs w:val="24"/>
        </w:rPr>
        <w:t>(</w:t>
      </w:r>
      <w:r w:rsidR="00EE7D58">
        <w:rPr>
          <w:rStyle w:val="BodytextSpacing1pt"/>
          <w:spacing w:val="0"/>
          <w:sz w:val="24"/>
          <w:szCs w:val="24"/>
        </w:rPr>
        <w:t>1</w:t>
      </w:r>
      <w:r w:rsidRPr="00320EB5">
        <w:rPr>
          <w:rStyle w:val="BodytextSpacing1pt"/>
          <w:spacing w:val="0"/>
          <w:sz w:val="24"/>
          <w:szCs w:val="24"/>
        </w:rPr>
        <w:t>)(b).</w:t>
      </w:r>
    </w:p>
    <w:p w14:paraId="594C08EA" w14:textId="77777777" w:rsidR="008C76C7" w:rsidRPr="00320EB5" w:rsidRDefault="003311DD" w:rsidP="003B3304">
      <w:pPr>
        <w:pStyle w:val="BodyText7"/>
        <w:spacing w:after="120" w:line="240" w:lineRule="auto"/>
        <w:ind w:firstLine="274"/>
        <w:jc w:val="both"/>
        <w:rPr>
          <w:sz w:val="24"/>
          <w:szCs w:val="24"/>
        </w:rPr>
      </w:pPr>
      <w:r w:rsidRPr="00320EB5">
        <w:rPr>
          <w:rStyle w:val="BodytextSpacing1pt"/>
          <w:spacing w:val="0"/>
          <w:sz w:val="24"/>
          <w:szCs w:val="24"/>
        </w:rPr>
        <w:t>“(3)</w:t>
      </w:r>
      <w:r w:rsidRPr="00320EB5">
        <w:rPr>
          <w:rStyle w:val="BodyText62"/>
          <w:sz w:val="24"/>
          <w:szCs w:val="24"/>
        </w:rPr>
        <w:t xml:space="preserve"> The Commission is not entitled to institute a proceeding in the Court under this section but may, in its official name, intervene in a pro</w:t>
      </w:r>
      <w:r w:rsidRPr="00320EB5">
        <w:rPr>
          <w:rStyle w:val="BodyText62"/>
          <w:sz w:val="24"/>
          <w:szCs w:val="24"/>
        </w:rPr>
        <w:softHyphen/>
        <w:t>ceeding instituted in the Court or in any other court, being a proceeding in which a party is seeking the making of a declaration of a kind men</w:t>
      </w:r>
      <w:r w:rsidRPr="00320EB5">
        <w:rPr>
          <w:rStyle w:val="BodyText62"/>
          <w:sz w:val="24"/>
          <w:szCs w:val="24"/>
        </w:rPr>
        <w:softHyphen/>
        <w:t>tioned in paragraph (1) (a) in relation to a matter in respect of which that party gave, or could have given, a notice to the Commission under section 92, 93 or 94.</w:t>
      </w:r>
    </w:p>
    <w:p w14:paraId="54FEECC5" w14:textId="77777777" w:rsidR="008C76C7" w:rsidRPr="00320EB5" w:rsidRDefault="003311DD" w:rsidP="003B3304">
      <w:pPr>
        <w:pStyle w:val="BodyText7"/>
        <w:spacing w:after="120" w:line="240" w:lineRule="auto"/>
        <w:ind w:firstLine="274"/>
        <w:jc w:val="both"/>
        <w:rPr>
          <w:sz w:val="24"/>
          <w:szCs w:val="24"/>
        </w:rPr>
      </w:pPr>
      <w:r w:rsidRPr="00320EB5">
        <w:rPr>
          <w:rStyle w:val="BodytextSpacing1pt"/>
          <w:spacing w:val="0"/>
          <w:sz w:val="24"/>
          <w:szCs w:val="24"/>
        </w:rPr>
        <w:t>“(4)</w:t>
      </w:r>
      <w:r w:rsidRPr="00320EB5">
        <w:rPr>
          <w:rStyle w:val="BodyText62"/>
          <w:sz w:val="24"/>
          <w:szCs w:val="24"/>
        </w:rPr>
        <w:t xml:space="preserve"> The jurisdiction of the Court to make—</w:t>
      </w:r>
    </w:p>
    <w:p w14:paraId="52CE33C2" w14:textId="77777777" w:rsidR="008C76C7" w:rsidRPr="00320EB5" w:rsidRDefault="00287A20" w:rsidP="003B3304">
      <w:pPr>
        <w:pStyle w:val="BodyText7"/>
        <w:spacing w:after="120" w:line="240" w:lineRule="auto"/>
        <w:ind w:left="634" w:hanging="360"/>
        <w:jc w:val="both"/>
        <w:rPr>
          <w:sz w:val="24"/>
          <w:szCs w:val="24"/>
        </w:rPr>
      </w:pPr>
      <w:r w:rsidRPr="00320EB5">
        <w:rPr>
          <w:rStyle w:val="BodyText62"/>
          <w:sz w:val="24"/>
          <w:szCs w:val="24"/>
        </w:rPr>
        <w:t>(a)</w:t>
      </w:r>
      <w:r w:rsidR="003311DD" w:rsidRPr="00320EB5">
        <w:rPr>
          <w:rStyle w:val="BodyText62"/>
          <w:sz w:val="24"/>
          <w:szCs w:val="24"/>
        </w:rPr>
        <w:t xml:space="preserve"> a declaration in relation to the validity of any act or thing done, proposed to be done or purporting to have been done under this Act by the Tribunal; or</w:t>
      </w:r>
    </w:p>
    <w:p w14:paraId="4BA46C6C" w14:textId="7F329A29" w:rsidR="008C76C7" w:rsidRPr="00320EB5" w:rsidRDefault="00287A20" w:rsidP="003B3304">
      <w:pPr>
        <w:pStyle w:val="BodyText7"/>
        <w:spacing w:after="120" w:line="240" w:lineRule="auto"/>
        <w:ind w:left="634" w:hanging="360"/>
        <w:jc w:val="both"/>
        <w:rPr>
          <w:sz w:val="24"/>
          <w:szCs w:val="24"/>
        </w:rPr>
      </w:pPr>
      <w:r w:rsidRPr="00320EB5">
        <w:rPr>
          <w:rStyle w:val="BodyText62"/>
          <w:sz w:val="24"/>
          <w:szCs w:val="24"/>
        </w:rPr>
        <w:t>(b)</w:t>
      </w:r>
      <w:r w:rsidR="003311DD" w:rsidRPr="00320EB5">
        <w:rPr>
          <w:rStyle w:val="BodyText62"/>
          <w:sz w:val="24"/>
          <w:szCs w:val="24"/>
        </w:rPr>
        <w:t xml:space="preserve"> an order of a kind mentioned in paragraph (1)(b) directed to the Tribunal,</w:t>
      </w:r>
      <w:r w:rsidR="003B3304" w:rsidRPr="00320EB5">
        <w:rPr>
          <w:rStyle w:val="BodyText62"/>
          <w:sz w:val="24"/>
          <w:szCs w:val="24"/>
        </w:rPr>
        <w:t xml:space="preserve"> </w:t>
      </w:r>
      <w:r w:rsidR="003311DD" w:rsidRPr="00320EB5">
        <w:rPr>
          <w:rStyle w:val="BodyText62"/>
          <w:sz w:val="24"/>
          <w:szCs w:val="24"/>
        </w:rPr>
        <w:t>shall be exercised by not less than 3 Judges.</w:t>
      </w:r>
    </w:p>
    <w:p w14:paraId="7DE047FE" w14:textId="77777777" w:rsidR="008C76C7" w:rsidRPr="00320EB5" w:rsidRDefault="003311DD" w:rsidP="003B3304">
      <w:pPr>
        <w:pStyle w:val="BodyText7"/>
        <w:spacing w:line="240" w:lineRule="auto"/>
        <w:ind w:firstLine="270"/>
        <w:jc w:val="both"/>
        <w:rPr>
          <w:sz w:val="24"/>
          <w:szCs w:val="24"/>
        </w:rPr>
      </w:pPr>
      <w:r w:rsidRPr="00320EB5">
        <w:rPr>
          <w:rStyle w:val="BodytextSpacing1pt"/>
          <w:spacing w:val="0"/>
          <w:sz w:val="24"/>
          <w:szCs w:val="24"/>
        </w:rPr>
        <w:t>“(5)</w:t>
      </w:r>
      <w:r w:rsidRPr="00320EB5">
        <w:rPr>
          <w:rStyle w:val="BodyText62"/>
          <w:sz w:val="24"/>
          <w:szCs w:val="24"/>
        </w:rPr>
        <w:t xml:space="preserve"> In this section, ‘proceeding’ includes a cross-proceeding.”.</w:t>
      </w:r>
    </w:p>
    <w:p w14:paraId="72D0F19A" w14:textId="77777777" w:rsidR="008C76C7" w:rsidRPr="003B3304" w:rsidRDefault="003311DD" w:rsidP="003B3304">
      <w:pPr>
        <w:pStyle w:val="Bodytext25"/>
        <w:spacing w:before="120" w:after="60" w:line="240" w:lineRule="auto"/>
        <w:ind w:firstLine="0"/>
        <w:rPr>
          <w:b/>
          <w:sz w:val="20"/>
          <w:szCs w:val="20"/>
        </w:rPr>
      </w:pPr>
      <w:r w:rsidRPr="003B3304">
        <w:rPr>
          <w:rStyle w:val="Bodytext24"/>
          <w:b/>
          <w:sz w:val="20"/>
          <w:szCs w:val="20"/>
        </w:rPr>
        <w:t>Certificates as to</w:t>
      </w:r>
      <w:r w:rsidR="00287A20" w:rsidRPr="003B3304">
        <w:rPr>
          <w:b/>
          <w:sz w:val="20"/>
          <w:szCs w:val="20"/>
        </w:rPr>
        <w:t xml:space="preserve"> </w:t>
      </w:r>
      <w:r w:rsidRPr="003B3304">
        <w:rPr>
          <w:rStyle w:val="Bodytext24"/>
          <w:b/>
          <w:sz w:val="20"/>
          <w:szCs w:val="20"/>
        </w:rPr>
        <w:t>furnishing of pa</w:t>
      </w:r>
      <w:r w:rsidR="00287A20" w:rsidRPr="003B3304">
        <w:rPr>
          <w:rStyle w:val="Bodytext24"/>
          <w:b/>
          <w:sz w:val="20"/>
          <w:szCs w:val="20"/>
        </w:rPr>
        <w:t>rticulars of contracts, arrangements and under</w:t>
      </w:r>
      <w:r w:rsidRPr="003B3304">
        <w:rPr>
          <w:rStyle w:val="Bodytext24"/>
          <w:b/>
          <w:sz w:val="20"/>
          <w:szCs w:val="20"/>
        </w:rPr>
        <w:t>standings.</w:t>
      </w:r>
    </w:p>
    <w:p w14:paraId="54D184C0" w14:textId="77777777" w:rsidR="008C76C7" w:rsidRPr="00320EB5" w:rsidRDefault="00287A20" w:rsidP="005B409C">
      <w:pPr>
        <w:pStyle w:val="BodyText7"/>
        <w:tabs>
          <w:tab w:val="left" w:pos="630"/>
        </w:tabs>
        <w:spacing w:line="240" w:lineRule="auto"/>
        <w:ind w:firstLine="270"/>
        <w:jc w:val="both"/>
        <w:rPr>
          <w:sz w:val="24"/>
          <w:szCs w:val="24"/>
        </w:rPr>
      </w:pPr>
      <w:r w:rsidRPr="005B409C">
        <w:rPr>
          <w:rStyle w:val="BodyText3"/>
          <w:b/>
          <w:sz w:val="24"/>
          <w:szCs w:val="24"/>
        </w:rPr>
        <w:t>16.</w:t>
      </w:r>
      <w:r w:rsidR="005B409C">
        <w:rPr>
          <w:rStyle w:val="BodyText3"/>
          <w:sz w:val="24"/>
          <w:szCs w:val="24"/>
        </w:rPr>
        <w:tab/>
      </w:r>
      <w:r w:rsidR="003311DD" w:rsidRPr="00320EB5">
        <w:rPr>
          <w:rStyle w:val="BodyText3"/>
          <w:sz w:val="24"/>
          <w:szCs w:val="24"/>
        </w:rPr>
        <w:t>Section 166 of the Principal Act is amended—</w:t>
      </w:r>
    </w:p>
    <w:p w14:paraId="04DE917F" w14:textId="66384B20" w:rsidR="008C76C7" w:rsidRPr="00320EB5" w:rsidRDefault="00287A20" w:rsidP="005B409C">
      <w:pPr>
        <w:pStyle w:val="BodyText7"/>
        <w:spacing w:after="120" w:line="240" w:lineRule="auto"/>
        <w:ind w:left="634" w:hanging="360"/>
        <w:jc w:val="both"/>
        <w:rPr>
          <w:sz w:val="24"/>
          <w:szCs w:val="24"/>
        </w:rPr>
      </w:pPr>
      <w:r w:rsidRPr="005B409C">
        <w:rPr>
          <w:rStyle w:val="BodyText3"/>
          <w:sz w:val="24"/>
          <w:szCs w:val="24"/>
        </w:rPr>
        <w:t>(a)</w:t>
      </w:r>
      <w:r w:rsidRPr="003B3304">
        <w:rPr>
          <w:rStyle w:val="BodyText3"/>
          <w:sz w:val="24"/>
          <w:szCs w:val="24"/>
        </w:rPr>
        <w:t xml:space="preserve"> </w:t>
      </w:r>
      <w:r w:rsidR="003311DD" w:rsidRPr="003B3304">
        <w:rPr>
          <w:rStyle w:val="BodyText3"/>
          <w:sz w:val="24"/>
          <w:szCs w:val="24"/>
        </w:rPr>
        <w:t>by omitting from sub-section (1) the words “an agreement” and substituting the words “a</w:t>
      </w:r>
      <w:r w:rsidR="003311DD" w:rsidRPr="00320EB5">
        <w:rPr>
          <w:rStyle w:val="BodyText3"/>
          <w:sz w:val="24"/>
          <w:szCs w:val="24"/>
        </w:rPr>
        <w:t xml:space="preserve"> provision of a contract, or particulars of an arrangement or understanding,”;</w:t>
      </w:r>
    </w:p>
    <w:p w14:paraId="69805D25" w14:textId="77777777" w:rsidR="008C76C7" w:rsidRPr="00320EB5" w:rsidRDefault="00287A20" w:rsidP="005B409C">
      <w:pPr>
        <w:pStyle w:val="BodyText7"/>
        <w:spacing w:after="120" w:line="240" w:lineRule="auto"/>
        <w:ind w:left="634" w:hanging="360"/>
        <w:jc w:val="both"/>
        <w:rPr>
          <w:sz w:val="24"/>
          <w:szCs w:val="24"/>
        </w:rPr>
      </w:pPr>
      <w:r w:rsidRPr="00320EB5">
        <w:rPr>
          <w:rStyle w:val="BodyText3"/>
          <w:sz w:val="24"/>
          <w:szCs w:val="24"/>
        </w:rPr>
        <w:t xml:space="preserve">(b) </w:t>
      </w:r>
      <w:r w:rsidR="003311DD" w:rsidRPr="00320EB5">
        <w:rPr>
          <w:rStyle w:val="BodyText3"/>
          <w:sz w:val="24"/>
          <w:szCs w:val="24"/>
        </w:rPr>
        <w:t>by omitting from sub-section (1) the words “the agreement” and substituting the words “the contract or to the arrangement or understanding”; and</w:t>
      </w:r>
    </w:p>
    <w:p w14:paraId="7C82547E" w14:textId="77777777" w:rsidR="008C76C7" w:rsidRPr="00320EB5" w:rsidRDefault="00287A20" w:rsidP="005B409C">
      <w:pPr>
        <w:pStyle w:val="BodyText7"/>
        <w:spacing w:after="120" w:line="240" w:lineRule="auto"/>
        <w:ind w:left="634" w:hanging="360"/>
        <w:jc w:val="both"/>
        <w:rPr>
          <w:sz w:val="24"/>
          <w:szCs w:val="24"/>
        </w:rPr>
      </w:pPr>
      <w:r w:rsidRPr="00320EB5">
        <w:rPr>
          <w:rStyle w:val="BodyText3"/>
          <w:sz w:val="24"/>
          <w:szCs w:val="24"/>
        </w:rPr>
        <w:t xml:space="preserve">(c) </w:t>
      </w:r>
      <w:r w:rsidR="003311DD" w:rsidRPr="00320EB5">
        <w:rPr>
          <w:rStyle w:val="BodyText3"/>
          <w:sz w:val="24"/>
          <w:szCs w:val="24"/>
        </w:rPr>
        <w:t>by omitting from sub-section (3) the words “an agreement” and substituting the words “a provision of a contract, or of an a</w:t>
      </w:r>
      <w:r w:rsidR="00B8682E">
        <w:rPr>
          <w:rStyle w:val="BodyText3"/>
          <w:sz w:val="24"/>
          <w:szCs w:val="24"/>
        </w:rPr>
        <w:t>rrangement or understanding,”.</w:t>
      </w:r>
      <w:r w:rsidR="005B409C">
        <w:rPr>
          <w:rStyle w:val="BodyText3"/>
          <w:sz w:val="24"/>
          <w:szCs w:val="24"/>
        </w:rPr>
        <w:t xml:space="preserve"> </w:t>
      </w:r>
    </w:p>
    <w:p w14:paraId="2EF04FE0" w14:textId="0C632425" w:rsidR="008C76C7" w:rsidRPr="00320EB5" w:rsidRDefault="00287A20" w:rsidP="005B409C">
      <w:pPr>
        <w:pStyle w:val="BodyText7"/>
        <w:tabs>
          <w:tab w:val="left" w:pos="630"/>
        </w:tabs>
        <w:spacing w:line="240" w:lineRule="auto"/>
        <w:ind w:firstLine="270"/>
        <w:jc w:val="both"/>
        <w:rPr>
          <w:sz w:val="24"/>
          <w:szCs w:val="24"/>
        </w:rPr>
      </w:pPr>
      <w:r w:rsidRPr="005B409C">
        <w:rPr>
          <w:rStyle w:val="BodyText3"/>
          <w:b/>
          <w:sz w:val="24"/>
          <w:szCs w:val="24"/>
        </w:rPr>
        <w:t>17.</w:t>
      </w:r>
      <w:r w:rsidR="005B409C">
        <w:rPr>
          <w:rStyle w:val="BodyText3"/>
          <w:sz w:val="24"/>
          <w:szCs w:val="24"/>
        </w:rPr>
        <w:tab/>
      </w:r>
      <w:r w:rsidR="003311DD" w:rsidRPr="00320EB5">
        <w:rPr>
          <w:rStyle w:val="BodyText3"/>
          <w:sz w:val="24"/>
          <w:szCs w:val="24"/>
        </w:rPr>
        <w:t>Section 169 of the Principal Act is repealed and the following section substituted:—</w:t>
      </w:r>
    </w:p>
    <w:p w14:paraId="5434FFA4" w14:textId="77777777" w:rsidR="008C76C7" w:rsidRPr="00320EB5" w:rsidRDefault="003311DD" w:rsidP="005B409C">
      <w:pPr>
        <w:pStyle w:val="Bodytext25"/>
        <w:spacing w:after="120" w:line="240" w:lineRule="auto"/>
        <w:ind w:firstLine="0"/>
        <w:rPr>
          <w:sz w:val="24"/>
          <w:szCs w:val="24"/>
        </w:rPr>
      </w:pPr>
      <w:r w:rsidRPr="00320EB5">
        <w:rPr>
          <w:rStyle w:val="Bodytext24"/>
          <w:sz w:val="24"/>
          <w:szCs w:val="24"/>
        </w:rPr>
        <w:t>Single Judge may exercise jurisdiction of Court.</w:t>
      </w:r>
    </w:p>
    <w:p w14:paraId="10402A6C" w14:textId="13B52BF9" w:rsidR="008C76C7" w:rsidRPr="00320EB5" w:rsidRDefault="003311DD" w:rsidP="005B409C">
      <w:pPr>
        <w:pStyle w:val="BodyText7"/>
        <w:spacing w:line="240" w:lineRule="auto"/>
        <w:ind w:firstLine="270"/>
        <w:jc w:val="both"/>
        <w:rPr>
          <w:sz w:val="24"/>
          <w:szCs w:val="24"/>
        </w:rPr>
      </w:pPr>
      <w:r w:rsidRPr="00320EB5">
        <w:rPr>
          <w:rStyle w:val="BodyText3"/>
          <w:sz w:val="24"/>
          <w:szCs w:val="24"/>
        </w:rPr>
        <w:t>“169. Except as provided by sub-section 137(4), section 143, sub</w:t>
      </w:r>
      <w:r w:rsidR="00EE7D58">
        <w:rPr>
          <w:rStyle w:val="BodyText3"/>
          <w:sz w:val="24"/>
          <w:szCs w:val="24"/>
        </w:rPr>
        <w:t>-</w:t>
      </w:r>
      <w:r w:rsidRPr="00320EB5">
        <w:rPr>
          <w:rStyle w:val="BodyText3"/>
          <w:sz w:val="24"/>
          <w:szCs w:val="24"/>
        </w:rPr>
        <w:t>section 163(3) and sub-section 163</w:t>
      </w:r>
      <w:r w:rsidR="00EE7D58">
        <w:rPr>
          <w:rStyle w:val="BodyText3"/>
          <w:smallCaps/>
          <w:sz w:val="24"/>
          <w:szCs w:val="24"/>
        </w:rPr>
        <w:t>a</w:t>
      </w:r>
      <w:r w:rsidRPr="00320EB5">
        <w:rPr>
          <w:rStyle w:val="BodyText3"/>
          <w:sz w:val="24"/>
          <w:szCs w:val="24"/>
        </w:rPr>
        <w:t xml:space="preserve">(4), the jurisdiction conferred on the Court by this Act may </w:t>
      </w:r>
      <w:r w:rsidR="00B8682E">
        <w:rPr>
          <w:rStyle w:val="BodyText3"/>
          <w:sz w:val="24"/>
          <w:szCs w:val="24"/>
        </w:rPr>
        <w:t>be exercised by a single Judge.</w:t>
      </w:r>
      <w:r w:rsidRPr="00320EB5">
        <w:rPr>
          <w:rStyle w:val="BodyText3"/>
          <w:sz w:val="24"/>
          <w:szCs w:val="24"/>
        </w:rPr>
        <w:t>”.</w:t>
      </w:r>
    </w:p>
    <w:p w14:paraId="08A81DAC" w14:textId="77777777" w:rsidR="00287A20" w:rsidRPr="003B3304" w:rsidRDefault="00287A20" w:rsidP="005B409C">
      <w:pPr>
        <w:pStyle w:val="Bodytext25"/>
        <w:spacing w:before="120" w:after="60" w:line="240" w:lineRule="auto"/>
        <w:ind w:firstLine="0"/>
        <w:rPr>
          <w:b/>
          <w:sz w:val="20"/>
          <w:szCs w:val="20"/>
        </w:rPr>
      </w:pPr>
      <w:r w:rsidRPr="003B3304">
        <w:rPr>
          <w:rStyle w:val="Bodytext24"/>
          <w:b/>
          <w:sz w:val="20"/>
          <w:szCs w:val="20"/>
        </w:rPr>
        <w:lastRenderedPageBreak/>
        <w:t>Additional amendments.</w:t>
      </w:r>
    </w:p>
    <w:p w14:paraId="3486F7F2" w14:textId="77777777" w:rsidR="008C76C7" w:rsidRDefault="00287A20" w:rsidP="005B409C">
      <w:pPr>
        <w:pStyle w:val="BodyText7"/>
        <w:tabs>
          <w:tab w:val="left" w:pos="630"/>
        </w:tabs>
        <w:spacing w:line="240" w:lineRule="auto"/>
        <w:ind w:firstLine="270"/>
        <w:jc w:val="both"/>
        <w:rPr>
          <w:rStyle w:val="BodyText3"/>
          <w:sz w:val="24"/>
          <w:szCs w:val="24"/>
        </w:rPr>
      </w:pPr>
      <w:r w:rsidRPr="005B409C">
        <w:rPr>
          <w:rStyle w:val="BodyText3"/>
          <w:b/>
          <w:sz w:val="24"/>
          <w:szCs w:val="24"/>
        </w:rPr>
        <w:t>18.</w:t>
      </w:r>
      <w:r w:rsidR="005B409C">
        <w:rPr>
          <w:rStyle w:val="BodyText3"/>
          <w:sz w:val="24"/>
          <w:szCs w:val="24"/>
        </w:rPr>
        <w:tab/>
      </w:r>
      <w:r w:rsidR="003311DD" w:rsidRPr="00320EB5">
        <w:rPr>
          <w:rStyle w:val="BodyText3"/>
          <w:sz w:val="24"/>
          <w:szCs w:val="24"/>
        </w:rPr>
        <w:t>The Principal Act is amended as set out in the Schedule.</w:t>
      </w:r>
    </w:p>
    <w:p w14:paraId="38E2DC0D" w14:textId="77777777" w:rsidR="005B409C" w:rsidRDefault="005B409C" w:rsidP="005B409C">
      <w:pPr>
        <w:pStyle w:val="BodyText7"/>
        <w:tabs>
          <w:tab w:val="left" w:pos="630"/>
        </w:tabs>
        <w:spacing w:line="240" w:lineRule="auto"/>
        <w:ind w:firstLine="270"/>
        <w:jc w:val="both"/>
        <w:rPr>
          <w:rStyle w:val="BodyText3"/>
          <w:sz w:val="24"/>
          <w:szCs w:val="24"/>
        </w:rPr>
      </w:pPr>
    </w:p>
    <w:p w14:paraId="7220B018" w14:textId="77777777" w:rsidR="005B409C" w:rsidRDefault="005B409C" w:rsidP="005B409C">
      <w:pPr>
        <w:pStyle w:val="BodyText7"/>
        <w:tabs>
          <w:tab w:val="left" w:pos="630"/>
        </w:tabs>
        <w:spacing w:line="240" w:lineRule="auto"/>
        <w:ind w:firstLine="270"/>
        <w:jc w:val="center"/>
        <w:rPr>
          <w:rStyle w:val="BodyText3"/>
          <w:sz w:val="24"/>
          <w:szCs w:val="24"/>
        </w:rPr>
      </w:pPr>
      <w:r>
        <w:rPr>
          <w:rStyle w:val="BodyText3"/>
          <w:sz w:val="24"/>
          <w:szCs w:val="24"/>
        </w:rPr>
        <w:t>___________</w:t>
      </w:r>
    </w:p>
    <w:p w14:paraId="7023085D" w14:textId="77777777" w:rsidR="005B409C" w:rsidRPr="00320EB5" w:rsidRDefault="005B409C" w:rsidP="005B409C">
      <w:pPr>
        <w:pStyle w:val="BodyText7"/>
        <w:tabs>
          <w:tab w:val="left" w:pos="630"/>
        </w:tabs>
        <w:spacing w:line="240" w:lineRule="auto"/>
        <w:ind w:firstLine="270"/>
        <w:jc w:val="center"/>
        <w:rPr>
          <w:sz w:val="24"/>
          <w:szCs w:val="24"/>
        </w:rPr>
      </w:pPr>
    </w:p>
    <w:p w14:paraId="0B04CF73" w14:textId="77777777" w:rsidR="008C76C7" w:rsidRPr="00320EB5" w:rsidRDefault="00287A20" w:rsidP="005B409C">
      <w:pPr>
        <w:pStyle w:val="Bodytext25"/>
        <w:tabs>
          <w:tab w:val="left" w:pos="8460"/>
        </w:tabs>
        <w:spacing w:after="120" w:line="240" w:lineRule="auto"/>
        <w:ind w:firstLine="4320"/>
        <w:jc w:val="center"/>
        <w:rPr>
          <w:sz w:val="24"/>
          <w:szCs w:val="24"/>
        </w:rPr>
      </w:pPr>
      <w:r w:rsidRPr="00320EB5">
        <w:rPr>
          <w:rStyle w:val="Bodytext2105pt"/>
          <w:sz w:val="24"/>
          <w:szCs w:val="24"/>
        </w:rPr>
        <w:t xml:space="preserve">SCHEDULE </w:t>
      </w:r>
      <w:r w:rsidR="005B409C">
        <w:rPr>
          <w:rStyle w:val="Bodytext2105pt"/>
          <w:sz w:val="24"/>
          <w:szCs w:val="24"/>
        </w:rPr>
        <w:tab/>
      </w:r>
      <w:r w:rsidRPr="00320EB5">
        <w:rPr>
          <w:rStyle w:val="Bodytext26"/>
          <w:sz w:val="24"/>
          <w:szCs w:val="24"/>
        </w:rPr>
        <w:t xml:space="preserve">Section </w:t>
      </w:r>
      <w:r w:rsidR="003311DD" w:rsidRPr="00320EB5">
        <w:rPr>
          <w:rStyle w:val="Bodytext26"/>
          <w:sz w:val="24"/>
          <w:szCs w:val="24"/>
        </w:rPr>
        <w:t>18</w:t>
      </w:r>
    </w:p>
    <w:p w14:paraId="52972566" w14:textId="77777777" w:rsidR="008C76C7" w:rsidRPr="00320EB5" w:rsidRDefault="003311DD" w:rsidP="005B409C">
      <w:pPr>
        <w:pStyle w:val="Bodytext25"/>
        <w:spacing w:after="160" w:line="240" w:lineRule="auto"/>
        <w:ind w:firstLine="0"/>
        <w:jc w:val="center"/>
        <w:rPr>
          <w:sz w:val="24"/>
          <w:szCs w:val="24"/>
        </w:rPr>
      </w:pPr>
      <w:r w:rsidRPr="00320EB5">
        <w:rPr>
          <w:rStyle w:val="Bodytext26"/>
          <w:sz w:val="24"/>
          <w:szCs w:val="24"/>
        </w:rPr>
        <w:t>ADDITIONAL AMENDMENTS</w:t>
      </w:r>
    </w:p>
    <w:p w14:paraId="0B82A3DB" w14:textId="77777777" w:rsidR="008C76C7" w:rsidRPr="00320EB5" w:rsidRDefault="005B409C" w:rsidP="005B409C">
      <w:pPr>
        <w:pStyle w:val="Bodytext25"/>
        <w:tabs>
          <w:tab w:val="left" w:pos="630"/>
        </w:tabs>
        <w:spacing w:line="240" w:lineRule="auto"/>
        <w:ind w:firstLine="270"/>
        <w:rPr>
          <w:sz w:val="24"/>
          <w:szCs w:val="24"/>
        </w:rPr>
      </w:pPr>
      <w:r>
        <w:rPr>
          <w:rStyle w:val="Bodytext26"/>
          <w:sz w:val="24"/>
          <w:szCs w:val="24"/>
        </w:rPr>
        <w:t>1.</w:t>
      </w:r>
      <w:r>
        <w:rPr>
          <w:rStyle w:val="Bodytext26"/>
          <w:sz w:val="24"/>
          <w:szCs w:val="24"/>
        </w:rPr>
        <w:tab/>
      </w:r>
      <w:r w:rsidR="003311DD" w:rsidRPr="00320EB5">
        <w:rPr>
          <w:rStyle w:val="Bodytext26"/>
          <w:sz w:val="24"/>
          <w:szCs w:val="24"/>
        </w:rPr>
        <w:t>The following provisions of the Principal Act are amended by omitting the word “Attorney- General” (wherever occurring) and substituting the word “Minister”: —</w:t>
      </w:r>
    </w:p>
    <w:p w14:paraId="2DD4CE51" w14:textId="503B1D8A" w:rsidR="008C76C7" w:rsidRPr="00320EB5" w:rsidRDefault="003311DD" w:rsidP="005B409C">
      <w:pPr>
        <w:pStyle w:val="Bodytext25"/>
        <w:spacing w:after="120" w:line="240" w:lineRule="auto"/>
        <w:ind w:left="994" w:hanging="274"/>
        <w:rPr>
          <w:sz w:val="24"/>
          <w:szCs w:val="24"/>
        </w:rPr>
      </w:pPr>
      <w:r w:rsidRPr="00320EB5">
        <w:rPr>
          <w:rStyle w:val="Bodytext26"/>
          <w:sz w:val="24"/>
          <w:szCs w:val="24"/>
        </w:rPr>
        <w:t>Sections 11(2)(b), 12, 13(2)(b)(ii), 17(3), 28(</w:t>
      </w:r>
      <w:r w:rsidR="00EE7D58">
        <w:rPr>
          <w:rStyle w:val="Bodytext26"/>
          <w:sz w:val="24"/>
          <w:szCs w:val="24"/>
        </w:rPr>
        <w:t>1</w:t>
      </w:r>
      <w:r w:rsidRPr="00320EB5">
        <w:rPr>
          <w:rStyle w:val="Bodytext26"/>
          <w:sz w:val="24"/>
          <w:szCs w:val="24"/>
        </w:rPr>
        <w:t>)(b), (2) and (3), 29(1) and (2), 77(1), 80(1)(a), 81(a) and (c), 89(4), 90(9)(b), 100(3), 149(3)(a), 163(4)(b), 166(3) and 171.</w:t>
      </w:r>
    </w:p>
    <w:p w14:paraId="57FBD762" w14:textId="06E90F2D" w:rsidR="008C76C7" w:rsidRPr="00320EB5" w:rsidRDefault="005B409C" w:rsidP="005B409C">
      <w:pPr>
        <w:pStyle w:val="Bodytext25"/>
        <w:tabs>
          <w:tab w:val="left" w:pos="630"/>
        </w:tabs>
        <w:spacing w:line="240" w:lineRule="auto"/>
        <w:ind w:firstLine="270"/>
        <w:rPr>
          <w:sz w:val="24"/>
          <w:szCs w:val="24"/>
        </w:rPr>
      </w:pPr>
      <w:r>
        <w:rPr>
          <w:rStyle w:val="Bodytext26"/>
          <w:sz w:val="24"/>
          <w:szCs w:val="24"/>
        </w:rPr>
        <w:t>2.</w:t>
      </w:r>
      <w:r>
        <w:rPr>
          <w:rStyle w:val="Bodytext26"/>
          <w:sz w:val="24"/>
          <w:szCs w:val="24"/>
        </w:rPr>
        <w:tab/>
      </w:r>
      <w:r w:rsidR="003311DD" w:rsidRPr="00320EB5">
        <w:rPr>
          <w:rStyle w:val="Bodytext26"/>
          <w:sz w:val="24"/>
          <w:szCs w:val="24"/>
        </w:rPr>
        <w:t>The following provisions of the Principal Act are amended by omitting the word “Australia” (wherever occurring) and substituting the words “the Commonwealth”:—</w:t>
      </w:r>
    </w:p>
    <w:p w14:paraId="7382C242" w14:textId="08B992CE" w:rsidR="008C76C7" w:rsidRDefault="003311DD" w:rsidP="005B409C">
      <w:pPr>
        <w:pStyle w:val="Bodytext25"/>
        <w:spacing w:line="240" w:lineRule="auto"/>
        <w:ind w:firstLine="810"/>
        <w:rPr>
          <w:rStyle w:val="Bodytext26"/>
          <w:sz w:val="24"/>
          <w:szCs w:val="24"/>
        </w:rPr>
      </w:pPr>
      <w:r w:rsidRPr="00320EB5">
        <w:rPr>
          <w:rStyle w:val="Bodytext26"/>
          <w:sz w:val="24"/>
          <w:szCs w:val="24"/>
        </w:rPr>
        <w:t>Section 6(2)(a)(iv) and (2)(b)(iv), 28(1)(e), 47(3), 76, 77(1), 137(6) and 170(2).</w:t>
      </w:r>
    </w:p>
    <w:p w14:paraId="5196B714" w14:textId="77777777" w:rsidR="005B409C" w:rsidRPr="00320EB5" w:rsidRDefault="005B409C" w:rsidP="005B409C">
      <w:pPr>
        <w:pStyle w:val="Bodytext25"/>
        <w:pBdr>
          <w:bottom w:val="single" w:sz="18" w:space="1" w:color="auto"/>
        </w:pBdr>
        <w:spacing w:after="160" w:line="240" w:lineRule="auto"/>
        <w:ind w:firstLine="806"/>
        <w:rPr>
          <w:sz w:val="24"/>
          <w:szCs w:val="24"/>
        </w:rPr>
      </w:pPr>
    </w:p>
    <w:sectPr w:rsidR="005B409C" w:rsidRPr="00320EB5" w:rsidSect="00054199">
      <w:headerReference w:type="even" r:id="rId8"/>
      <w:headerReference w:type="default" r:id="rId9"/>
      <w:type w:val="continuous"/>
      <w:pgSz w:w="11909" w:h="18000" w:code="9"/>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63871" w15:done="0"/>
  <w15:commentEx w15:paraId="51100E02" w15:done="0"/>
  <w15:commentEx w15:paraId="6FF63D16" w15:done="0"/>
  <w15:commentEx w15:paraId="54927771" w15:done="0"/>
  <w15:commentEx w15:paraId="11FD0D09" w15:done="0"/>
  <w15:commentEx w15:paraId="33E9C3B9" w15:done="0"/>
  <w15:commentEx w15:paraId="2A06658D" w15:done="0"/>
  <w15:commentEx w15:paraId="5272A7CA" w15:done="0"/>
  <w15:commentEx w15:paraId="139BDADC" w15:done="0"/>
  <w15:commentEx w15:paraId="5D27E1AB" w15:done="0"/>
  <w15:commentEx w15:paraId="5E093C5A" w15:done="0"/>
  <w15:commentEx w15:paraId="235D43BB" w15:done="0"/>
  <w15:commentEx w15:paraId="4BFC1A26" w15:done="0"/>
  <w15:commentEx w15:paraId="21840D02" w15:done="0"/>
  <w15:commentEx w15:paraId="61F3B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63871" w16cid:durableId="1F5B347B"/>
  <w16cid:commentId w16cid:paraId="51100E02" w16cid:durableId="1F5B34AB"/>
  <w16cid:commentId w16cid:paraId="6FF63D16" w16cid:durableId="1F5B34F3"/>
  <w16cid:commentId w16cid:paraId="54927771" w16cid:durableId="1F5B3501"/>
  <w16cid:commentId w16cid:paraId="11FD0D09" w16cid:durableId="1F5B3511"/>
  <w16cid:commentId w16cid:paraId="33E9C3B9" w16cid:durableId="1F5B3545"/>
  <w16cid:commentId w16cid:paraId="2A06658D" w16cid:durableId="1F5B3552"/>
  <w16cid:commentId w16cid:paraId="5272A7CA" w16cid:durableId="1F5B3560"/>
  <w16cid:commentId w16cid:paraId="139BDADC" w16cid:durableId="1F5B358B"/>
  <w16cid:commentId w16cid:paraId="5D27E1AB" w16cid:durableId="1F5B3593"/>
  <w16cid:commentId w16cid:paraId="5E093C5A" w16cid:durableId="1F5B35BA"/>
  <w16cid:commentId w16cid:paraId="235D43BB" w16cid:durableId="1F5B35C3"/>
  <w16cid:commentId w16cid:paraId="4BFC1A26" w16cid:durableId="1F5B35E0"/>
  <w16cid:commentId w16cid:paraId="21840D02" w16cid:durableId="1F5B35EF"/>
  <w16cid:commentId w16cid:paraId="61F3BA1A" w16cid:durableId="1F5B36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EC0FB" w14:textId="77777777" w:rsidR="008D3B61" w:rsidRDefault="008D3B61">
      <w:r>
        <w:separator/>
      </w:r>
    </w:p>
  </w:endnote>
  <w:endnote w:type="continuationSeparator" w:id="0">
    <w:p w14:paraId="1239AA94" w14:textId="77777777" w:rsidR="008D3B61" w:rsidRDefault="008D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EC4C5" w14:textId="77777777" w:rsidR="008D3B61" w:rsidRDefault="008D3B61"/>
  </w:footnote>
  <w:footnote w:type="continuationSeparator" w:id="0">
    <w:p w14:paraId="509388E8" w14:textId="77777777" w:rsidR="008D3B61" w:rsidRDefault="008D3B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FC5AD" w14:textId="77777777" w:rsidR="00054199" w:rsidRPr="00054199" w:rsidRDefault="00054199" w:rsidP="00054199">
    <w:pPr>
      <w:pStyle w:val="Header"/>
      <w:tabs>
        <w:tab w:val="clear" w:pos="9360"/>
        <w:tab w:val="right" w:pos="9720"/>
      </w:tabs>
      <w:rPr>
        <w:rFonts w:ascii="Times New Roman" w:hAnsi="Times New Roman" w:cs="Times New Roman"/>
        <w:sz w:val="22"/>
        <w:szCs w:val="22"/>
      </w:rPr>
    </w:pPr>
    <w:r>
      <w:rPr>
        <w:rFonts w:ascii="Times New Roman" w:hAnsi="Times New Roman" w:cs="Times New Roman"/>
        <w:sz w:val="22"/>
        <w:szCs w:val="22"/>
      </w:rPr>
      <w:t>No. 88</w:t>
    </w:r>
    <w:r w:rsidRPr="00054199">
      <w:rPr>
        <w:rFonts w:ascii="Times New Roman" w:hAnsi="Times New Roman" w:cs="Times New Roman"/>
        <w:sz w:val="22"/>
        <w:szCs w:val="22"/>
      </w:rPr>
      <w:tab/>
    </w:r>
    <w:r w:rsidRPr="00054199">
      <w:rPr>
        <w:rFonts w:ascii="Times New Roman" w:hAnsi="Times New Roman" w:cs="Times New Roman"/>
        <w:i/>
        <w:iCs/>
        <w:color w:val="auto"/>
        <w:sz w:val="22"/>
        <w:szCs w:val="22"/>
        <w:lang w:val="en-IN"/>
      </w:rPr>
      <w:t>Trade Practices Amendment</w:t>
    </w:r>
    <w:r w:rsidRPr="00054199">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D5DE" w14:textId="77777777" w:rsidR="00054199" w:rsidRPr="00054199" w:rsidRDefault="00054199" w:rsidP="00054199">
    <w:pPr>
      <w:pStyle w:val="Header"/>
      <w:tabs>
        <w:tab w:val="clear" w:pos="9360"/>
        <w:tab w:val="right" w:pos="9720"/>
      </w:tabs>
      <w:rPr>
        <w:rFonts w:ascii="Times New Roman" w:hAnsi="Times New Roman" w:cs="Times New Roman"/>
        <w:sz w:val="22"/>
        <w:szCs w:val="22"/>
      </w:rPr>
    </w:pPr>
    <w:r w:rsidRPr="00054199">
      <w:rPr>
        <w:rFonts w:ascii="Times New Roman" w:hAnsi="Times New Roman" w:cs="Times New Roman"/>
        <w:sz w:val="22"/>
        <w:szCs w:val="22"/>
      </w:rPr>
      <w:t>1976</w:t>
    </w:r>
    <w:r w:rsidRPr="00054199">
      <w:rPr>
        <w:rFonts w:ascii="Times New Roman" w:hAnsi="Times New Roman" w:cs="Times New Roman"/>
        <w:sz w:val="22"/>
        <w:szCs w:val="22"/>
      </w:rPr>
      <w:tab/>
    </w:r>
    <w:r w:rsidRPr="00054199">
      <w:rPr>
        <w:rFonts w:ascii="Times New Roman" w:hAnsi="Times New Roman" w:cs="Times New Roman"/>
        <w:i/>
        <w:iCs/>
        <w:color w:val="auto"/>
        <w:sz w:val="22"/>
        <w:szCs w:val="22"/>
        <w:lang w:val="en-IN"/>
      </w:rPr>
      <w:t>Trade Practices Amendment</w:t>
    </w:r>
    <w:r w:rsidRPr="00054199">
      <w:rPr>
        <w:rFonts w:ascii="Times New Roman" w:hAnsi="Times New Roman" w:cs="Times New Roman"/>
        <w:i/>
        <w:iCs/>
        <w:color w:val="auto"/>
        <w:sz w:val="22"/>
        <w:szCs w:val="22"/>
        <w:lang w:val="en-IN"/>
      </w:rPr>
      <w:tab/>
    </w:r>
    <w:r w:rsidRPr="00054199">
      <w:rPr>
        <w:rFonts w:ascii="Times New Roman" w:hAnsi="Times New Roman" w:cs="Times New Roman"/>
        <w:iCs/>
        <w:color w:val="auto"/>
        <w:sz w:val="22"/>
        <w:szCs w:val="22"/>
        <w:lang w:val="en-IN"/>
      </w:rPr>
      <w:t>No. 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A27"/>
    <w:multiLevelType w:val="multilevel"/>
    <w:tmpl w:val="EE0A811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1608A"/>
    <w:multiLevelType w:val="multilevel"/>
    <w:tmpl w:val="ABA446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9170D"/>
    <w:multiLevelType w:val="multilevel"/>
    <w:tmpl w:val="F0FC9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A21A7"/>
    <w:multiLevelType w:val="multilevel"/>
    <w:tmpl w:val="8F44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16BC4"/>
    <w:multiLevelType w:val="multilevel"/>
    <w:tmpl w:val="3D9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A682D"/>
    <w:multiLevelType w:val="multilevel"/>
    <w:tmpl w:val="A8FE81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E7079"/>
    <w:multiLevelType w:val="multilevel"/>
    <w:tmpl w:val="2A541F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A5E11"/>
    <w:multiLevelType w:val="multilevel"/>
    <w:tmpl w:val="DA3A6E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077C70"/>
    <w:multiLevelType w:val="multilevel"/>
    <w:tmpl w:val="550C2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53C0B"/>
    <w:multiLevelType w:val="multilevel"/>
    <w:tmpl w:val="57C0C1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027C2"/>
    <w:multiLevelType w:val="multilevel"/>
    <w:tmpl w:val="03B80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77390"/>
    <w:multiLevelType w:val="multilevel"/>
    <w:tmpl w:val="49103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07032"/>
    <w:multiLevelType w:val="multilevel"/>
    <w:tmpl w:val="E9526DF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54379D"/>
    <w:multiLevelType w:val="multilevel"/>
    <w:tmpl w:val="96EC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7E3802"/>
    <w:multiLevelType w:val="multilevel"/>
    <w:tmpl w:val="AE185B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23D8A"/>
    <w:multiLevelType w:val="multilevel"/>
    <w:tmpl w:val="3378E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32E78"/>
    <w:multiLevelType w:val="multilevel"/>
    <w:tmpl w:val="DE5E5D1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604B65"/>
    <w:multiLevelType w:val="multilevel"/>
    <w:tmpl w:val="4FD289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9"/>
  </w:num>
  <w:num w:numId="4">
    <w:abstractNumId w:val="5"/>
  </w:num>
  <w:num w:numId="5">
    <w:abstractNumId w:val="6"/>
  </w:num>
  <w:num w:numId="6">
    <w:abstractNumId w:val="14"/>
  </w:num>
  <w:num w:numId="7">
    <w:abstractNumId w:val="17"/>
  </w:num>
  <w:num w:numId="8">
    <w:abstractNumId w:val="7"/>
  </w:num>
  <w:num w:numId="9">
    <w:abstractNumId w:val="10"/>
  </w:num>
  <w:num w:numId="10">
    <w:abstractNumId w:val="1"/>
  </w:num>
  <w:num w:numId="11">
    <w:abstractNumId w:val="2"/>
  </w:num>
  <w:num w:numId="12">
    <w:abstractNumId w:val="0"/>
  </w:num>
  <w:num w:numId="13">
    <w:abstractNumId w:val="8"/>
  </w:num>
  <w:num w:numId="14">
    <w:abstractNumId w:val="11"/>
  </w:num>
  <w:num w:numId="15">
    <w:abstractNumId w:val="12"/>
  </w:num>
  <w:num w:numId="16">
    <w:abstractNumId w:val="4"/>
  </w:num>
  <w:num w:numId="17">
    <w:abstractNumId w:val="15"/>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C76C7"/>
    <w:rsid w:val="00046B45"/>
    <w:rsid w:val="00054199"/>
    <w:rsid w:val="001F4D71"/>
    <w:rsid w:val="00246450"/>
    <w:rsid w:val="00287A20"/>
    <w:rsid w:val="00320EB5"/>
    <w:rsid w:val="003311DD"/>
    <w:rsid w:val="003B3304"/>
    <w:rsid w:val="00450C8C"/>
    <w:rsid w:val="004D2568"/>
    <w:rsid w:val="005B409C"/>
    <w:rsid w:val="005E2AD1"/>
    <w:rsid w:val="00624F6C"/>
    <w:rsid w:val="006F34EA"/>
    <w:rsid w:val="008C76C7"/>
    <w:rsid w:val="008D3B61"/>
    <w:rsid w:val="008D607D"/>
    <w:rsid w:val="00AE6CE1"/>
    <w:rsid w:val="00B0335A"/>
    <w:rsid w:val="00B8682E"/>
    <w:rsid w:val="00BE6298"/>
    <w:rsid w:val="00C03F95"/>
    <w:rsid w:val="00C27CF9"/>
    <w:rsid w:val="00C73066"/>
    <w:rsid w:val="00EE7D58"/>
    <w:rsid w:val="00EF23D9"/>
    <w:rsid w:val="00F2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0">
    <w:name w:val="Body text (2)"/>
    <w:basedOn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22">
    <w:name w:val="Body text (2)"/>
    <w:basedOn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23">
    <w:name w:val="Body Text2"/>
    <w:basedOn w:val="Bodytext"/>
    <w:rPr>
      <w:rFonts w:ascii="Times New Roman" w:eastAsia="Times New Roman" w:hAnsi="Times New Roman" w:cs="Times New Roman"/>
      <w:b w:val="0"/>
      <w:bCs w:val="0"/>
      <w:i w:val="0"/>
      <w:iCs w:val="0"/>
      <w:smallCaps w:val="0"/>
      <w:strike w:val="0"/>
      <w:sz w:val="21"/>
      <w:szCs w:val="21"/>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sz w:val="16"/>
      <w:szCs w:val="16"/>
      <w:u w:val="none"/>
    </w:rPr>
  </w:style>
  <w:style w:type="character" w:customStyle="1" w:styleId="Bodytext24">
    <w:name w:val="Body text (2)"/>
    <w:basedOn w:val="Bodytext21"/>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7"/>
      <w:szCs w:val="27"/>
      <w:u w:val="none"/>
    </w:rPr>
  </w:style>
  <w:style w:type="character" w:customStyle="1" w:styleId="Heading2">
    <w:name w:val="Heading #2_"/>
    <w:basedOn w:val="DefaultParagraphFont"/>
    <w:link w:val="Heading20"/>
    <w:rPr>
      <w:rFonts w:ascii="Trebuchet MS" w:eastAsia="Trebuchet MS" w:hAnsi="Trebuchet MS" w:cs="Trebuchet MS"/>
      <w:b/>
      <w:bCs/>
      <w:i w:val="0"/>
      <w:iCs w:val="0"/>
      <w:smallCaps w:val="0"/>
      <w:strike w:val="0"/>
      <w:sz w:val="25"/>
      <w:szCs w:val="25"/>
      <w:u w:val="none"/>
    </w:rPr>
  </w:style>
  <w:style w:type="character" w:customStyle="1" w:styleId="Bodytext">
    <w:name w:val="Body text_"/>
    <w:basedOn w:val="DefaultParagraphFont"/>
    <w:link w:val="BodyText7"/>
    <w:rPr>
      <w:rFonts w:ascii="Times New Roman" w:eastAsia="Times New Roman" w:hAnsi="Times New Roman" w:cs="Times New Roman"/>
      <w:b w:val="0"/>
      <w:bCs w:val="0"/>
      <w:i w:val="0"/>
      <w:iCs w:val="0"/>
      <w:smallCaps w:val="0"/>
      <w:strike w:val="0"/>
      <w:sz w:val="21"/>
      <w:szCs w:val="21"/>
      <w:u w:val="none"/>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0">
    <w:name w:val="Body text (7)_"/>
    <w:basedOn w:val="DefaultParagraphFont"/>
    <w:link w:val="Bodytext71"/>
    <w:rPr>
      <w:rFonts w:ascii="Times New Roman" w:eastAsia="Times New Roman" w:hAnsi="Times New Roman" w:cs="Times New Roman"/>
      <w:b/>
      <w:bCs/>
      <w:i/>
      <w:iCs/>
      <w:smallCaps w:val="0"/>
      <w:strike w:val="0"/>
      <w:sz w:val="20"/>
      <w:szCs w:val="20"/>
      <w:u w:val="none"/>
    </w:rPr>
  </w:style>
  <w:style w:type="character" w:customStyle="1" w:styleId="Bodytext79pt">
    <w:name w:val="Body text (7) + 9 pt"/>
    <w:aliases w:val="Not Bold,Not Italic"/>
    <w:basedOn w:val="Bodytext70"/>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2">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8pt0">
    <w:name w:val="Body text + 8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3">
    <w:name w:val="Body text (6)"/>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1">
    <w:name w:val="Body text (2)_"/>
    <w:basedOn w:val="DefaultParagraphFont"/>
    <w:link w:val="Bodytext25"/>
    <w:rPr>
      <w:rFonts w:ascii="Times New Roman" w:eastAsia="Times New Roman" w:hAnsi="Times New Roman" w:cs="Times New Roman"/>
      <w:b w:val="0"/>
      <w:bCs w:val="0"/>
      <w:i w:val="0"/>
      <w:iCs w:val="0"/>
      <w:smallCaps w:val="0"/>
      <w:strike w:val="0"/>
      <w:sz w:val="16"/>
      <w:szCs w:val="16"/>
      <w:u w:val="none"/>
    </w:rPr>
  </w:style>
  <w:style w:type="character" w:customStyle="1" w:styleId="Bodytext2105pt">
    <w:name w:val="Body text (2) + 10.5 pt"/>
    <w:basedOn w:val="Bodytext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6">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40">
    <w:name w:val="Body text (4)_"/>
    <w:basedOn w:val="DefaultParagraphFont"/>
    <w:link w:val="Bodytext41"/>
    <w:rPr>
      <w:rFonts w:ascii="Times New Roman" w:eastAsia="Times New Roman" w:hAnsi="Times New Roman" w:cs="Times New Roman"/>
      <w:b w:val="0"/>
      <w:bCs w:val="0"/>
      <w:i w:val="0"/>
      <w:iCs w:val="0"/>
      <w:smallCaps w:val="0"/>
      <w:strike w:val="0"/>
      <w:sz w:val="18"/>
      <w:szCs w:val="18"/>
      <w:u w:val="none"/>
    </w:rPr>
  </w:style>
  <w:style w:type="paragraph" w:customStyle="1" w:styleId="Bodytext25">
    <w:name w:val="Body text (2)"/>
    <w:basedOn w:val="Normal"/>
    <w:link w:val="Bodytext21"/>
    <w:pPr>
      <w:spacing w:line="182" w:lineRule="exact"/>
      <w:ind w:hanging="400"/>
      <w:jc w:val="both"/>
    </w:pPr>
    <w:rPr>
      <w:rFonts w:ascii="Times New Roman" w:eastAsia="Times New Roman" w:hAnsi="Times New Roman" w:cs="Times New Roman"/>
      <w:sz w:val="16"/>
      <w:szCs w:val="16"/>
    </w:rPr>
  </w:style>
  <w:style w:type="paragraph" w:customStyle="1" w:styleId="BodyText7">
    <w:name w:val="Body Text7"/>
    <w:basedOn w:val="Normal"/>
    <w:link w:val="Bodytext"/>
    <w:pPr>
      <w:spacing w:line="0" w:lineRule="atLeast"/>
      <w:ind w:hanging="600"/>
    </w:pPr>
    <w:rPr>
      <w:rFonts w:ascii="Times New Roman" w:eastAsia="Times New Roman" w:hAnsi="Times New Roman" w:cs="Times New Roman"/>
      <w:sz w:val="21"/>
      <w:szCs w:val="21"/>
    </w:rPr>
  </w:style>
  <w:style w:type="paragraph" w:customStyle="1" w:styleId="Heading10">
    <w:name w:val="Heading #1"/>
    <w:basedOn w:val="Normal"/>
    <w:link w:val="Heading1"/>
    <w:pPr>
      <w:spacing w:line="0" w:lineRule="atLeast"/>
      <w:jc w:val="both"/>
      <w:outlineLvl w:val="0"/>
    </w:pPr>
    <w:rPr>
      <w:rFonts w:ascii="Trebuchet MS" w:eastAsia="Trebuchet MS" w:hAnsi="Trebuchet MS" w:cs="Trebuchet MS"/>
      <w:b/>
      <w:bCs/>
      <w:spacing w:val="10"/>
      <w:sz w:val="27"/>
      <w:szCs w:val="27"/>
    </w:rPr>
  </w:style>
  <w:style w:type="paragraph" w:customStyle="1" w:styleId="Heading20">
    <w:name w:val="Heading #2"/>
    <w:basedOn w:val="Normal"/>
    <w:link w:val="Heading2"/>
    <w:pPr>
      <w:spacing w:line="0" w:lineRule="atLeast"/>
      <w:outlineLvl w:val="1"/>
    </w:pPr>
    <w:rPr>
      <w:rFonts w:ascii="Trebuchet MS" w:eastAsia="Trebuchet MS" w:hAnsi="Trebuchet MS" w:cs="Trebuchet MS"/>
      <w:b/>
      <w:bCs/>
      <w:sz w:val="25"/>
      <w:szCs w:val="25"/>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i/>
      <w:iCs/>
      <w:sz w:val="21"/>
      <w:szCs w:val="21"/>
    </w:rPr>
  </w:style>
  <w:style w:type="paragraph" w:customStyle="1" w:styleId="Bodytext71">
    <w:name w:val="Body text (7)"/>
    <w:basedOn w:val="Normal"/>
    <w:link w:val="Bodytext70"/>
    <w:pPr>
      <w:spacing w:line="0" w:lineRule="atLeast"/>
      <w:jc w:val="both"/>
    </w:pPr>
    <w:rPr>
      <w:rFonts w:ascii="Times New Roman" w:eastAsia="Times New Roman" w:hAnsi="Times New Roman" w:cs="Times New Roman"/>
      <w:b/>
      <w:bCs/>
      <w:i/>
      <w:iCs/>
      <w:sz w:val="20"/>
      <w:szCs w:val="20"/>
    </w:rPr>
  </w:style>
  <w:style w:type="paragraph" w:customStyle="1" w:styleId="Bodytext41">
    <w:name w:val="Body text (4)"/>
    <w:basedOn w:val="Normal"/>
    <w:link w:val="Bodytext40"/>
    <w:pPr>
      <w:spacing w:line="0" w:lineRule="atLeast"/>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B3304"/>
    <w:pPr>
      <w:tabs>
        <w:tab w:val="center" w:pos="4680"/>
        <w:tab w:val="right" w:pos="9360"/>
      </w:tabs>
    </w:pPr>
  </w:style>
  <w:style w:type="character" w:customStyle="1" w:styleId="HeaderChar">
    <w:name w:val="Header Char"/>
    <w:basedOn w:val="DefaultParagraphFont"/>
    <w:link w:val="Header"/>
    <w:uiPriority w:val="99"/>
    <w:rsid w:val="003B3304"/>
    <w:rPr>
      <w:color w:val="000000"/>
    </w:rPr>
  </w:style>
  <w:style w:type="paragraph" w:styleId="Footer">
    <w:name w:val="footer"/>
    <w:basedOn w:val="Normal"/>
    <w:link w:val="FooterChar"/>
    <w:uiPriority w:val="99"/>
    <w:unhideWhenUsed/>
    <w:rsid w:val="003B3304"/>
    <w:pPr>
      <w:tabs>
        <w:tab w:val="center" w:pos="4680"/>
        <w:tab w:val="right" w:pos="9360"/>
      </w:tabs>
    </w:pPr>
  </w:style>
  <w:style w:type="character" w:customStyle="1" w:styleId="FooterChar">
    <w:name w:val="Footer Char"/>
    <w:basedOn w:val="DefaultParagraphFont"/>
    <w:link w:val="Footer"/>
    <w:uiPriority w:val="99"/>
    <w:rsid w:val="003B3304"/>
    <w:rPr>
      <w:color w:val="000000"/>
    </w:rPr>
  </w:style>
  <w:style w:type="character" w:styleId="CommentReference">
    <w:name w:val="annotation reference"/>
    <w:basedOn w:val="DefaultParagraphFont"/>
    <w:uiPriority w:val="99"/>
    <w:semiHidden/>
    <w:unhideWhenUsed/>
    <w:rsid w:val="00C27CF9"/>
    <w:rPr>
      <w:sz w:val="16"/>
      <w:szCs w:val="16"/>
    </w:rPr>
  </w:style>
  <w:style w:type="paragraph" w:styleId="CommentText">
    <w:name w:val="annotation text"/>
    <w:basedOn w:val="Normal"/>
    <w:link w:val="CommentTextChar"/>
    <w:uiPriority w:val="99"/>
    <w:semiHidden/>
    <w:unhideWhenUsed/>
    <w:rsid w:val="00C27CF9"/>
    <w:rPr>
      <w:sz w:val="20"/>
      <w:szCs w:val="20"/>
    </w:rPr>
  </w:style>
  <w:style w:type="character" w:customStyle="1" w:styleId="CommentTextChar">
    <w:name w:val="Comment Text Char"/>
    <w:basedOn w:val="DefaultParagraphFont"/>
    <w:link w:val="CommentText"/>
    <w:uiPriority w:val="99"/>
    <w:semiHidden/>
    <w:rsid w:val="00C27CF9"/>
    <w:rPr>
      <w:color w:val="000000"/>
      <w:sz w:val="20"/>
      <w:szCs w:val="20"/>
    </w:rPr>
  </w:style>
  <w:style w:type="paragraph" w:styleId="CommentSubject">
    <w:name w:val="annotation subject"/>
    <w:basedOn w:val="CommentText"/>
    <w:next w:val="CommentText"/>
    <w:link w:val="CommentSubjectChar"/>
    <w:uiPriority w:val="99"/>
    <w:semiHidden/>
    <w:unhideWhenUsed/>
    <w:rsid w:val="00C27CF9"/>
    <w:rPr>
      <w:b/>
      <w:bCs/>
    </w:rPr>
  </w:style>
  <w:style w:type="character" w:customStyle="1" w:styleId="CommentSubjectChar">
    <w:name w:val="Comment Subject Char"/>
    <w:basedOn w:val="CommentTextChar"/>
    <w:link w:val="CommentSubject"/>
    <w:uiPriority w:val="99"/>
    <w:semiHidden/>
    <w:rsid w:val="00C27CF9"/>
    <w:rPr>
      <w:b/>
      <w:bCs/>
      <w:color w:val="000000"/>
      <w:sz w:val="20"/>
      <w:szCs w:val="20"/>
    </w:rPr>
  </w:style>
  <w:style w:type="paragraph" w:styleId="BalloonText">
    <w:name w:val="Balloon Text"/>
    <w:basedOn w:val="Normal"/>
    <w:link w:val="BalloonTextChar"/>
    <w:uiPriority w:val="99"/>
    <w:semiHidden/>
    <w:unhideWhenUsed/>
    <w:rsid w:val="00C27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CF9"/>
    <w:rPr>
      <w:rFonts w:ascii="Segoe UI" w:hAnsi="Segoe UI" w:cs="Segoe UI"/>
      <w:color w:val="000000"/>
      <w:sz w:val="18"/>
      <w:szCs w:val="18"/>
    </w:rPr>
  </w:style>
  <w:style w:type="paragraph" w:styleId="Revision">
    <w:name w:val="Revision"/>
    <w:hidden/>
    <w:uiPriority w:val="99"/>
    <w:semiHidden/>
    <w:rsid w:val="00EE7D5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2018-09-30T01:46:00Z</dcterms:created>
  <dcterms:modified xsi:type="dcterms:W3CDTF">2019-08-08T01:18:00Z</dcterms:modified>
</cp:coreProperties>
</file>