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CE549" w14:textId="77777777" w:rsidR="00766A5A" w:rsidRPr="00C56458" w:rsidRDefault="00220FD0" w:rsidP="007C6FA1">
      <w:pPr>
        <w:pStyle w:val="Bodytext20"/>
        <w:spacing w:after="16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56458">
        <w:rPr>
          <w:rFonts w:ascii="Times New Roman" w:hAnsi="Times New Roman" w:cs="Times New Roman"/>
          <w:b/>
          <w:sz w:val="32"/>
          <w:szCs w:val="32"/>
        </w:rPr>
        <w:t>SOCIAL SERVICES AMENDMENT ACT (No. 2)</w:t>
      </w:r>
      <w:r w:rsidR="007C6FA1" w:rsidRPr="00C564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6458">
        <w:rPr>
          <w:rFonts w:ascii="Times New Roman" w:hAnsi="Times New Roman" w:cs="Times New Roman"/>
          <w:b/>
          <w:sz w:val="32"/>
          <w:szCs w:val="32"/>
        </w:rPr>
        <w:t>1976</w:t>
      </w:r>
    </w:p>
    <w:p w14:paraId="400C4052" w14:textId="77777777" w:rsidR="00766A5A" w:rsidRPr="00C56458" w:rsidRDefault="00220FD0" w:rsidP="007C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56458">
        <w:rPr>
          <w:rFonts w:ascii="Times New Roman" w:hAnsi="Times New Roman" w:cs="Times New Roman"/>
          <w:b/>
          <w:sz w:val="28"/>
          <w:szCs w:val="28"/>
        </w:rPr>
        <w:t>No. 62 of 1976</w:t>
      </w:r>
      <w:bookmarkEnd w:id="0"/>
    </w:p>
    <w:p w14:paraId="450335E4" w14:textId="77777777" w:rsidR="007C6FA1" w:rsidRPr="00057533" w:rsidRDefault="007C6FA1" w:rsidP="007C6FA1">
      <w:pPr>
        <w:jc w:val="center"/>
        <w:rPr>
          <w:rFonts w:ascii="Times New Roman" w:hAnsi="Times New Roman" w:cs="Times New Roman"/>
        </w:rPr>
      </w:pPr>
    </w:p>
    <w:p w14:paraId="0E5EA3F6" w14:textId="3DB04354" w:rsidR="00440159" w:rsidRPr="00057533" w:rsidRDefault="00220FD0" w:rsidP="00522306">
      <w:pPr>
        <w:pStyle w:val="Bodytext50"/>
        <w:spacing w:after="160" w:line="240" w:lineRule="auto"/>
        <w:ind w:firstLine="0"/>
        <w:rPr>
          <w:sz w:val="24"/>
          <w:szCs w:val="24"/>
        </w:rPr>
      </w:pPr>
      <w:r w:rsidRPr="00057533">
        <w:rPr>
          <w:sz w:val="24"/>
          <w:szCs w:val="24"/>
        </w:rPr>
        <w:t>An Act relating to Child Endowment.</w:t>
      </w:r>
    </w:p>
    <w:p w14:paraId="5FC4C61E" w14:textId="77777777" w:rsidR="00766A5A" w:rsidRPr="00057533" w:rsidRDefault="00220FD0" w:rsidP="00440159">
      <w:pPr>
        <w:pStyle w:val="Bodytext50"/>
        <w:spacing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BE IT ENACTED by the Queen, and the Senate and House of Representatives of the Commonwealth of Australia, as follows: —</w:t>
      </w:r>
    </w:p>
    <w:p w14:paraId="1AF15E1E" w14:textId="77777777" w:rsidR="00766A5A" w:rsidRPr="00440159" w:rsidRDefault="00220FD0" w:rsidP="00440159">
      <w:pPr>
        <w:pStyle w:val="Bodytext60"/>
        <w:spacing w:before="120" w:after="60" w:line="240" w:lineRule="auto"/>
        <w:rPr>
          <w:b/>
          <w:sz w:val="20"/>
          <w:szCs w:val="20"/>
        </w:rPr>
      </w:pPr>
      <w:r w:rsidRPr="00440159">
        <w:rPr>
          <w:b/>
          <w:sz w:val="20"/>
          <w:szCs w:val="20"/>
        </w:rPr>
        <w:t>Short title and citation.</w:t>
      </w:r>
    </w:p>
    <w:p w14:paraId="38B469FC" w14:textId="7E9AB35F" w:rsidR="00766A5A" w:rsidRPr="00057533" w:rsidRDefault="00151F15" w:rsidP="00F61352">
      <w:pPr>
        <w:pStyle w:val="Bodytext50"/>
        <w:spacing w:after="120" w:line="240" w:lineRule="auto"/>
        <w:ind w:firstLine="270"/>
        <w:jc w:val="both"/>
        <w:rPr>
          <w:sz w:val="24"/>
          <w:szCs w:val="24"/>
        </w:rPr>
      </w:pPr>
      <w:r w:rsidRPr="00F61352">
        <w:rPr>
          <w:b/>
          <w:sz w:val="24"/>
          <w:szCs w:val="24"/>
        </w:rPr>
        <w:t>1.</w:t>
      </w:r>
      <w:r w:rsidRPr="00057533">
        <w:rPr>
          <w:sz w:val="24"/>
          <w:szCs w:val="24"/>
        </w:rPr>
        <w:t xml:space="preserve"> </w:t>
      </w:r>
      <w:r w:rsidR="00220FD0" w:rsidRPr="00057533">
        <w:rPr>
          <w:sz w:val="24"/>
          <w:szCs w:val="24"/>
        </w:rPr>
        <w:t xml:space="preserve">(1) This Act may be cited as the </w:t>
      </w:r>
      <w:r w:rsidR="00220FD0" w:rsidRPr="00057533">
        <w:rPr>
          <w:rStyle w:val="Bodytext5Italic"/>
          <w:sz w:val="24"/>
          <w:szCs w:val="24"/>
        </w:rPr>
        <w:t>Social Services Amendment Act</w:t>
      </w:r>
      <w:r w:rsidR="00220FD0" w:rsidRPr="00522306">
        <w:rPr>
          <w:rStyle w:val="Bodytext5Italic"/>
          <w:i w:val="0"/>
          <w:sz w:val="24"/>
          <w:szCs w:val="24"/>
        </w:rPr>
        <w:t xml:space="preserve"> (</w:t>
      </w:r>
      <w:r w:rsidR="00220FD0" w:rsidRPr="00057533">
        <w:rPr>
          <w:rStyle w:val="Bodytext5Italic"/>
          <w:sz w:val="24"/>
          <w:szCs w:val="24"/>
        </w:rPr>
        <w:t>No.</w:t>
      </w:r>
      <w:r w:rsidR="00220FD0" w:rsidRPr="00057533">
        <w:rPr>
          <w:sz w:val="24"/>
          <w:szCs w:val="24"/>
        </w:rPr>
        <w:t xml:space="preserve"> 2) 1976.</w:t>
      </w:r>
    </w:p>
    <w:p w14:paraId="7C52AE27" w14:textId="264B3AFE" w:rsidR="00766A5A" w:rsidRPr="00057533" w:rsidRDefault="00151F15" w:rsidP="00F61352">
      <w:pPr>
        <w:pStyle w:val="Bodytext50"/>
        <w:spacing w:after="12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(2) </w:t>
      </w:r>
      <w:r w:rsidR="00220FD0" w:rsidRPr="00057533">
        <w:rPr>
          <w:sz w:val="24"/>
          <w:szCs w:val="24"/>
        </w:rPr>
        <w:t xml:space="preserve">The </w:t>
      </w:r>
      <w:r w:rsidR="00220FD0" w:rsidRPr="00057533">
        <w:rPr>
          <w:rStyle w:val="Bodytext5Italic"/>
          <w:sz w:val="24"/>
          <w:szCs w:val="24"/>
        </w:rPr>
        <w:t>Social Services Act</w:t>
      </w:r>
      <w:r w:rsidR="00220FD0" w:rsidRPr="00057533">
        <w:rPr>
          <w:sz w:val="24"/>
          <w:szCs w:val="24"/>
        </w:rPr>
        <w:t xml:space="preserve"> 1947-1975, as amended by the </w:t>
      </w:r>
      <w:r w:rsidR="00220FD0" w:rsidRPr="00057533">
        <w:rPr>
          <w:rStyle w:val="Bodytext5Italic"/>
          <w:sz w:val="24"/>
          <w:szCs w:val="24"/>
        </w:rPr>
        <w:t>Social Services Amendment Act</w:t>
      </w:r>
      <w:r w:rsidR="00220FD0" w:rsidRPr="00057533">
        <w:rPr>
          <w:sz w:val="24"/>
          <w:szCs w:val="24"/>
        </w:rPr>
        <w:t xml:space="preserve"> 1976, is in this Act referred to as the Principal Act.</w:t>
      </w:r>
    </w:p>
    <w:p w14:paraId="0AF0048F" w14:textId="453FC5DD" w:rsidR="00766A5A" w:rsidRPr="00057533" w:rsidRDefault="00151F15" w:rsidP="00F61352">
      <w:pPr>
        <w:pStyle w:val="Bodytext50"/>
        <w:spacing w:after="12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(3) </w:t>
      </w:r>
      <w:r w:rsidR="00220FD0" w:rsidRPr="00057533">
        <w:rPr>
          <w:sz w:val="24"/>
          <w:szCs w:val="24"/>
        </w:rPr>
        <w:t xml:space="preserve">Section 1 of the </w:t>
      </w:r>
      <w:r w:rsidR="00220FD0" w:rsidRPr="00057533">
        <w:rPr>
          <w:rStyle w:val="Bodytext5Italic"/>
          <w:sz w:val="24"/>
          <w:szCs w:val="24"/>
        </w:rPr>
        <w:t>Social Services Amendment Act</w:t>
      </w:r>
      <w:r w:rsidR="00220FD0" w:rsidRPr="00057533">
        <w:rPr>
          <w:sz w:val="24"/>
          <w:szCs w:val="24"/>
        </w:rPr>
        <w:t xml:space="preserve"> 1976 is </w:t>
      </w:r>
      <w:r w:rsidR="00522306">
        <w:rPr>
          <w:sz w:val="24"/>
          <w:szCs w:val="24"/>
        </w:rPr>
        <w:t>amended by omitting sub-section </w:t>
      </w:r>
      <w:r w:rsidR="00220FD0" w:rsidRPr="00057533">
        <w:rPr>
          <w:sz w:val="24"/>
          <w:szCs w:val="24"/>
        </w:rPr>
        <w:t>(3).</w:t>
      </w:r>
    </w:p>
    <w:p w14:paraId="34EB9520" w14:textId="77777777" w:rsidR="00766A5A" w:rsidRPr="00057533" w:rsidRDefault="00151F15" w:rsidP="00F61352">
      <w:pPr>
        <w:pStyle w:val="Bodytext50"/>
        <w:spacing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(4) </w:t>
      </w:r>
      <w:r w:rsidR="00220FD0" w:rsidRPr="00057533">
        <w:rPr>
          <w:sz w:val="24"/>
          <w:szCs w:val="24"/>
        </w:rPr>
        <w:t xml:space="preserve">The Principal Act, as amended by this Act, may be cited as the </w:t>
      </w:r>
      <w:r w:rsidR="00220FD0" w:rsidRPr="00057533">
        <w:rPr>
          <w:rStyle w:val="Bodytext5Italic"/>
          <w:sz w:val="24"/>
          <w:szCs w:val="24"/>
        </w:rPr>
        <w:t>Social Services Act</w:t>
      </w:r>
      <w:r w:rsidR="00220FD0" w:rsidRPr="00057533">
        <w:rPr>
          <w:sz w:val="24"/>
          <w:szCs w:val="24"/>
        </w:rPr>
        <w:t xml:space="preserve"> 1947-1976.</w:t>
      </w:r>
    </w:p>
    <w:p w14:paraId="4CC4C8C9" w14:textId="77777777" w:rsidR="00766A5A" w:rsidRPr="00440159" w:rsidRDefault="00220FD0" w:rsidP="00440159">
      <w:pPr>
        <w:pStyle w:val="Bodytext60"/>
        <w:spacing w:before="120" w:after="60" w:line="240" w:lineRule="auto"/>
        <w:rPr>
          <w:b/>
          <w:sz w:val="20"/>
          <w:szCs w:val="20"/>
        </w:rPr>
      </w:pPr>
      <w:r w:rsidRPr="00440159">
        <w:rPr>
          <w:b/>
          <w:sz w:val="20"/>
          <w:szCs w:val="20"/>
        </w:rPr>
        <w:t>Commencement.</w:t>
      </w:r>
    </w:p>
    <w:p w14:paraId="3457B0E5" w14:textId="2F22EA5B" w:rsidR="003D1DDC" w:rsidRPr="00057533" w:rsidRDefault="00151F15" w:rsidP="00F61352">
      <w:pPr>
        <w:pStyle w:val="Bodytext50"/>
        <w:tabs>
          <w:tab w:val="left" w:pos="634"/>
        </w:tabs>
        <w:spacing w:line="240" w:lineRule="auto"/>
        <w:ind w:firstLine="270"/>
        <w:jc w:val="both"/>
        <w:rPr>
          <w:sz w:val="24"/>
          <w:szCs w:val="24"/>
        </w:rPr>
      </w:pPr>
      <w:r w:rsidRPr="00F61352">
        <w:rPr>
          <w:b/>
          <w:sz w:val="24"/>
          <w:szCs w:val="24"/>
        </w:rPr>
        <w:t>2.</w:t>
      </w:r>
      <w:r w:rsidR="00F61352">
        <w:rPr>
          <w:b/>
          <w:sz w:val="24"/>
          <w:szCs w:val="24"/>
        </w:rPr>
        <w:tab/>
      </w:r>
      <w:r w:rsidR="00220FD0" w:rsidRPr="00057533">
        <w:rPr>
          <w:sz w:val="24"/>
          <w:szCs w:val="24"/>
        </w:rPr>
        <w:t>This Act shall come into operation on the day on which it receives the Royal Assent.</w:t>
      </w:r>
    </w:p>
    <w:p w14:paraId="232A0DEC" w14:textId="77777777" w:rsidR="00766A5A" w:rsidRPr="00440159" w:rsidRDefault="003D1DDC" w:rsidP="00440159">
      <w:pPr>
        <w:pStyle w:val="Bodytext60"/>
        <w:spacing w:before="120" w:after="60" w:line="240" w:lineRule="auto"/>
        <w:rPr>
          <w:b/>
          <w:sz w:val="20"/>
          <w:szCs w:val="20"/>
        </w:rPr>
      </w:pPr>
      <w:r w:rsidRPr="00440159">
        <w:rPr>
          <w:b/>
          <w:sz w:val="20"/>
          <w:szCs w:val="20"/>
        </w:rPr>
        <w:t>Interpretation.</w:t>
      </w:r>
    </w:p>
    <w:p w14:paraId="1F64CA36" w14:textId="77777777" w:rsidR="00766A5A" w:rsidRPr="00057533" w:rsidRDefault="00151F15" w:rsidP="009A4DAE">
      <w:pPr>
        <w:pStyle w:val="Bodytext50"/>
        <w:tabs>
          <w:tab w:val="left" w:pos="634"/>
        </w:tabs>
        <w:spacing w:after="60" w:line="240" w:lineRule="auto"/>
        <w:ind w:firstLine="270"/>
        <w:jc w:val="both"/>
        <w:rPr>
          <w:sz w:val="24"/>
          <w:szCs w:val="24"/>
        </w:rPr>
      </w:pPr>
      <w:r w:rsidRPr="000C20AE">
        <w:rPr>
          <w:b/>
          <w:sz w:val="24"/>
          <w:szCs w:val="24"/>
        </w:rPr>
        <w:t>3.</w:t>
      </w:r>
      <w:r w:rsidR="000C20AE">
        <w:rPr>
          <w:b/>
          <w:sz w:val="24"/>
          <w:szCs w:val="24"/>
        </w:rPr>
        <w:tab/>
      </w:r>
      <w:r w:rsidR="00220FD0" w:rsidRPr="00057533">
        <w:rPr>
          <w:sz w:val="24"/>
          <w:szCs w:val="24"/>
        </w:rPr>
        <w:t>Section 94 of the Principal Act is amended—</w:t>
      </w:r>
    </w:p>
    <w:p w14:paraId="78AE4B49" w14:textId="77777777" w:rsidR="00766A5A" w:rsidRPr="00057533" w:rsidRDefault="00151F15" w:rsidP="009A4DAE">
      <w:pPr>
        <w:pStyle w:val="Bodytext50"/>
        <w:spacing w:after="60" w:line="240" w:lineRule="auto"/>
        <w:ind w:left="630" w:hanging="36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(a) </w:t>
      </w:r>
      <w:r w:rsidR="00220FD0" w:rsidRPr="00057533">
        <w:rPr>
          <w:sz w:val="24"/>
          <w:szCs w:val="24"/>
        </w:rPr>
        <w:t>by omitting from sub-paragraph (</w:t>
      </w:r>
      <w:proofErr w:type="spellStart"/>
      <w:r w:rsidR="00220FD0" w:rsidRPr="00057533">
        <w:rPr>
          <w:sz w:val="24"/>
          <w:szCs w:val="24"/>
        </w:rPr>
        <w:t>i</w:t>
      </w:r>
      <w:proofErr w:type="spellEnd"/>
      <w:r w:rsidR="00220FD0" w:rsidRPr="00057533">
        <w:rPr>
          <w:sz w:val="24"/>
          <w:szCs w:val="24"/>
        </w:rPr>
        <w:t>) of paragraph (b) of the definition of “child” in sub-section (1) the words “twenty-one years” and substituting the words “twenty-five years”; and</w:t>
      </w:r>
    </w:p>
    <w:p w14:paraId="518B2F46" w14:textId="1988125A" w:rsidR="00766A5A" w:rsidRPr="00057533" w:rsidRDefault="00151F15" w:rsidP="009A4DAE">
      <w:pPr>
        <w:pStyle w:val="Bodytext50"/>
        <w:spacing w:after="60" w:line="240" w:lineRule="auto"/>
        <w:ind w:left="630" w:hanging="36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(b) </w:t>
      </w:r>
      <w:r w:rsidR="00220FD0" w:rsidRPr="00057533">
        <w:rPr>
          <w:sz w:val="24"/>
          <w:szCs w:val="24"/>
        </w:rPr>
        <w:t>by inserting after sub-section</w:t>
      </w:r>
      <w:r w:rsidR="00522306">
        <w:rPr>
          <w:sz w:val="24"/>
          <w:szCs w:val="24"/>
        </w:rPr>
        <w:t xml:space="preserve"> (2) the following sub-section:</w:t>
      </w:r>
      <w:r w:rsidR="00220FD0" w:rsidRPr="00057533">
        <w:rPr>
          <w:sz w:val="24"/>
          <w:szCs w:val="24"/>
        </w:rPr>
        <w:t>—</w:t>
      </w:r>
    </w:p>
    <w:p w14:paraId="63A15EBA" w14:textId="3113901D" w:rsidR="00766A5A" w:rsidRPr="00057533" w:rsidRDefault="00220FD0" w:rsidP="00A96856">
      <w:pPr>
        <w:pStyle w:val="Bodytext50"/>
        <w:spacing w:after="60" w:line="240" w:lineRule="auto"/>
        <w:ind w:left="846" w:firstLine="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“(2</w:t>
      </w:r>
      <w:r w:rsidR="00522306">
        <w:rPr>
          <w:smallCaps/>
          <w:sz w:val="24"/>
          <w:szCs w:val="24"/>
        </w:rPr>
        <w:t>a</w:t>
      </w:r>
      <w:r w:rsidRPr="00057533">
        <w:rPr>
          <w:sz w:val="24"/>
          <w:szCs w:val="24"/>
        </w:rPr>
        <w:t>) Where a person who is wholly or substantially dependent on another person—</w:t>
      </w:r>
    </w:p>
    <w:p w14:paraId="40BBFEA8" w14:textId="77777777" w:rsidR="00766A5A" w:rsidRPr="00057533" w:rsidRDefault="00151F15" w:rsidP="00A96856">
      <w:pPr>
        <w:pStyle w:val="Bodytext50"/>
        <w:spacing w:after="60" w:line="240" w:lineRule="auto"/>
        <w:ind w:left="1224" w:hanging="378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(a) </w:t>
      </w:r>
      <w:r w:rsidR="00220FD0" w:rsidRPr="00057533">
        <w:rPr>
          <w:sz w:val="24"/>
          <w:szCs w:val="24"/>
        </w:rPr>
        <w:t>has attained the age of eighteen years but has not attained the age of twenty-five years;</w:t>
      </w:r>
    </w:p>
    <w:p w14:paraId="07253AE4" w14:textId="77777777" w:rsidR="00766A5A" w:rsidRPr="00057533" w:rsidRDefault="00151F15" w:rsidP="00A96856">
      <w:pPr>
        <w:pStyle w:val="Bodytext50"/>
        <w:spacing w:after="60" w:line="240" w:lineRule="auto"/>
        <w:ind w:left="1224" w:hanging="378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(b) </w:t>
      </w:r>
      <w:r w:rsidR="00220FD0" w:rsidRPr="00057533">
        <w:rPr>
          <w:sz w:val="24"/>
          <w:szCs w:val="24"/>
        </w:rPr>
        <w:t>is receiving full-time education at a school, college or university; and</w:t>
      </w:r>
    </w:p>
    <w:p w14:paraId="3A50F7B9" w14:textId="77777777" w:rsidR="00766A5A" w:rsidRPr="00057533" w:rsidRDefault="00151F15" w:rsidP="00A96856">
      <w:pPr>
        <w:pStyle w:val="Bodytext50"/>
        <w:spacing w:after="60" w:line="240" w:lineRule="auto"/>
        <w:ind w:left="1224" w:hanging="378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(c) </w:t>
      </w:r>
      <w:r w:rsidR="00220FD0" w:rsidRPr="00057533">
        <w:rPr>
          <w:sz w:val="24"/>
          <w:szCs w:val="24"/>
        </w:rPr>
        <w:t>is not in employment or engaged in work on his own account,</w:t>
      </w:r>
    </w:p>
    <w:p w14:paraId="4F3C4534" w14:textId="63EEB706" w:rsidR="00766A5A" w:rsidRPr="00057533" w:rsidRDefault="00220FD0" w:rsidP="00D37429">
      <w:pPr>
        <w:pStyle w:val="Bodytext50"/>
        <w:spacing w:line="240" w:lineRule="auto"/>
        <w:ind w:left="630" w:firstLine="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the provisions of this Part, including the provisions of sub</w:t>
      </w:r>
      <w:r w:rsidR="00522306">
        <w:rPr>
          <w:sz w:val="24"/>
          <w:szCs w:val="24"/>
        </w:rPr>
        <w:t>-</w:t>
      </w:r>
      <w:r w:rsidRPr="00057533">
        <w:rPr>
          <w:sz w:val="24"/>
          <w:szCs w:val="24"/>
        </w:rPr>
        <w:t>section (2), apply in relation to that person as if that person were a child in the custody, care and control of that other person.”.</w:t>
      </w:r>
    </w:p>
    <w:p w14:paraId="5637C34A" w14:textId="77777777" w:rsidR="00766A5A" w:rsidRPr="00440159" w:rsidRDefault="00220FD0" w:rsidP="00440159">
      <w:pPr>
        <w:pStyle w:val="Bodytext60"/>
        <w:spacing w:before="120" w:after="60" w:line="240" w:lineRule="auto"/>
        <w:rPr>
          <w:b/>
          <w:sz w:val="20"/>
          <w:szCs w:val="20"/>
        </w:rPr>
      </w:pPr>
      <w:r w:rsidRPr="00440159">
        <w:rPr>
          <w:b/>
          <w:sz w:val="20"/>
          <w:szCs w:val="20"/>
        </w:rPr>
        <w:t>Child</w:t>
      </w:r>
      <w:r w:rsidR="00FC42E9" w:rsidRPr="00440159">
        <w:rPr>
          <w:b/>
          <w:sz w:val="20"/>
          <w:szCs w:val="20"/>
        </w:rPr>
        <w:t xml:space="preserve"> </w:t>
      </w:r>
      <w:r w:rsidRPr="00440159">
        <w:rPr>
          <w:b/>
          <w:sz w:val="20"/>
          <w:szCs w:val="20"/>
        </w:rPr>
        <w:t>endowment.</w:t>
      </w:r>
    </w:p>
    <w:p w14:paraId="344BE133" w14:textId="25675A2A" w:rsidR="00766A5A" w:rsidRPr="00057533" w:rsidRDefault="0017275A" w:rsidP="0017275A">
      <w:pPr>
        <w:pStyle w:val="Bodytext50"/>
        <w:tabs>
          <w:tab w:val="left" w:pos="634"/>
        </w:tabs>
        <w:spacing w:line="240" w:lineRule="auto"/>
        <w:ind w:firstLine="270"/>
        <w:jc w:val="both"/>
        <w:rPr>
          <w:sz w:val="24"/>
          <w:szCs w:val="24"/>
        </w:rPr>
      </w:pPr>
      <w:r w:rsidRPr="0017275A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="00220FD0" w:rsidRPr="00057533">
        <w:rPr>
          <w:sz w:val="24"/>
          <w:szCs w:val="24"/>
        </w:rPr>
        <w:t>Section 95 of the Principal Act is amended by omitting sub</w:t>
      </w:r>
      <w:r w:rsidR="00522306">
        <w:rPr>
          <w:sz w:val="24"/>
          <w:szCs w:val="24"/>
        </w:rPr>
        <w:t>-</w:t>
      </w:r>
      <w:r w:rsidR="00220FD0" w:rsidRPr="00057533">
        <w:rPr>
          <w:sz w:val="24"/>
          <w:szCs w:val="24"/>
        </w:rPr>
        <w:t>sections (2), (3), (4) and (5) and substituting the following sub</w:t>
      </w:r>
      <w:r w:rsidR="00522306">
        <w:rPr>
          <w:sz w:val="24"/>
          <w:szCs w:val="24"/>
        </w:rPr>
        <w:t>-</w:t>
      </w:r>
      <w:r w:rsidR="00220FD0" w:rsidRPr="00057533">
        <w:rPr>
          <w:sz w:val="24"/>
          <w:szCs w:val="24"/>
        </w:rPr>
        <w:t>sections:—</w:t>
      </w:r>
    </w:p>
    <w:p w14:paraId="6D5394F3" w14:textId="77777777" w:rsidR="00766A5A" w:rsidRPr="00057533" w:rsidRDefault="00220FD0" w:rsidP="00DF2250">
      <w:pPr>
        <w:pStyle w:val="Bodytext50"/>
        <w:spacing w:after="6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“(2) The rate of endowment in respect of a child in respect of whom an endowment is payable to a person other than an institution is—</w:t>
      </w:r>
    </w:p>
    <w:p w14:paraId="3A862F28" w14:textId="77777777" w:rsidR="00766A5A" w:rsidRPr="00057533" w:rsidRDefault="00151F15" w:rsidP="00DF2250">
      <w:pPr>
        <w:pStyle w:val="Bodytext50"/>
        <w:spacing w:after="60" w:line="240" w:lineRule="auto"/>
        <w:ind w:left="630" w:hanging="36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(a) </w:t>
      </w:r>
      <w:r w:rsidR="00220FD0" w:rsidRPr="00057533">
        <w:rPr>
          <w:sz w:val="24"/>
          <w:szCs w:val="24"/>
        </w:rPr>
        <w:t>where the child is the only such child, or where there are two or more such children and the child is the elder or eldest of them—</w:t>
      </w:r>
      <w:r w:rsidR="00D0579A">
        <w:rPr>
          <w:sz w:val="24"/>
          <w:szCs w:val="24"/>
        </w:rPr>
        <w:t xml:space="preserve"> </w:t>
      </w:r>
      <w:r w:rsidR="00220FD0" w:rsidRPr="00057533">
        <w:rPr>
          <w:sz w:val="24"/>
          <w:szCs w:val="24"/>
        </w:rPr>
        <w:t>$3.50 per week;</w:t>
      </w:r>
    </w:p>
    <w:p w14:paraId="48CBD531" w14:textId="77777777" w:rsidR="00766A5A" w:rsidRPr="00057533" w:rsidRDefault="00151F15" w:rsidP="00DF2250">
      <w:pPr>
        <w:pStyle w:val="Bodytext50"/>
        <w:spacing w:after="60" w:line="240" w:lineRule="auto"/>
        <w:ind w:left="630" w:hanging="36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(b) </w:t>
      </w:r>
      <w:r w:rsidR="00220FD0" w:rsidRPr="00057533">
        <w:rPr>
          <w:sz w:val="24"/>
          <w:szCs w:val="24"/>
        </w:rPr>
        <w:t>where there are two or more such children and the child is the younger or second eldest of them—$5 per week;</w:t>
      </w:r>
    </w:p>
    <w:p w14:paraId="4EBE9377" w14:textId="77777777" w:rsidR="00766A5A" w:rsidRPr="00057533" w:rsidRDefault="00151F15" w:rsidP="00DF2250">
      <w:pPr>
        <w:pStyle w:val="Bodytext50"/>
        <w:spacing w:after="60" w:line="240" w:lineRule="auto"/>
        <w:ind w:left="630" w:hanging="36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(c) </w:t>
      </w:r>
      <w:r w:rsidR="00220FD0" w:rsidRPr="00057533">
        <w:rPr>
          <w:sz w:val="24"/>
          <w:szCs w:val="24"/>
        </w:rPr>
        <w:t>where there are three or more such children and the child is the third or fourth eldest of them—$6 per week; and</w:t>
      </w:r>
    </w:p>
    <w:p w14:paraId="002C0DD5" w14:textId="77777777" w:rsidR="00766A5A" w:rsidRPr="00057533" w:rsidRDefault="00151F15" w:rsidP="00DF2250">
      <w:pPr>
        <w:pStyle w:val="Bodytext50"/>
        <w:spacing w:after="120" w:line="240" w:lineRule="auto"/>
        <w:ind w:left="630" w:hanging="36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(d) </w:t>
      </w:r>
      <w:r w:rsidR="00220FD0" w:rsidRPr="00057533">
        <w:rPr>
          <w:sz w:val="24"/>
          <w:szCs w:val="24"/>
        </w:rPr>
        <w:t>where there are five or more such children and the child is not one of the four eldest of them—$7 per week.</w:t>
      </w:r>
    </w:p>
    <w:p w14:paraId="573E114A" w14:textId="77777777" w:rsidR="00522306" w:rsidRDefault="00522306">
      <w:pPr>
        <w:rPr>
          <w:rFonts w:ascii="Times New Roman" w:eastAsia="Times New Roman" w:hAnsi="Times New Roman" w:cs="Times New Roman"/>
        </w:rPr>
      </w:pPr>
      <w:r>
        <w:br w:type="page"/>
      </w:r>
    </w:p>
    <w:p w14:paraId="351B5070" w14:textId="4885FCBF" w:rsidR="00766A5A" w:rsidRPr="00057533" w:rsidRDefault="00220FD0" w:rsidP="00CF037B">
      <w:pPr>
        <w:pStyle w:val="Bodytext50"/>
        <w:spacing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lastRenderedPageBreak/>
        <w:t>“(3) The rate of endowment payable to an endowee, being an institution, in respect of a child is $5 per week.”.</w:t>
      </w:r>
    </w:p>
    <w:p w14:paraId="73E9AB08" w14:textId="77777777" w:rsidR="00766A5A" w:rsidRPr="00440159" w:rsidRDefault="00220FD0" w:rsidP="00440159">
      <w:pPr>
        <w:pStyle w:val="Bodytext60"/>
        <w:spacing w:before="120" w:after="60" w:line="240" w:lineRule="auto"/>
        <w:rPr>
          <w:b/>
          <w:sz w:val="20"/>
          <w:szCs w:val="20"/>
        </w:rPr>
      </w:pPr>
      <w:r w:rsidRPr="00440159">
        <w:rPr>
          <w:b/>
          <w:sz w:val="20"/>
          <w:szCs w:val="20"/>
        </w:rPr>
        <w:t>Endowment to cease in certain circumstances.</w:t>
      </w:r>
    </w:p>
    <w:p w14:paraId="66535208" w14:textId="01F111D0" w:rsidR="00CC0227" w:rsidRPr="00057533" w:rsidRDefault="00151F15" w:rsidP="00F95709">
      <w:pPr>
        <w:pStyle w:val="Bodytext50"/>
        <w:tabs>
          <w:tab w:val="left" w:pos="634"/>
        </w:tabs>
        <w:spacing w:line="240" w:lineRule="auto"/>
        <w:ind w:firstLine="270"/>
        <w:jc w:val="both"/>
        <w:rPr>
          <w:sz w:val="24"/>
          <w:szCs w:val="24"/>
        </w:rPr>
      </w:pPr>
      <w:r w:rsidRPr="00F95709">
        <w:rPr>
          <w:b/>
          <w:sz w:val="24"/>
          <w:szCs w:val="24"/>
        </w:rPr>
        <w:t>5.</w:t>
      </w:r>
      <w:r w:rsidR="00F95709">
        <w:rPr>
          <w:b/>
          <w:sz w:val="24"/>
          <w:szCs w:val="24"/>
        </w:rPr>
        <w:tab/>
      </w:r>
      <w:r w:rsidR="00220FD0" w:rsidRPr="00057533">
        <w:rPr>
          <w:sz w:val="24"/>
          <w:szCs w:val="24"/>
        </w:rPr>
        <w:t>Section 103 of the Principal Act is amended by omitting from sub</w:t>
      </w:r>
      <w:r w:rsidR="00522306">
        <w:rPr>
          <w:sz w:val="24"/>
          <w:szCs w:val="24"/>
        </w:rPr>
        <w:t>-</w:t>
      </w:r>
      <w:r w:rsidR="00220FD0" w:rsidRPr="00057533">
        <w:rPr>
          <w:sz w:val="24"/>
          <w:szCs w:val="24"/>
        </w:rPr>
        <w:t>paragraph (</w:t>
      </w:r>
      <w:proofErr w:type="spellStart"/>
      <w:r w:rsidR="00220FD0" w:rsidRPr="00057533">
        <w:rPr>
          <w:sz w:val="24"/>
          <w:szCs w:val="24"/>
        </w:rPr>
        <w:t>i</w:t>
      </w:r>
      <w:proofErr w:type="spellEnd"/>
      <w:r w:rsidR="00220FD0" w:rsidRPr="00057533">
        <w:rPr>
          <w:sz w:val="24"/>
          <w:szCs w:val="24"/>
        </w:rPr>
        <w:t>) of paragraph (g) of sub-section (1) the words “twenty- one years” and substituting the words “twenty-five years”.</w:t>
      </w:r>
    </w:p>
    <w:p w14:paraId="257EEE20" w14:textId="77777777" w:rsidR="00766A5A" w:rsidRPr="00440159" w:rsidRDefault="003D1DDC" w:rsidP="00440159">
      <w:pPr>
        <w:pStyle w:val="Bodytext60"/>
        <w:spacing w:before="120" w:after="60" w:line="240" w:lineRule="auto"/>
        <w:rPr>
          <w:b/>
          <w:sz w:val="20"/>
          <w:szCs w:val="20"/>
        </w:rPr>
      </w:pPr>
      <w:r w:rsidRPr="00440159">
        <w:rPr>
          <w:b/>
          <w:sz w:val="20"/>
          <w:szCs w:val="20"/>
        </w:rPr>
        <w:t>Adjustment of rates where child becomes student child.</w:t>
      </w:r>
    </w:p>
    <w:p w14:paraId="118206B6" w14:textId="54B3C99B" w:rsidR="00440159" w:rsidRDefault="00151F15" w:rsidP="00F95709">
      <w:pPr>
        <w:pStyle w:val="Bodytext50"/>
        <w:tabs>
          <w:tab w:val="left" w:pos="634"/>
        </w:tabs>
        <w:spacing w:line="240" w:lineRule="auto"/>
        <w:ind w:firstLine="270"/>
        <w:jc w:val="both"/>
        <w:rPr>
          <w:sz w:val="24"/>
          <w:szCs w:val="24"/>
        </w:rPr>
      </w:pPr>
      <w:r w:rsidRPr="00F95709">
        <w:rPr>
          <w:b/>
          <w:sz w:val="24"/>
          <w:szCs w:val="24"/>
        </w:rPr>
        <w:t>6.</w:t>
      </w:r>
      <w:r w:rsidR="00F95709">
        <w:rPr>
          <w:b/>
          <w:sz w:val="24"/>
          <w:szCs w:val="24"/>
        </w:rPr>
        <w:tab/>
      </w:r>
      <w:r w:rsidR="00522306">
        <w:rPr>
          <w:sz w:val="24"/>
          <w:szCs w:val="24"/>
        </w:rPr>
        <w:t>Section 103</w:t>
      </w:r>
      <w:r w:rsidR="00522306">
        <w:rPr>
          <w:smallCaps/>
          <w:sz w:val="24"/>
          <w:szCs w:val="24"/>
        </w:rPr>
        <w:t>a</w:t>
      </w:r>
      <w:r w:rsidR="00220FD0" w:rsidRPr="00057533">
        <w:rPr>
          <w:sz w:val="24"/>
          <w:szCs w:val="24"/>
        </w:rPr>
        <w:t xml:space="preserve"> of the Principal Act is repealed.</w:t>
      </w:r>
    </w:p>
    <w:p w14:paraId="444839BA" w14:textId="77777777" w:rsidR="00766A5A" w:rsidRPr="00440159" w:rsidRDefault="00FC42E9" w:rsidP="00440159">
      <w:pPr>
        <w:pStyle w:val="Bodytext60"/>
        <w:spacing w:before="120" w:after="60" w:line="240" w:lineRule="auto"/>
        <w:rPr>
          <w:b/>
          <w:sz w:val="20"/>
          <w:szCs w:val="20"/>
        </w:rPr>
      </w:pPr>
      <w:r w:rsidRPr="00440159">
        <w:rPr>
          <w:b/>
          <w:sz w:val="20"/>
          <w:szCs w:val="20"/>
        </w:rPr>
        <w:t>Adjustment of rates where there is a non-endowed child in family.</w:t>
      </w:r>
    </w:p>
    <w:p w14:paraId="21DB6499" w14:textId="77777777" w:rsidR="00CC0227" w:rsidRPr="00057533" w:rsidRDefault="00F95709" w:rsidP="00F95709">
      <w:pPr>
        <w:pStyle w:val="Bodytext50"/>
        <w:tabs>
          <w:tab w:val="left" w:pos="634"/>
        </w:tabs>
        <w:spacing w:line="240" w:lineRule="auto"/>
        <w:ind w:firstLine="270"/>
        <w:jc w:val="both"/>
        <w:rPr>
          <w:sz w:val="24"/>
          <w:szCs w:val="24"/>
        </w:rPr>
      </w:pPr>
      <w:r w:rsidRPr="00F95709">
        <w:rPr>
          <w:b/>
          <w:sz w:val="24"/>
          <w:szCs w:val="24"/>
        </w:rPr>
        <w:t>7.</w:t>
      </w:r>
      <w:r>
        <w:rPr>
          <w:sz w:val="24"/>
          <w:szCs w:val="24"/>
        </w:rPr>
        <w:tab/>
      </w:r>
      <w:r w:rsidR="00220FD0" w:rsidRPr="00057533">
        <w:rPr>
          <w:sz w:val="24"/>
          <w:szCs w:val="24"/>
        </w:rPr>
        <w:t>Section 103</w:t>
      </w:r>
      <w:r w:rsidR="00220FD0" w:rsidRPr="00057533">
        <w:rPr>
          <w:rStyle w:val="Bodytext5SmallCaps"/>
          <w:sz w:val="24"/>
          <w:szCs w:val="24"/>
        </w:rPr>
        <w:t>b</w:t>
      </w:r>
      <w:r w:rsidR="00220FD0" w:rsidRPr="00057533">
        <w:rPr>
          <w:sz w:val="24"/>
          <w:szCs w:val="24"/>
        </w:rPr>
        <w:t xml:space="preserve"> of the Principal Act is amended by omitting the words “under the age of sixteen years” (wherever occurring).</w:t>
      </w:r>
    </w:p>
    <w:p w14:paraId="78AEF4C1" w14:textId="77777777" w:rsidR="00766A5A" w:rsidRPr="00440159" w:rsidRDefault="00FC42E9" w:rsidP="00440159">
      <w:pPr>
        <w:pStyle w:val="Bodytext60"/>
        <w:spacing w:before="120" w:after="60" w:line="240" w:lineRule="auto"/>
        <w:rPr>
          <w:b/>
          <w:sz w:val="20"/>
          <w:szCs w:val="20"/>
        </w:rPr>
      </w:pPr>
      <w:r w:rsidRPr="00440159">
        <w:rPr>
          <w:b/>
          <w:sz w:val="20"/>
          <w:szCs w:val="20"/>
        </w:rPr>
        <w:t>Payment of endowment to certain residents.</w:t>
      </w:r>
    </w:p>
    <w:p w14:paraId="6AF092A3" w14:textId="77777777" w:rsidR="00766A5A" w:rsidRPr="00057533" w:rsidRDefault="00151F15" w:rsidP="00105311">
      <w:pPr>
        <w:pStyle w:val="Bodytext50"/>
        <w:tabs>
          <w:tab w:val="left" w:pos="634"/>
        </w:tabs>
        <w:spacing w:after="60" w:line="240" w:lineRule="auto"/>
        <w:ind w:firstLine="270"/>
        <w:jc w:val="both"/>
        <w:rPr>
          <w:sz w:val="24"/>
          <w:szCs w:val="24"/>
        </w:rPr>
      </w:pPr>
      <w:r w:rsidRPr="00F95709">
        <w:rPr>
          <w:b/>
          <w:sz w:val="24"/>
          <w:szCs w:val="24"/>
        </w:rPr>
        <w:t>8.</w:t>
      </w:r>
      <w:r w:rsidR="00F95709">
        <w:rPr>
          <w:b/>
          <w:sz w:val="24"/>
          <w:szCs w:val="24"/>
        </w:rPr>
        <w:tab/>
      </w:r>
      <w:r w:rsidR="00220FD0" w:rsidRPr="00057533">
        <w:rPr>
          <w:sz w:val="24"/>
          <w:szCs w:val="24"/>
        </w:rPr>
        <w:t>After section 104 of the Principal Act the following section is inserted: —</w:t>
      </w:r>
    </w:p>
    <w:p w14:paraId="2A36613D" w14:textId="77777777" w:rsidR="00766A5A" w:rsidRPr="00057533" w:rsidRDefault="00220FD0" w:rsidP="00C56458">
      <w:pPr>
        <w:pStyle w:val="Bodytext50"/>
        <w:spacing w:after="6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“104</w:t>
      </w:r>
      <w:r w:rsidR="00366C8B" w:rsidRPr="005F7DEF">
        <w:rPr>
          <w:smallCaps/>
          <w:sz w:val="24"/>
          <w:szCs w:val="24"/>
        </w:rPr>
        <w:t>aa</w:t>
      </w:r>
      <w:r w:rsidRPr="00057533">
        <w:rPr>
          <w:sz w:val="24"/>
          <w:szCs w:val="24"/>
        </w:rPr>
        <w:t>. (1) Where, but for this section, an endowment could not, by reason of a provision of section 96 or 104, be granted in respect of a child, the Director-General may, notwithstanding that provision, grant a claim for an endowment in respect of the child if the Director-General is satisfied that—</w:t>
      </w:r>
    </w:p>
    <w:p w14:paraId="033D3BE7" w14:textId="77777777" w:rsidR="00766A5A" w:rsidRPr="00057533" w:rsidRDefault="00151F15" w:rsidP="00105311">
      <w:pPr>
        <w:pStyle w:val="Bodytext50"/>
        <w:spacing w:after="60" w:line="240" w:lineRule="auto"/>
        <w:ind w:left="594" w:hanging="324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(a) </w:t>
      </w:r>
      <w:r w:rsidR="00220FD0" w:rsidRPr="00057533">
        <w:rPr>
          <w:sz w:val="24"/>
          <w:szCs w:val="24"/>
        </w:rPr>
        <w:t>the claimant (not being an institution) is in Australia; and</w:t>
      </w:r>
    </w:p>
    <w:p w14:paraId="5F2FBF1E" w14:textId="77777777" w:rsidR="00766A5A" w:rsidRPr="00057533" w:rsidRDefault="00151F15" w:rsidP="00105311">
      <w:pPr>
        <w:pStyle w:val="Bodytext50"/>
        <w:spacing w:after="60" w:line="240" w:lineRule="auto"/>
        <w:ind w:left="594" w:hanging="324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(b) </w:t>
      </w:r>
      <w:r w:rsidR="00220FD0" w:rsidRPr="00057533">
        <w:rPr>
          <w:sz w:val="24"/>
          <w:szCs w:val="24"/>
        </w:rPr>
        <w:t>the claimant, or if the claimant is a woman, the claimant or her husband—</w:t>
      </w:r>
    </w:p>
    <w:p w14:paraId="45C3D690" w14:textId="77777777" w:rsidR="00766A5A" w:rsidRPr="00057533" w:rsidRDefault="00151F15" w:rsidP="00105311">
      <w:pPr>
        <w:pStyle w:val="Bodytext50"/>
        <w:spacing w:after="60" w:line="240" w:lineRule="auto"/>
        <w:ind w:left="900" w:firstLine="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(</w:t>
      </w:r>
      <w:proofErr w:type="spellStart"/>
      <w:r w:rsidRPr="00057533">
        <w:rPr>
          <w:sz w:val="24"/>
          <w:szCs w:val="24"/>
        </w:rPr>
        <w:t>i</w:t>
      </w:r>
      <w:proofErr w:type="spellEnd"/>
      <w:r w:rsidRPr="00057533">
        <w:rPr>
          <w:sz w:val="24"/>
          <w:szCs w:val="24"/>
        </w:rPr>
        <w:t xml:space="preserve">) </w:t>
      </w:r>
      <w:r w:rsidR="00220FD0" w:rsidRPr="00057533">
        <w:rPr>
          <w:sz w:val="24"/>
          <w:szCs w:val="24"/>
        </w:rPr>
        <w:t>is a resident of Australia; and</w:t>
      </w:r>
    </w:p>
    <w:p w14:paraId="050B3C0A" w14:textId="77777777" w:rsidR="00766A5A" w:rsidRPr="00057533" w:rsidRDefault="00151F15" w:rsidP="00105311">
      <w:pPr>
        <w:pStyle w:val="Bodytext50"/>
        <w:spacing w:after="120" w:line="240" w:lineRule="auto"/>
        <w:ind w:left="900" w:firstLine="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(ii) </w:t>
      </w:r>
      <w:r w:rsidR="00220FD0" w:rsidRPr="00057533">
        <w:rPr>
          <w:sz w:val="24"/>
          <w:szCs w:val="24"/>
        </w:rPr>
        <w:t>is contributing regularly to the maintenance of the child.</w:t>
      </w:r>
    </w:p>
    <w:p w14:paraId="1B0B0A6D" w14:textId="77777777" w:rsidR="00766A5A" w:rsidRPr="00057533" w:rsidRDefault="00220FD0" w:rsidP="00105311">
      <w:pPr>
        <w:pStyle w:val="Bodytext50"/>
        <w:spacing w:after="6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“(2) Where a husband or his wife is contributing regularly to the maintenance of a child and the husband is in Australia but his wife is not in Australia—</w:t>
      </w:r>
    </w:p>
    <w:p w14:paraId="119BB352" w14:textId="77777777" w:rsidR="00766A5A" w:rsidRPr="00057533" w:rsidRDefault="00151F15" w:rsidP="00105311">
      <w:pPr>
        <w:pStyle w:val="Bodytext50"/>
        <w:spacing w:line="240" w:lineRule="auto"/>
        <w:ind w:left="612" w:hanging="342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(a) </w:t>
      </w:r>
      <w:r w:rsidR="00220FD0" w:rsidRPr="00057533">
        <w:rPr>
          <w:sz w:val="24"/>
          <w:szCs w:val="24"/>
        </w:rPr>
        <w:t>sub-section (2) of section 94 does not apply to or in relation to the child; and</w:t>
      </w:r>
    </w:p>
    <w:p w14:paraId="7AC965C3" w14:textId="77777777" w:rsidR="00766A5A" w:rsidRPr="00057533" w:rsidRDefault="00151F15" w:rsidP="0001710F">
      <w:pPr>
        <w:pStyle w:val="Bodytext50"/>
        <w:spacing w:after="120" w:line="240" w:lineRule="auto"/>
        <w:ind w:left="612" w:hanging="342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(b) </w:t>
      </w:r>
      <w:r w:rsidR="00220FD0" w:rsidRPr="00057533">
        <w:rPr>
          <w:sz w:val="24"/>
          <w:szCs w:val="24"/>
        </w:rPr>
        <w:t>the husband shall be deemed, for the purposes of sub-section (1) of this section, to have the custody, care and control of the child.</w:t>
      </w:r>
    </w:p>
    <w:p w14:paraId="1B51E147" w14:textId="77777777" w:rsidR="00766A5A" w:rsidRPr="00057533" w:rsidRDefault="00220FD0" w:rsidP="00597314">
      <w:pPr>
        <w:pStyle w:val="Bodytext50"/>
        <w:spacing w:after="6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“(3) Paragraphs (a), (b), (c), (d) and (e) of sub-section (1) of section 103 do not apply in relation to an endowment granted by virtue of sub-section (1) of this section, but, without affecting the application of the remaining provisions of sub-section (1) of section 103 in relation to such an endowment, the Director-General may terminate the payment of such an endowment if he is satisfied that—</w:t>
      </w:r>
    </w:p>
    <w:p w14:paraId="2F3C28F3" w14:textId="77777777" w:rsidR="00766A5A" w:rsidRPr="00057533" w:rsidRDefault="00151F15" w:rsidP="008E240C">
      <w:pPr>
        <w:pStyle w:val="Bodytext50"/>
        <w:spacing w:after="60" w:line="240" w:lineRule="auto"/>
        <w:ind w:left="630" w:hanging="36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(a) </w:t>
      </w:r>
      <w:r w:rsidR="00220FD0" w:rsidRPr="00057533">
        <w:rPr>
          <w:sz w:val="24"/>
          <w:szCs w:val="24"/>
        </w:rPr>
        <w:t>the endowee would not be granted an endowment in respect of the child if the endowee were a claimant for such an endowment; or</w:t>
      </w:r>
    </w:p>
    <w:p w14:paraId="31FBC90C" w14:textId="77777777" w:rsidR="00766A5A" w:rsidRPr="00057533" w:rsidRDefault="00151F15" w:rsidP="008E240C">
      <w:pPr>
        <w:pStyle w:val="Bodytext50"/>
        <w:spacing w:after="120" w:line="240" w:lineRule="auto"/>
        <w:ind w:left="630" w:hanging="36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(b) </w:t>
      </w:r>
      <w:r w:rsidR="00220FD0" w:rsidRPr="00057533">
        <w:rPr>
          <w:sz w:val="24"/>
          <w:szCs w:val="24"/>
        </w:rPr>
        <w:t>the child has become an inmate of an institution.</w:t>
      </w:r>
    </w:p>
    <w:p w14:paraId="235C91E0" w14:textId="703ADBAE" w:rsidR="00766A5A" w:rsidRPr="00057533" w:rsidRDefault="00220FD0" w:rsidP="00597314">
      <w:pPr>
        <w:pStyle w:val="Bodytext50"/>
        <w:spacing w:after="6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“(4) The Director-General shall not terminate the payment of</w:t>
      </w:r>
      <w:r w:rsidR="00522306">
        <w:rPr>
          <w:sz w:val="24"/>
          <w:szCs w:val="24"/>
        </w:rPr>
        <w:t xml:space="preserve"> an endowment under sub-section </w:t>
      </w:r>
      <w:bookmarkStart w:id="1" w:name="_GoBack"/>
      <w:bookmarkEnd w:id="1"/>
      <w:r w:rsidRPr="00057533">
        <w:rPr>
          <w:sz w:val="24"/>
          <w:szCs w:val="24"/>
        </w:rPr>
        <w:t>(3) by reason that the endowee has ceased to be in Australia if he is satisfied that the absence of the endowee from Australia is temporary only.</w:t>
      </w:r>
    </w:p>
    <w:p w14:paraId="315500EA" w14:textId="3864B9D7" w:rsidR="00766A5A" w:rsidRPr="00057533" w:rsidRDefault="00220FD0" w:rsidP="00597314">
      <w:pPr>
        <w:pStyle w:val="Bodytext50"/>
        <w:spacing w:after="6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“(5) Paragraphs (a) and (b) of section 104</w:t>
      </w:r>
      <w:r w:rsidR="00522306">
        <w:rPr>
          <w:smallCaps/>
          <w:sz w:val="24"/>
          <w:szCs w:val="24"/>
        </w:rPr>
        <w:t>a</w:t>
      </w:r>
      <w:r w:rsidRPr="00057533">
        <w:rPr>
          <w:sz w:val="24"/>
          <w:szCs w:val="24"/>
        </w:rPr>
        <w:t xml:space="preserve"> do not apply in relation to an endowee to whom an endowment is paid in respect of a child by virtue of sub-section (1) of this section, but, without affecting the application of the remaining provisions of section 104</w:t>
      </w:r>
      <w:r w:rsidR="00522306">
        <w:rPr>
          <w:smallCaps/>
          <w:sz w:val="24"/>
          <w:szCs w:val="24"/>
        </w:rPr>
        <w:t>a</w:t>
      </w:r>
      <w:r w:rsidRPr="00057533">
        <w:rPr>
          <w:sz w:val="24"/>
          <w:szCs w:val="24"/>
        </w:rPr>
        <w:t xml:space="preserve"> in relation to the endowee, where—</w:t>
      </w:r>
    </w:p>
    <w:p w14:paraId="2510CFE0" w14:textId="77777777" w:rsidR="00766A5A" w:rsidRPr="00057533" w:rsidRDefault="002E6829" w:rsidP="004B18D4">
      <w:pPr>
        <w:pStyle w:val="Bodytext50"/>
        <w:spacing w:after="60" w:line="240" w:lineRule="auto"/>
        <w:ind w:left="594" w:hanging="324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(a) </w:t>
      </w:r>
      <w:r w:rsidR="00220FD0" w:rsidRPr="00057533">
        <w:rPr>
          <w:sz w:val="24"/>
          <w:szCs w:val="24"/>
        </w:rPr>
        <w:t>the endowee ceases to be in Australia;</w:t>
      </w:r>
    </w:p>
    <w:p w14:paraId="11038710" w14:textId="77777777" w:rsidR="00766A5A" w:rsidRPr="00057533" w:rsidRDefault="002E6829" w:rsidP="004B18D4">
      <w:pPr>
        <w:pStyle w:val="Bodytext50"/>
        <w:spacing w:after="60" w:line="240" w:lineRule="auto"/>
        <w:ind w:left="594" w:hanging="324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(b) </w:t>
      </w:r>
      <w:r w:rsidR="00220FD0" w:rsidRPr="00057533">
        <w:rPr>
          <w:sz w:val="24"/>
          <w:szCs w:val="24"/>
        </w:rPr>
        <w:t>the endowee ceases to be a resident of Australia; or</w:t>
      </w:r>
    </w:p>
    <w:p w14:paraId="4F613D9D" w14:textId="77777777" w:rsidR="00766A5A" w:rsidRPr="00057533" w:rsidRDefault="002E6829" w:rsidP="004B18D4">
      <w:pPr>
        <w:pStyle w:val="Bodytext50"/>
        <w:spacing w:after="60" w:line="240" w:lineRule="auto"/>
        <w:ind w:left="594" w:hanging="324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(c) </w:t>
      </w:r>
      <w:r w:rsidR="00220FD0" w:rsidRPr="00057533">
        <w:rPr>
          <w:sz w:val="24"/>
          <w:szCs w:val="24"/>
        </w:rPr>
        <w:t>the endowee ceases to contribute regularly to the maintenance of the child,</w:t>
      </w:r>
    </w:p>
    <w:p w14:paraId="608590D7" w14:textId="77777777" w:rsidR="00766A5A" w:rsidRPr="00057533" w:rsidRDefault="00220FD0" w:rsidP="004B18D4">
      <w:pPr>
        <w:pStyle w:val="Bodytext50"/>
        <w:spacing w:after="60" w:line="240" w:lineRule="auto"/>
        <w:ind w:firstLine="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the </w:t>
      </w:r>
      <w:proofErr w:type="spellStart"/>
      <w:r w:rsidRPr="00057533">
        <w:rPr>
          <w:sz w:val="24"/>
          <w:szCs w:val="24"/>
        </w:rPr>
        <w:t>endowee</w:t>
      </w:r>
      <w:proofErr w:type="spellEnd"/>
      <w:r w:rsidRPr="00057533">
        <w:rPr>
          <w:sz w:val="24"/>
          <w:szCs w:val="24"/>
        </w:rPr>
        <w:t xml:space="preserve"> shall, within 14 days after the occurrence of that event, notify a Director accordingly.</w:t>
      </w:r>
    </w:p>
    <w:p w14:paraId="7F127C04" w14:textId="77777777" w:rsidR="00766A5A" w:rsidRPr="00057533" w:rsidRDefault="00220FD0" w:rsidP="004B18D4">
      <w:pPr>
        <w:pStyle w:val="Bodytext50"/>
        <w:spacing w:after="12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Penalty: $40.</w:t>
      </w:r>
    </w:p>
    <w:p w14:paraId="55EE8184" w14:textId="77777777" w:rsidR="00522306" w:rsidRDefault="00522306">
      <w:pPr>
        <w:rPr>
          <w:rFonts w:ascii="Times New Roman" w:eastAsia="Times New Roman" w:hAnsi="Times New Roman" w:cs="Times New Roman"/>
        </w:rPr>
      </w:pPr>
      <w:r>
        <w:br w:type="page"/>
      </w:r>
    </w:p>
    <w:p w14:paraId="032CA596" w14:textId="0B3A4826" w:rsidR="00766A5A" w:rsidRPr="00057533" w:rsidRDefault="00220FD0" w:rsidP="004B18D4">
      <w:pPr>
        <w:pStyle w:val="Bodytext50"/>
        <w:spacing w:after="12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lastRenderedPageBreak/>
        <w:t>“(6) Where an endowment is granted under sub-section (1) by reason that the husband of the claimant is a resident of Australia, paragraph (b) of sub-section (5) applies in relation to the endowee as if the reference in that paragraph to the endowee were a reference to the husband of the endowee.</w:t>
      </w:r>
    </w:p>
    <w:p w14:paraId="62D90FFB" w14:textId="1BF8B193" w:rsidR="00766A5A" w:rsidRPr="00057533" w:rsidRDefault="00220FD0" w:rsidP="00781621">
      <w:pPr>
        <w:pStyle w:val="Bodytext50"/>
        <w:spacing w:after="12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“(7) Where an endowment is granted under sub-section (1) in respect of a child by reason that the husband of the claimant is contributing regularly to the maintenance of the child, paragraph (c) of sub</w:t>
      </w:r>
      <w:r w:rsidR="00522306">
        <w:rPr>
          <w:sz w:val="24"/>
          <w:szCs w:val="24"/>
        </w:rPr>
        <w:t>-</w:t>
      </w:r>
      <w:r w:rsidRPr="00057533">
        <w:rPr>
          <w:sz w:val="24"/>
          <w:szCs w:val="24"/>
        </w:rPr>
        <w:t>section (5) applies in relation to the endowee as if the reference in that paragraph to the endowee were a reference to the husband of the endowee.</w:t>
      </w:r>
    </w:p>
    <w:p w14:paraId="7AD8662F" w14:textId="5D3A227D" w:rsidR="00766A5A" w:rsidRPr="00057533" w:rsidRDefault="00220FD0" w:rsidP="00522306">
      <w:pPr>
        <w:pStyle w:val="Bodytext50"/>
        <w:spacing w:after="60"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>“(8) An endowment shall not be granted or paid to a person by virtue of sub-section (1) in respect of a child for any period for which any</w:t>
      </w:r>
      <w:r w:rsidR="00522306">
        <w:rPr>
          <w:sz w:val="24"/>
          <w:szCs w:val="24"/>
        </w:rPr>
        <w:t xml:space="preserve"> </w:t>
      </w:r>
      <w:r w:rsidRPr="00057533">
        <w:rPr>
          <w:sz w:val="24"/>
          <w:szCs w:val="24"/>
        </w:rPr>
        <w:t>person has received, or is receiving, a payment, similar to an endowment, in respect of that child under the law of some other country but, where an endowment would, but for this sub-section, be payable in respect of a child (in th</w:t>
      </w:r>
      <w:r w:rsidR="00DD05F9">
        <w:rPr>
          <w:sz w:val="24"/>
          <w:szCs w:val="24"/>
        </w:rPr>
        <w:t>is sub-section referred to as ‘</w:t>
      </w:r>
      <w:r w:rsidRPr="00057533">
        <w:rPr>
          <w:sz w:val="24"/>
          <w:szCs w:val="24"/>
        </w:rPr>
        <w:t>the excluded child’), an endowment in respect of any other child is, subject to section 103</w:t>
      </w:r>
      <w:r w:rsidR="00522306">
        <w:rPr>
          <w:smallCaps/>
          <w:sz w:val="24"/>
          <w:szCs w:val="24"/>
        </w:rPr>
        <w:t>b</w:t>
      </w:r>
      <w:r w:rsidRPr="00057533">
        <w:rPr>
          <w:sz w:val="24"/>
          <w:szCs w:val="24"/>
        </w:rPr>
        <w:t>, payable at the rate that would be applicable if an endowment were payable in respect of the excluded child.</w:t>
      </w:r>
    </w:p>
    <w:p w14:paraId="5AD519CD" w14:textId="77777777" w:rsidR="00766A5A" w:rsidRPr="00057533" w:rsidRDefault="00220FD0" w:rsidP="00E733E6">
      <w:pPr>
        <w:pStyle w:val="Bodytext50"/>
        <w:spacing w:line="240" w:lineRule="auto"/>
        <w:ind w:firstLine="270"/>
        <w:jc w:val="both"/>
        <w:rPr>
          <w:sz w:val="24"/>
          <w:szCs w:val="24"/>
        </w:rPr>
      </w:pPr>
      <w:r w:rsidRPr="00057533">
        <w:rPr>
          <w:sz w:val="24"/>
          <w:szCs w:val="24"/>
        </w:rPr>
        <w:t xml:space="preserve">“(9) In this section, ‘resident of Australia’ means a resident of Australia as defined by the </w:t>
      </w:r>
      <w:r w:rsidRPr="00057533">
        <w:rPr>
          <w:rStyle w:val="Bodytext5Italic"/>
          <w:sz w:val="24"/>
          <w:szCs w:val="24"/>
        </w:rPr>
        <w:t>Income Tax Assessment Act</w:t>
      </w:r>
      <w:r w:rsidRPr="00057533">
        <w:rPr>
          <w:sz w:val="24"/>
          <w:szCs w:val="24"/>
        </w:rPr>
        <w:t xml:space="preserve"> 1936-1976.”.</w:t>
      </w:r>
    </w:p>
    <w:p w14:paraId="3C4BA9B6" w14:textId="77777777" w:rsidR="00766A5A" w:rsidRPr="00E733E6" w:rsidRDefault="00220FD0" w:rsidP="00E733E6">
      <w:pPr>
        <w:pStyle w:val="Bodytext60"/>
        <w:spacing w:before="120" w:after="60" w:line="240" w:lineRule="auto"/>
        <w:rPr>
          <w:b/>
          <w:sz w:val="20"/>
          <w:szCs w:val="20"/>
        </w:rPr>
      </w:pPr>
      <w:r w:rsidRPr="00E733E6">
        <w:rPr>
          <w:b/>
          <w:sz w:val="20"/>
          <w:szCs w:val="20"/>
        </w:rPr>
        <w:t>Application</w:t>
      </w:r>
      <w:r w:rsidR="003C469A" w:rsidRPr="00E733E6">
        <w:rPr>
          <w:b/>
          <w:sz w:val="20"/>
          <w:szCs w:val="20"/>
        </w:rPr>
        <w:t xml:space="preserve"> </w:t>
      </w:r>
      <w:r w:rsidRPr="00E733E6">
        <w:rPr>
          <w:b/>
          <w:sz w:val="20"/>
          <w:szCs w:val="20"/>
        </w:rPr>
        <w:t>of</w:t>
      </w:r>
      <w:r w:rsidR="003C469A" w:rsidRPr="00E733E6">
        <w:rPr>
          <w:b/>
          <w:sz w:val="20"/>
          <w:szCs w:val="20"/>
        </w:rPr>
        <w:t xml:space="preserve"> </w:t>
      </w:r>
      <w:r w:rsidRPr="00E733E6">
        <w:rPr>
          <w:b/>
          <w:sz w:val="20"/>
          <w:szCs w:val="20"/>
        </w:rPr>
        <w:t>amendments.</w:t>
      </w:r>
    </w:p>
    <w:p w14:paraId="3DBA7599" w14:textId="77777777" w:rsidR="002C175C" w:rsidRPr="00057533" w:rsidRDefault="002C175C" w:rsidP="00D0579A">
      <w:pPr>
        <w:pStyle w:val="Bodytext50"/>
        <w:pBdr>
          <w:bottom w:val="single" w:sz="12" w:space="11" w:color="auto"/>
        </w:pBdr>
        <w:tabs>
          <w:tab w:val="left" w:pos="634"/>
        </w:tabs>
        <w:spacing w:after="160" w:line="240" w:lineRule="auto"/>
        <w:ind w:firstLine="270"/>
        <w:jc w:val="both"/>
        <w:rPr>
          <w:sz w:val="24"/>
          <w:szCs w:val="24"/>
        </w:rPr>
      </w:pPr>
      <w:r w:rsidRPr="003471E9">
        <w:rPr>
          <w:b/>
          <w:sz w:val="24"/>
          <w:szCs w:val="24"/>
        </w:rPr>
        <w:t>9.</w:t>
      </w:r>
      <w:r w:rsidR="003471E9">
        <w:rPr>
          <w:b/>
          <w:sz w:val="24"/>
          <w:szCs w:val="24"/>
        </w:rPr>
        <w:tab/>
      </w:r>
      <w:r w:rsidR="00220FD0" w:rsidRPr="00057533">
        <w:rPr>
          <w:sz w:val="24"/>
          <w:szCs w:val="24"/>
        </w:rPr>
        <w:t>The amendments made by this Act apply in relation to the payment of endowment payable in respect of any endowment period that commences on or after 15 June 1976.</w:t>
      </w:r>
    </w:p>
    <w:sectPr w:rsidR="002C175C" w:rsidRPr="00057533" w:rsidSect="00A63A74">
      <w:headerReference w:type="even" r:id="rId9"/>
      <w:headerReference w:type="default" r:id="rId10"/>
      <w:type w:val="continuous"/>
      <w:pgSz w:w="11909" w:h="16834" w:code="9"/>
      <w:pgMar w:top="1138" w:right="850" w:bottom="562" w:left="1699" w:header="432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D3C39F" w15:done="0"/>
  <w15:commentEx w15:paraId="469E6638" w15:done="0"/>
  <w15:commentEx w15:paraId="58489A4E" w15:done="0"/>
  <w15:commentEx w15:paraId="15B115A1" w15:done="0"/>
  <w15:commentEx w15:paraId="682CCEDE" w15:done="0"/>
  <w15:commentEx w15:paraId="124B56CB" w15:done="0"/>
  <w15:commentEx w15:paraId="431B034C" w15:done="0"/>
  <w15:commentEx w15:paraId="5F043740" w15:done="0"/>
  <w15:commentEx w15:paraId="4F74935E" w15:done="0"/>
  <w15:commentEx w15:paraId="321A6BE1" w15:done="0"/>
  <w15:commentEx w15:paraId="6012B26E" w15:done="0"/>
  <w15:commentEx w15:paraId="52CAA7E2" w15:done="0"/>
  <w15:commentEx w15:paraId="4383A467" w15:done="0"/>
  <w15:commentEx w15:paraId="3E690E20" w15:done="0"/>
  <w15:commentEx w15:paraId="6F9E0A51" w15:done="0"/>
  <w15:commentEx w15:paraId="4F535E10" w15:done="0"/>
  <w15:commentEx w15:paraId="5C326724" w15:done="0"/>
  <w15:commentEx w15:paraId="6A154AAD" w15:done="0"/>
  <w15:commentEx w15:paraId="32E1C4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D3C39F" w16cid:durableId="1F5AEBBF"/>
  <w16cid:commentId w16cid:paraId="469E6638" w16cid:durableId="1F5AEBD8"/>
  <w16cid:commentId w16cid:paraId="58489A4E" w16cid:durableId="1F5AEBE2"/>
  <w16cid:commentId w16cid:paraId="15B115A1" w16cid:durableId="1F5AEBF0"/>
  <w16cid:commentId w16cid:paraId="682CCEDE" w16cid:durableId="1F5AEC02"/>
  <w16cid:commentId w16cid:paraId="124B56CB" w16cid:durableId="1F5AEC15"/>
  <w16cid:commentId w16cid:paraId="431B034C" w16cid:durableId="1F5AEC1F"/>
  <w16cid:commentId w16cid:paraId="5F043740" w16cid:durableId="1F5AEC47"/>
  <w16cid:commentId w16cid:paraId="4F74935E" w16cid:durableId="1F5AEC4F"/>
  <w16cid:commentId w16cid:paraId="321A6BE1" w16cid:durableId="1F5AEC5E"/>
  <w16cid:commentId w16cid:paraId="6012B26E" w16cid:durableId="1F5AEC78"/>
  <w16cid:commentId w16cid:paraId="52CAA7E2" w16cid:durableId="1F5AEC8C"/>
  <w16cid:commentId w16cid:paraId="4383A467" w16cid:durableId="1F5AEC90"/>
  <w16cid:commentId w16cid:paraId="3E690E20" w16cid:durableId="1F5AECA8"/>
  <w16cid:commentId w16cid:paraId="6F9E0A51" w16cid:durableId="1F5AECB2"/>
  <w16cid:commentId w16cid:paraId="4F535E10" w16cid:durableId="1F5AECB7"/>
  <w16cid:commentId w16cid:paraId="5C326724" w16cid:durableId="1F5AECBE"/>
  <w16cid:commentId w16cid:paraId="6A154AAD" w16cid:durableId="1F5AECC3"/>
  <w16cid:commentId w16cid:paraId="32E1C477" w16cid:durableId="1F5AEC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E383F" w14:textId="77777777" w:rsidR="00BD6C59" w:rsidRDefault="00BD6C59">
      <w:r>
        <w:separator/>
      </w:r>
    </w:p>
  </w:endnote>
  <w:endnote w:type="continuationSeparator" w:id="0">
    <w:p w14:paraId="3492F80C" w14:textId="77777777" w:rsidR="00BD6C59" w:rsidRDefault="00BD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09D7F" w14:textId="77777777" w:rsidR="00BD6C59" w:rsidRDefault="00BD6C59"/>
  </w:footnote>
  <w:footnote w:type="continuationSeparator" w:id="0">
    <w:p w14:paraId="249A85C5" w14:textId="77777777" w:rsidR="00BD6C59" w:rsidRDefault="00BD6C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FA68A" w14:textId="567EF76E" w:rsidR="00A63A74" w:rsidRPr="00A63A74" w:rsidRDefault="00A63A74">
    <w:pPr>
      <w:pStyle w:val="Header"/>
      <w:rPr>
        <w:rFonts w:ascii="Times New Roman" w:hAnsi="Times New Roman" w:cs="Times New Roman"/>
        <w:i/>
        <w:sz w:val="22"/>
        <w:szCs w:val="22"/>
      </w:rPr>
    </w:pPr>
    <w:r w:rsidRPr="00A63A74">
      <w:rPr>
        <w:rStyle w:val="Bodytext7NotItalic"/>
        <w:rFonts w:eastAsia="Courier New"/>
        <w:i w:val="0"/>
      </w:rPr>
      <w:t>1976</w:t>
    </w:r>
    <w:r w:rsidRPr="00A63A74">
      <w:rPr>
        <w:rStyle w:val="Bodytext7NotItalic"/>
        <w:rFonts w:eastAsia="Courier New"/>
        <w:i w:val="0"/>
      </w:rPr>
      <w:tab/>
    </w:r>
    <w:r w:rsidRPr="00A63A74">
      <w:rPr>
        <w:rFonts w:ascii="Times New Roman" w:hAnsi="Times New Roman" w:cs="Times New Roman"/>
        <w:i/>
        <w:sz w:val="22"/>
        <w:szCs w:val="22"/>
      </w:rPr>
      <w:t xml:space="preserve">Social Services Amendment </w:t>
    </w:r>
    <w:r w:rsidRPr="00A63A74">
      <w:rPr>
        <w:rStyle w:val="Bodytext7NotItalic0"/>
        <w:rFonts w:eastAsia="Courier New"/>
        <w:i w:val="0"/>
      </w:rPr>
      <w:t>(</w:t>
    </w:r>
    <w:r w:rsidRPr="00A63A74">
      <w:rPr>
        <w:rFonts w:ascii="Times New Roman" w:hAnsi="Times New Roman" w:cs="Times New Roman"/>
        <w:i/>
        <w:sz w:val="22"/>
        <w:szCs w:val="22"/>
      </w:rPr>
      <w:t xml:space="preserve">No. </w:t>
    </w:r>
    <w:r w:rsidRPr="00522306">
      <w:rPr>
        <w:rStyle w:val="Bodytext7NotItalic0"/>
        <w:rFonts w:eastAsia="Courier New"/>
        <w:i w:val="0"/>
      </w:rPr>
      <w:t>2)</w:t>
    </w:r>
    <w:r w:rsidRPr="00A63A74">
      <w:rPr>
        <w:rStyle w:val="Bodytext7NotItalic"/>
        <w:rFonts w:eastAsia="Courier New"/>
        <w:i w:val="0"/>
      </w:rPr>
      <w:tab/>
      <w:t>No. 62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1682C" w14:textId="77777777" w:rsidR="00A63A74" w:rsidRPr="00A63A74" w:rsidRDefault="00A63A74">
    <w:pPr>
      <w:pStyle w:val="Header"/>
      <w:rPr>
        <w:rFonts w:ascii="Times New Roman" w:hAnsi="Times New Roman" w:cs="Times New Roman"/>
        <w:i/>
        <w:sz w:val="22"/>
        <w:szCs w:val="22"/>
      </w:rPr>
    </w:pPr>
    <w:r w:rsidRPr="00A63A74">
      <w:rPr>
        <w:rStyle w:val="Bodytext7NotItalic"/>
        <w:rFonts w:eastAsia="Courier New"/>
        <w:i w:val="0"/>
      </w:rPr>
      <w:t>1976</w:t>
    </w:r>
    <w:r w:rsidRPr="00A63A74">
      <w:rPr>
        <w:rStyle w:val="Bodytext7NotItalic"/>
        <w:rFonts w:eastAsia="Courier New"/>
        <w:i w:val="0"/>
      </w:rPr>
      <w:tab/>
    </w:r>
    <w:r w:rsidRPr="00A63A74">
      <w:rPr>
        <w:rFonts w:ascii="Times New Roman" w:hAnsi="Times New Roman" w:cs="Times New Roman"/>
        <w:i/>
        <w:sz w:val="22"/>
        <w:szCs w:val="22"/>
      </w:rPr>
      <w:t xml:space="preserve">Social Services Amendment </w:t>
    </w:r>
    <w:r w:rsidRPr="00A63A74">
      <w:rPr>
        <w:rStyle w:val="Bodytext7NotItalic0"/>
        <w:rFonts w:eastAsia="Courier New"/>
        <w:i w:val="0"/>
      </w:rPr>
      <w:t>(</w:t>
    </w:r>
    <w:r w:rsidRPr="00A63A74">
      <w:rPr>
        <w:rFonts w:ascii="Times New Roman" w:hAnsi="Times New Roman" w:cs="Times New Roman"/>
        <w:i/>
        <w:sz w:val="22"/>
        <w:szCs w:val="22"/>
      </w:rPr>
      <w:t xml:space="preserve">No. </w:t>
    </w:r>
    <w:r w:rsidRPr="00522306">
      <w:rPr>
        <w:rStyle w:val="Bodytext7NotItalic0"/>
        <w:rFonts w:eastAsia="Courier New"/>
        <w:i w:val="0"/>
      </w:rPr>
      <w:t>2)</w:t>
    </w:r>
    <w:r w:rsidRPr="00A63A74">
      <w:rPr>
        <w:rStyle w:val="Bodytext7NotItalic"/>
        <w:rFonts w:eastAsia="Courier New"/>
        <w:i w:val="0"/>
      </w:rPr>
      <w:tab/>
      <w:t>No. 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1F65"/>
    <w:multiLevelType w:val="multilevel"/>
    <w:tmpl w:val="42A4DF1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14D7B"/>
    <w:multiLevelType w:val="multilevel"/>
    <w:tmpl w:val="54A0175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03DF8"/>
    <w:multiLevelType w:val="multilevel"/>
    <w:tmpl w:val="3806B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13A68"/>
    <w:multiLevelType w:val="multilevel"/>
    <w:tmpl w:val="E006D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17EB9"/>
    <w:multiLevelType w:val="multilevel"/>
    <w:tmpl w:val="A0CAE9D6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51294"/>
    <w:multiLevelType w:val="multilevel"/>
    <w:tmpl w:val="DE0E43C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764ED5"/>
    <w:multiLevelType w:val="multilevel"/>
    <w:tmpl w:val="2BF242A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E036A9"/>
    <w:multiLevelType w:val="multilevel"/>
    <w:tmpl w:val="4B7C38F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DA4125"/>
    <w:multiLevelType w:val="hybridMultilevel"/>
    <w:tmpl w:val="B3068F2A"/>
    <w:lvl w:ilvl="0" w:tplc="C8E45A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65534"/>
    <w:multiLevelType w:val="multilevel"/>
    <w:tmpl w:val="C74C668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5B53A5"/>
    <w:multiLevelType w:val="multilevel"/>
    <w:tmpl w:val="2A20724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E6BBA"/>
    <w:multiLevelType w:val="multilevel"/>
    <w:tmpl w:val="3A202DB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10D0B"/>
    <w:multiLevelType w:val="hybridMultilevel"/>
    <w:tmpl w:val="FDD69DA4"/>
    <w:lvl w:ilvl="0" w:tplc="0E04FD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6A5A"/>
    <w:rsid w:val="0001710F"/>
    <w:rsid w:val="00057533"/>
    <w:rsid w:val="00077D00"/>
    <w:rsid w:val="000C20AE"/>
    <w:rsid w:val="00105311"/>
    <w:rsid w:val="001063FF"/>
    <w:rsid w:val="00151F15"/>
    <w:rsid w:val="0017275A"/>
    <w:rsid w:val="00220FD0"/>
    <w:rsid w:val="00244DF1"/>
    <w:rsid w:val="0026590E"/>
    <w:rsid w:val="002C175C"/>
    <w:rsid w:val="002E2064"/>
    <w:rsid w:val="002E6829"/>
    <w:rsid w:val="003471E9"/>
    <w:rsid w:val="00366C8B"/>
    <w:rsid w:val="0038213D"/>
    <w:rsid w:val="003C469A"/>
    <w:rsid w:val="003D1DDC"/>
    <w:rsid w:val="00440159"/>
    <w:rsid w:val="004770BA"/>
    <w:rsid w:val="004B18D4"/>
    <w:rsid w:val="004E06BC"/>
    <w:rsid w:val="00522306"/>
    <w:rsid w:val="00597314"/>
    <w:rsid w:val="005F7DEF"/>
    <w:rsid w:val="00683117"/>
    <w:rsid w:val="00716C00"/>
    <w:rsid w:val="00766A5A"/>
    <w:rsid w:val="00781621"/>
    <w:rsid w:val="007C6FA1"/>
    <w:rsid w:val="00876012"/>
    <w:rsid w:val="008C0634"/>
    <w:rsid w:val="008E240C"/>
    <w:rsid w:val="009A4DAE"/>
    <w:rsid w:val="00A63A74"/>
    <w:rsid w:val="00A96856"/>
    <w:rsid w:val="00BD6C59"/>
    <w:rsid w:val="00C56458"/>
    <w:rsid w:val="00CC0227"/>
    <w:rsid w:val="00CF037B"/>
    <w:rsid w:val="00D0579A"/>
    <w:rsid w:val="00D37429"/>
    <w:rsid w:val="00D437DC"/>
    <w:rsid w:val="00DB79F1"/>
    <w:rsid w:val="00DD05F9"/>
    <w:rsid w:val="00DF2250"/>
    <w:rsid w:val="00E733E6"/>
    <w:rsid w:val="00EE769A"/>
    <w:rsid w:val="00F106B0"/>
    <w:rsid w:val="00F61352"/>
    <w:rsid w:val="00F668F8"/>
    <w:rsid w:val="00F95709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959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Italic">
    <w:name w:val="Body text (5) +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5MicrosoftSansSerif">
    <w:name w:val="Body text (5) + Microsoft Sans Serif"/>
    <w:aliases w:val="16.5 pt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7NotItalic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7NotItalic0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5SmallCaps">
    <w:name w:val="Body text (5) + Small Caps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60">
    <w:name w:val="Body text (6)"/>
    <w:basedOn w:val="Normal"/>
    <w:link w:val="Bodytext6"/>
    <w:pPr>
      <w:spacing w:line="17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customStyle="1" w:styleId="Heading120">
    <w:name w:val="Heading #1 (2)"/>
    <w:basedOn w:val="Normal"/>
    <w:link w:val="Heading12"/>
    <w:pPr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Bodytext50">
    <w:name w:val="Body text (5)"/>
    <w:basedOn w:val="Normal"/>
    <w:link w:val="Bodytext5"/>
    <w:pPr>
      <w:spacing w:line="0" w:lineRule="atLeast"/>
      <w:ind w:hanging="5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"/>
    <w:link w:val="Bodytext7"/>
    <w:pPr>
      <w:spacing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300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3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7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3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74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E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06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064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6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76CA-D7AA-4305-958C-4C7883BF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2018-09-29T20:34:00Z</dcterms:created>
  <dcterms:modified xsi:type="dcterms:W3CDTF">2019-08-07T04:10:00Z</dcterms:modified>
</cp:coreProperties>
</file>