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CC571" w14:textId="77777777" w:rsidR="005232D8" w:rsidRDefault="005232D8" w:rsidP="000774A8">
      <w:pPr>
        <w:jc w:val="center"/>
        <w:rPr>
          <w:rFonts w:ascii="Times New Roman" w:hAnsi="Times New Roman" w:cs="Times New Roman"/>
          <w:b/>
          <w:sz w:val="32"/>
          <w:szCs w:val="22"/>
        </w:rPr>
      </w:pPr>
      <w:bookmarkStart w:id="0" w:name="bookmark0"/>
      <w:bookmarkStart w:id="1" w:name="_GoBack"/>
      <w:bookmarkEnd w:id="1"/>
      <w:r>
        <w:rPr>
          <w:rFonts w:ascii="Times New Roman" w:hAnsi="Times New Roman" w:cs="Times New Roman"/>
          <w:b/>
          <w:sz w:val="32"/>
          <w:szCs w:val="22"/>
        </w:rPr>
        <w:t>PHOSPHATE FERTILIZERS BOUNTY</w:t>
      </w:r>
    </w:p>
    <w:p w14:paraId="115F47C3" w14:textId="77777777" w:rsidR="002C14D7" w:rsidRPr="005232D8" w:rsidRDefault="007F6E88" w:rsidP="005232D8">
      <w:pPr>
        <w:spacing w:after="120"/>
        <w:jc w:val="center"/>
        <w:rPr>
          <w:rFonts w:ascii="Times New Roman" w:hAnsi="Times New Roman" w:cs="Times New Roman"/>
          <w:b/>
          <w:sz w:val="32"/>
          <w:szCs w:val="22"/>
        </w:rPr>
      </w:pPr>
      <w:r w:rsidRPr="005232D8">
        <w:rPr>
          <w:rFonts w:ascii="Times New Roman" w:hAnsi="Times New Roman" w:cs="Times New Roman"/>
          <w:b/>
          <w:sz w:val="32"/>
          <w:szCs w:val="22"/>
        </w:rPr>
        <w:t>AMENDMENT ACT 1976</w:t>
      </w:r>
      <w:bookmarkEnd w:id="0"/>
    </w:p>
    <w:p w14:paraId="0F50B0CD" w14:textId="77777777" w:rsidR="002C14D7" w:rsidRPr="00E50D28" w:rsidRDefault="007F6E88" w:rsidP="000774A8">
      <w:pPr>
        <w:spacing w:after="120"/>
        <w:jc w:val="center"/>
        <w:rPr>
          <w:rFonts w:ascii="Times New Roman" w:hAnsi="Times New Roman" w:cs="Times New Roman"/>
          <w:b/>
          <w:sz w:val="28"/>
          <w:szCs w:val="28"/>
        </w:rPr>
      </w:pPr>
      <w:bookmarkStart w:id="2" w:name="bookmark1"/>
      <w:r w:rsidRPr="00E50D28">
        <w:rPr>
          <w:rFonts w:ascii="Times New Roman" w:hAnsi="Times New Roman" w:cs="Times New Roman"/>
          <w:b/>
          <w:sz w:val="28"/>
          <w:szCs w:val="28"/>
        </w:rPr>
        <w:t>No. 19 of 1976</w:t>
      </w:r>
      <w:bookmarkEnd w:id="2"/>
    </w:p>
    <w:p w14:paraId="259B5B5A" w14:textId="77777777" w:rsidR="002C14D7" w:rsidRPr="000355ED" w:rsidRDefault="007F6E88" w:rsidP="000774A8">
      <w:pPr>
        <w:pStyle w:val="Bodytext20"/>
        <w:spacing w:after="120" w:line="240" w:lineRule="auto"/>
        <w:jc w:val="both"/>
      </w:pPr>
      <w:r w:rsidRPr="000355ED">
        <w:rPr>
          <w:rStyle w:val="Bodytext2NotItalic"/>
        </w:rPr>
        <w:t xml:space="preserve">An Act to amend the </w:t>
      </w:r>
      <w:r w:rsidRPr="000355ED">
        <w:t>Phosphate Fertilizers Bounty Act</w:t>
      </w:r>
      <w:r w:rsidRPr="000355ED">
        <w:rPr>
          <w:rStyle w:val="Bodytext2NotItalic"/>
        </w:rPr>
        <w:t xml:space="preserve"> 1963-1971.</w:t>
      </w:r>
    </w:p>
    <w:p w14:paraId="540C4BFC" w14:textId="478F3A84" w:rsidR="002C14D7" w:rsidRPr="000355ED" w:rsidRDefault="007F6E88" w:rsidP="000774A8">
      <w:pPr>
        <w:pStyle w:val="Bodytext61"/>
        <w:spacing w:line="240" w:lineRule="auto"/>
        <w:ind w:firstLine="270"/>
      </w:pPr>
      <w:r w:rsidRPr="000355ED">
        <w:t>BE IT ENACTED by the Queen, and the Senate and House of Representatives of the Commonwealth of Australia, as follows:—</w:t>
      </w:r>
    </w:p>
    <w:p w14:paraId="76CBD68A" w14:textId="77777777" w:rsidR="002C14D7" w:rsidRPr="005232D8" w:rsidRDefault="007F6E88" w:rsidP="000774A8">
      <w:pPr>
        <w:pStyle w:val="BodyText21"/>
        <w:spacing w:before="120" w:after="60" w:line="240" w:lineRule="auto"/>
        <w:ind w:firstLine="0"/>
        <w:rPr>
          <w:b/>
          <w:sz w:val="20"/>
        </w:rPr>
      </w:pPr>
      <w:r w:rsidRPr="005232D8">
        <w:rPr>
          <w:rStyle w:val="Bodytext95pt"/>
          <w:b/>
          <w:sz w:val="20"/>
          <w:szCs w:val="22"/>
        </w:rPr>
        <w:t>Short title and citation.</w:t>
      </w:r>
    </w:p>
    <w:p w14:paraId="04F25DBA" w14:textId="012019ED" w:rsidR="002C14D7" w:rsidRPr="000355ED" w:rsidRDefault="00F641B5" w:rsidP="000774A8">
      <w:pPr>
        <w:pStyle w:val="Bodytext61"/>
        <w:spacing w:after="60" w:line="240" w:lineRule="auto"/>
        <w:ind w:firstLine="270"/>
      </w:pPr>
      <w:r w:rsidRPr="005232D8">
        <w:rPr>
          <w:b/>
        </w:rPr>
        <w:t>1.</w:t>
      </w:r>
      <w:r w:rsidRPr="000355ED">
        <w:t xml:space="preserve"> </w:t>
      </w:r>
      <w:r w:rsidR="007F6E88" w:rsidRPr="000355ED">
        <w:t xml:space="preserve">(1) This Act may be cited as the </w:t>
      </w:r>
      <w:r w:rsidR="007F6E88" w:rsidRPr="000355ED">
        <w:rPr>
          <w:rStyle w:val="Bodytext6Italic"/>
        </w:rPr>
        <w:t>Phosphate Fertilizers Bounty Amendment Act</w:t>
      </w:r>
      <w:r w:rsidR="007F6E88" w:rsidRPr="000355ED">
        <w:t xml:space="preserve"> 1976.</w:t>
      </w:r>
    </w:p>
    <w:p w14:paraId="61026A22" w14:textId="5CC4B43E" w:rsidR="002C14D7" w:rsidRPr="000355ED" w:rsidRDefault="00F641B5" w:rsidP="000774A8">
      <w:pPr>
        <w:pStyle w:val="Bodytext61"/>
        <w:spacing w:after="60" w:line="240" w:lineRule="auto"/>
        <w:ind w:firstLine="270"/>
      </w:pPr>
      <w:r w:rsidRPr="000355ED">
        <w:t xml:space="preserve">(2) </w:t>
      </w:r>
      <w:r w:rsidR="007F6E88" w:rsidRPr="005232D8">
        <w:t>The</w:t>
      </w:r>
      <w:r w:rsidR="007F6E88" w:rsidRPr="000355ED">
        <w:t xml:space="preserve"> </w:t>
      </w:r>
      <w:r w:rsidR="007F6E88" w:rsidRPr="000355ED">
        <w:rPr>
          <w:rStyle w:val="Bodytext6Italic"/>
        </w:rPr>
        <w:t>Phosphate Fertilizers Bounty Act</w:t>
      </w:r>
      <w:r w:rsidR="007F6E88" w:rsidRPr="000355ED">
        <w:t xml:space="preserve"> 1963-1971 is in this Act referred to as the Principal Act.</w:t>
      </w:r>
    </w:p>
    <w:p w14:paraId="34AE71B8" w14:textId="77777777" w:rsidR="002C14D7" w:rsidRPr="000355ED" w:rsidRDefault="00F641B5" w:rsidP="000774A8">
      <w:pPr>
        <w:pStyle w:val="Bodytext61"/>
        <w:spacing w:after="60" w:line="240" w:lineRule="auto"/>
        <w:ind w:firstLine="270"/>
      </w:pPr>
      <w:r w:rsidRPr="000355ED">
        <w:t>(</w:t>
      </w:r>
      <w:r w:rsidR="009A1A07" w:rsidRPr="000355ED">
        <w:t>3</w:t>
      </w:r>
      <w:r w:rsidRPr="000355ED">
        <w:t xml:space="preserve">) </w:t>
      </w:r>
      <w:r w:rsidR="007F6E88" w:rsidRPr="005232D8">
        <w:t>The</w:t>
      </w:r>
      <w:r w:rsidR="007F6E88" w:rsidRPr="000355ED">
        <w:t xml:space="preserve"> Principal Act, as amended by this Act, may be cited as the </w:t>
      </w:r>
      <w:r w:rsidR="007F6E88" w:rsidRPr="000355ED">
        <w:rPr>
          <w:rStyle w:val="Bodytext6Italic"/>
        </w:rPr>
        <w:t>Phosphate Fertilizers Bounty Act</w:t>
      </w:r>
      <w:r w:rsidR="007F6E88" w:rsidRPr="000355ED">
        <w:t xml:space="preserve"> 1963-1976.</w:t>
      </w:r>
    </w:p>
    <w:p w14:paraId="234D71BE" w14:textId="77777777" w:rsidR="002C14D7" w:rsidRPr="005232D8" w:rsidRDefault="007F6E88" w:rsidP="000774A8">
      <w:pPr>
        <w:pStyle w:val="BodyText21"/>
        <w:spacing w:before="120" w:after="60" w:line="240" w:lineRule="auto"/>
        <w:ind w:firstLine="0"/>
        <w:rPr>
          <w:rStyle w:val="Bodytext95pt1"/>
          <w:b/>
          <w:sz w:val="20"/>
          <w:szCs w:val="22"/>
        </w:rPr>
      </w:pPr>
      <w:r w:rsidRPr="005232D8">
        <w:rPr>
          <w:rStyle w:val="Bodytext95pt1"/>
          <w:b/>
          <w:sz w:val="20"/>
          <w:szCs w:val="22"/>
        </w:rPr>
        <w:t>Commencement.</w:t>
      </w:r>
    </w:p>
    <w:p w14:paraId="6D114DF4" w14:textId="77777777" w:rsidR="002C14D7" w:rsidRPr="000355ED" w:rsidRDefault="00CD2A10" w:rsidP="000774A8">
      <w:pPr>
        <w:pStyle w:val="Bodytext61"/>
        <w:tabs>
          <w:tab w:val="left" w:pos="630"/>
        </w:tabs>
        <w:spacing w:line="240" w:lineRule="auto"/>
        <w:ind w:firstLine="270"/>
      </w:pPr>
      <w:r w:rsidRPr="005232D8">
        <w:rPr>
          <w:b/>
        </w:rPr>
        <w:t>2</w:t>
      </w:r>
      <w:r w:rsidR="009A1A07" w:rsidRPr="005232D8">
        <w:rPr>
          <w:b/>
        </w:rPr>
        <w:t>.</w:t>
      </w:r>
      <w:r w:rsidR="005232D8">
        <w:tab/>
      </w:r>
      <w:r w:rsidR="007F6E88" w:rsidRPr="000355ED">
        <w:t>This Act shall be deemed to have come into operation on 11 February 1976.</w:t>
      </w:r>
    </w:p>
    <w:p w14:paraId="4BE871DE" w14:textId="77777777" w:rsidR="009A1A07" w:rsidRPr="005232D8" w:rsidRDefault="009A1A07" w:rsidP="000774A8">
      <w:pPr>
        <w:pStyle w:val="BodyText21"/>
        <w:spacing w:before="120" w:after="60" w:line="240" w:lineRule="auto"/>
        <w:ind w:firstLine="0"/>
        <w:rPr>
          <w:rStyle w:val="Bodytext95pt1"/>
          <w:b/>
          <w:sz w:val="20"/>
          <w:szCs w:val="22"/>
        </w:rPr>
      </w:pPr>
      <w:r w:rsidRPr="005232D8">
        <w:rPr>
          <w:rStyle w:val="Bodytext95pt1"/>
          <w:b/>
          <w:sz w:val="20"/>
          <w:szCs w:val="22"/>
        </w:rPr>
        <w:t>Specification of bounty.</w:t>
      </w:r>
    </w:p>
    <w:p w14:paraId="2F651E9A" w14:textId="77777777" w:rsidR="002C14D7" w:rsidRPr="000355ED" w:rsidRDefault="00CD2A10" w:rsidP="000774A8">
      <w:pPr>
        <w:pStyle w:val="Bodytext61"/>
        <w:tabs>
          <w:tab w:val="left" w:pos="630"/>
        </w:tabs>
        <w:spacing w:line="240" w:lineRule="auto"/>
        <w:ind w:firstLine="270"/>
      </w:pPr>
      <w:r w:rsidRPr="005232D8">
        <w:rPr>
          <w:b/>
        </w:rPr>
        <w:t>3</w:t>
      </w:r>
      <w:r w:rsidR="009A1A07" w:rsidRPr="005232D8">
        <w:rPr>
          <w:b/>
        </w:rPr>
        <w:t>.</w:t>
      </w:r>
      <w:r w:rsidR="005232D8">
        <w:tab/>
      </w:r>
      <w:r w:rsidR="007F6E88" w:rsidRPr="005232D8">
        <w:t>Section</w:t>
      </w:r>
      <w:r w:rsidR="007F6E88" w:rsidRPr="000355ED">
        <w:t xml:space="preserve"> 4 of the Principal Act is amended by adding at the end thereof the following sub-sections:—</w:t>
      </w:r>
    </w:p>
    <w:p w14:paraId="5553C253" w14:textId="77777777" w:rsidR="002C14D7" w:rsidRPr="000355ED" w:rsidRDefault="007F6E88" w:rsidP="000774A8">
      <w:pPr>
        <w:pStyle w:val="Bodytext61"/>
        <w:spacing w:after="60" w:line="240" w:lineRule="auto"/>
        <w:ind w:firstLine="270"/>
      </w:pPr>
      <w:r w:rsidRPr="000355ED">
        <w:t>“(2) Subject to this Act, bounty is also payable in respect of superphosphate and ammonium phosphate produced at registered premises and—</w:t>
      </w:r>
    </w:p>
    <w:p w14:paraId="0952D5D4" w14:textId="77777777" w:rsidR="002C14D7" w:rsidRPr="000355ED" w:rsidRDefault="007F721B" w:rsidP="000774A8">
      <w:pPr>
        <w:pStyle w:val="Bodytext61"/>
        <w:spacing w:after="60" w:line="240" w:lineRule="auto"/>
        <w:ind w:left="630" w:hanging="360"/>
      </w:pPr>
      <w:r w:rsidRPr="000355ED">
        <w:t xml:space="preserve">(a) </w:t>
      </w:r>
      <w:r w:rsidR="007F6E88" w:rsidRPr="000355ED">
        <w:t>during the period from and including 11 February 1976 to and including 30 June 1977, sold by the producer for use in Australia as a fertilizer; or</w:t>
      </w:r>
    </w:p>
    <w:p w14:paraId="49E1DA2A" w14:textId="77777777" w:rsidR="002C14D7" w:rsidRPr="000355ED" w:rsidRDefault="007F721B" w:rsidP="000774A8">
      <w:pPr>
        <w:pStyle w:val="Bodytext61"/>
        <w:spacing w:after="60" w:line="240" w:lineRule="auto"/>
        <w:ind w:left="630" w:hanging="360"/>
      </w:pPr>
      <w:r w:rsidRPr="000355ED">
        <w:t xml:space="preserve">(b) </w:t>
      </w:r>
      <w:r w:rsidR="007F6E88" w:rsidRPr="000355ED">
        <w:t>used during the period referred to in paragraph (a) by the producer in the production in Australia of a fertilizer mixture for use in Australia.</w:t>
      </w:r>
    </w:p>
    <w:p w14:paraId="787B6747" w14:textId="77777777" w:rsidR="002C14D7" w:rsidRPr="000355ED" w:rsidRDefault="007F6E88" w:rsidP="000774A8">
      <w:pPr>
        <w:pStyle w:val="Bodytext61"/>
        <w:spacing w:after="60" w:line="240" w:lineRule="auto"/>
        <w:ind w:firstLine="270"/>
      </w:pPr>
      <w:r w:rsidRPr="000355ED">
        <w:t>“(3) Subject to this Act, bounty is also payable in respect of superphosphate and ammonium phosphate produced at registered premises and used after 31 December 1974 and before 11 February 1976 by the producer in the production in Australia of a fertilizer mixture for use in Australia, being a fertilizer mixture—</w:t>
      </w:r>
    </w:p>
    <w:p w14:paraId="31360FD2" w14:textId="77777777" w:rsidR="002C14D7" w:rsidRPr="000355ED" w:rsidRDefault="007F721B" w:rsidP="000774A8">
      <w:pPr>
        <w:pStyle w:val="Bodytext61"/>
        <w:spacing w:after="60" w:line="240" w:lineRule="auto"/>
        <w:ind w:left="630" w:hanging="360"/>
      </w:pPr>
      <w:r w:rsidRPr="000355ED">
        <w:t xml:space="preserve">(a) </w:t>
      </w:r>
      <w:r w:rsidR="007F6E88" w:rsidRPr="000355ED">
        <w:t>that was not sold by the producer before 11 February 1976; or</w:t>
      </w:r>
    </w:p>
    <w:p w14:paraId="0209BD0A" w14:textId="77777777" w:rsidR="002C14D7" w:rsidRPr="000355ED" w:rsidRDefault="00FC1243" w:rsidP="000774A8">
      <w:pPr>
        <w:pStyle w:val="Bodytext61"/>
        <w:spacing w:after="60" w:line="240" w:lineRule="auto"/>
        <w:ind w:left="630" w:hanging="360"/>
      </w:pPr>
      <w:r w:rsidRPr="000355ED">
        <w:t xml:space="preserve">(b) </w:t>
      </w:r>
      <w:r w:rsidR="007F6E88" w:rsidRPr="000355ED">
        <w:t>that—</w:t>
      </w:r>
    </w:p>
    <w:p w14:paraId="4AA5E2A1" w14:textId="77777777" w:rsidR="002C14D7" w:rsidRPr="000355ED" w:rsidRDefault="00C62700" w:rsidP="000774A8">
      <w:pPr>
        <w:pStyle w:val="Bodytext61"/>
        <w:spacing w:after="60" w:line="240" w:lineRule="auto"/>
        <w:ind w:firstLine="630"/>
      </w:pPr>
      <w:r w:rsidRPr="000355ED">
        <w:t>(</w:t>
      </w:r>
      <w:proofErr w:type="spellStart"/>
      <w:r w:rsidRPr="000355ED">
        <w:t>i</w:t>
      </w:r>
      <w:proofErr w:type="spellEnd"/>
      <w:r w:rsidRPr="000355ED">
        <w:t xml:space="preserve">) </w:t>
      </w:r>
      <w:r w:rsidR="007F6E88" w:rsidRPr="000355ED">
        <w:t>was sold by the producer before 11 February 1976;</w:t>
      </w:r>
    </w:p>
    <w:p w14:paraId="58F40498" w14:textId="77777777" w:rsidR="002C14D7" w:rsidRPr="000355ED" w:rsidRDefault="00C62700" w:rsidP="000774A8">
      <w:pPr>
        <w:pStyle w:val="Bodytext61"/>
        <w:spacing w:line="240" w:lineRule="auto"/>
        <w:ind w:left="900" w:hanging="270"/>
      </w:pPr>
      <w:r w:rsidRPr="000355ED">
        <w:t xml:space="preserve">(ii) </w:t>
      </w:r>
      <w:r w:rsidR="007F6E88" w:rsidRPr="000355ED">
        <w:t>immediately before 11 February 1976, was held by, or for, a person other than the producer for sale by that person for use in Australia; and</w:t>
      </w:r>
    </w:p>
    <w:p w14:paraId="24611E5A" w14:textId="01438F1C" w:rsidR="002C14D7" w:rsidRPr="005232D8" w:rsidRDefault="005F2328" w:rsidP="005232D8">
      <w:pPr>
        <w:pStyle w:val="Bodytext61"/>
        <w:spacing w:line="240" w:lineRule="auto"/>
        <w:ind w:left="900" w:hanging="270"/>
        <w:jc w:val="left"/>
      </w:pPr>
      <w:r w:rsidRPr="000355ED">
        <w:rPr>
          <w:rStyle w:val="Bodytext60"/>
        </w:rPr>
        <w:t xml:space="preserve">(iii) </w:t>
      </w:r>
      <w:r w:rsidR="007F6E88" w:rsidRPr="000355ED">
        <w:rPr>
          <w:rStyle w:val="Bodytext60"/>
        </w:rPr>
        <w:t xml:space="preserve">on or after 11 February 1976 was sold by that person at a price that would pass on to the purchaser the full benefit of the </w:t>
      </w:r>
      <w:r w:rsidR="007F6E88" w:rsidRPr="005232D8">
        <w:t>bounty</w:t>
      </w:r>
      <w:r w:rsidR="007F6E88" w:rsidRPr="000355ED">
        <w:rPr>
          <w:rStyle w:val="Bodytext60"/>
        </w:rPr>
        <w:t>.</w:t>
      </w:r>
    </w:p>
    <w:p w14:paraId="3CD62216" w14:textId="77777777" w:rsidR="002C14D7" w:rsidRPr="000355ED" w:rsidRDefault="007F6E88" w:rsidP="005232D8">
      <w:pPr>
        <w:pStyle w:val="Bodytext61"/>
        <w:spacing w:after="60" w:line="240" w:lineRule="auto"/>
        <w:ind w:firstLine="270"/>
        <w:jc w:val="left"/>
      </w:pPr>
      <w:r w:rsidRPr="000355ED">
        <w:rPr>
          <w:rStyle w:val="Bodytext60"/>
        </w:rPr>
        <w:t>“(4) Subject to this Act, bounty is also payable in respect of superphosphate and ammonium phosphate produced at registered premises and—</w:t>
      </w:r>
    </w:p>
    <w:p w14:paraId="7DE67317" w14:textId="77777777" w:rsidR="002C14D7" w:rsidRPr="000355ED" w:rsidRDefault="005F2328" w:rsidP="005232D8">
      <w:pPr>
        <w:pStyle w:val="Bodytext61"/>
        <w:spacing w:after="60" w:line="240" w:lineRule="auto"/>
        <w:ind w:left="630" w:hanging="360"/>
        <w:jc w:val="left"/>
      </w:pPr>
      <w:r w:rsidRPr="000355ED">
        <w:rPr>
          <w:rStyle w:val="Bodytext60"/>
        </w:rPr>
        <w:t xml:space="preserve">(a) </w:t>
      </w:r>
      <w:r w:rsidR="007F6E88" w:rsidRPr="000355ED">
        <w:rPr>
          <w:rStyle w:val="Bodytext60"/>
        </w:rPr>
        <w:t>after 31 December 1974 and before 11 February 1976, sold by the producer for use in Australia as a fertilizer;</w:t>
      </w:r>
    </w:p>
    <w:p w14:paraId="0CDA360A" w14:textId="77777777" w:rsidR="002C14D7" w:rsidRPr="000355ED" w:rsidRDefault="005F2328" w:rsidP="005232D8">
      <w:pPr>
        <w:pStyle w:val="Bodytext61"/>
        <w:spacing w:after="60" w:line="240" w:lineRule="auto"/>
        <w:ind w:left="630" w:hanging="360"/>
        <w:jc w:val="left"/>
      </w:pPr>
      <w:r w:rsidRPr="000355ED">
        <w:rPr>
          <w:rStyle w:val="Bodytext60"/>
        </w:rPr>
        <w:t xml:space="preserve">(b) </w:t>
      </w:r>
      <w:r w:rsidR="007F6E88" w:rsidRPr="005232D8">
        <w:t>immediately</w:t>
      </w:r>
      <w:r w:rsidR="007F6E88" w:rsidRPr="000355ED">
        <w:rPr>
          <w:rStyle w:val="Bodytext60"/>
        </w:rPr>
        <w:t xml:space="preserve"> before 11 February 1976, held by, or for, a person other than the producer for sale by that person for use in Australia as a fertilizer; and</w:t>
      </w:r>
    </w:p>
    <w:p w14:paraId="2A57DAB3" w14:textId="77777777" w:rsidR="002C14D7" w:rsidRPr="000355ED" w:rsidRDefault="003B6EB4" w:rsidP="005232D8">
      <w:pPr>
        <w:pStyle w:val="Bodytext61"/>
        <w:spacing w:after="60" w:line="240" w:lineRule="auto"/>
        <w:ind w:left="630" w:hanging="360"/>
        <w:jc w:val="left"/>
      </w:pPr>
      <w:r w:rsidRPr="000355ED">
        <w:rPr>
          <w:rStyle w:val="Bodytext60"/>
        </w:rPr>
        <w:t xml:space="preserve">(c) </w:t>
      </w:r>
      <w:r w:rsidR="007F6E88" w:rsidRPr="000355ED">
        <w:rPr>
          <w:rStyle w:val="Bodytext60"/>
        </w:rPr>
        <w:t>on or after 11 February 1976, sold by that person at a price that would pass on to the purchaser the full benefit of the bounty.”.</w:t>
      </w:r>
    </w:p>
    <w:p w14:paraId="076DE04B" w14:textId="77777777" w:rsidR="002C14D7" w:rsidRPr="007C7E3D" w:rsidRDefault="007F6E88" w:rsidP="007C7E3D">
      <w:pPr>
        <w:pStyle w:val="BodyText21"/>
        <w:spacing w:before="120" w:after="60" w:line="240" w:lineRule="auto"/>
        <w:ind w:firstLine="0"/>
        <w:jc w:val="left"/>
        <w:rPr>
          <w:rStyle w:val="Bodytext95pt1"/>
          <w:b/>
          <w:sz w:val="20"/>
          <w:szCs w:val="22"/>
        </w:rPr>
      </w:pPr>
      <w:r w:rsidRPr="007C7E3D">
        <w:rPr>
          <w:rStyle w:val="Bodytext95pt1"/>
          <w:b/>
          <w:sz w:val="20"/>
          <w:szCs w:val="22"/>
        </w:rPr>
        <w:t>Rate of bounty in respect of super-phosphate.</w:t>
      </w:r>
    </w:p>
    <w:p w14:paraId="1D4259DE" w14:textId="77777777" w:rsidR="002C14D7" w:rsidRPr="000355ED" w:rsidRDefault="001C098B" w:rsidP="007C7E3D">
      <w:pPr>
        <w:pStyle w:val="Bodytext61"/>
        <w:tabs>
          <w:tab w:val="left" w:pos="630"/>
        </w:tabs>
        <w:spacing w:line="240" w:lineRule="auto"/>
        <w:ind w:firstLine="270"/>
        <w:jc w:val="left"/>
      </w:pPr>
      <w:r w:rsidRPr="007C7E3D">
        <w:rPr>
          <w:rStyle w:val="Bodytext60"/>
          <w:b/>
        </w:rPr>
        <w:t>4.</w:t>
      </w:r>
      <w:r w:rsidR="005232D8">
        <w:rPr>
          <w:rStyle w:val="Bodytext60"/>
        </w:rPr>
        <w:tab/>
      </w:r>
      <w:r w:rsidR="007F6E88" w:rsidRPr="000355ED">
        <w:rPr>
          <w:rStyle w:val="Bodytext60"/>
        </w:rPr>
        <w:t>Section 8 of the Principal Act is amended—</w:t>
      </w:r>
    </w:p>
    <w:p w14:paraId="157E4B1B" w14:textId="77777777" w:rsidR="002C14D7" w:rsidRPr="000355ED" w:rsidRDefault="006304F9" w:rsidP="007C7E3D">
      <w:pPr>
        <w:pStyle w:val="Bodytext61"/>
        <w:spacing w:after="60" w:line="240" w:lineRule="auto"/>
        <w:ind w:left="630" w:hanging="360"/>
        <w:jc w:val="left"/>
      </w:pPr>
      <w:r w:rsidRPr="000355ED">
        <w:rPr>
          <w:rStyle w:val="Bodytext60"/>
        </w:rPr>
        <w:t xml:space="preserve">(a) </w:t>
      </w:r>
      <w:r w:rsidR="007F6E88" w:rsidRPr="000355ED">
        <w:rPr>
          <w:rStyle w:val="Bodytext60"/>
        </w:rPr>
        <w:t xml:space="preserve">by omitting from sub-sections (1) and (3) the words “Twelve dollars for each ton” and substituting the words “$11.81 for each </w:t>
      </w:r>
      <w:proofErr w:type="spellStart"/>
      <w:r w:rsidR="007F6E88" w:rsidRPr="000355ED">
        <w:rPr>
          <w:rStyle w:val="Bodytext60"/>
        </w:rPr>
        <w:t>tonne</w:t>
      </w:r>
      <w:proofErr w:type="spellEnd"/>
      <w:r w:rsidR="007F6E88" w:rsidRPr="000355ED">
        <w:rPr>
          <w:rStyle w:val="Bodytext60"/>
        </w:rPr>
        <w:t>”; and</w:t>
      </w:r>
    </w:p>
    <w:p w14:paraId="2913F9CA" w14:textId="77777777" w:rsidR="002C14D7" w:rsidRPr="000355ED" w:rsidRDefault="006304F9" w:rsidP="007C7E3D">
      <w:pPr>
        <w:pStyle w:val="Bodytext61"/>
        <w:spacing w:after="60" w:line="240" w:lineRule="auto"/>
        <w:ind w:left="630" w:hanging="360"/>
        <w:jc w:val="left"/>
      </w:pPr>
      <w:r w:rsidRPr="000355ED">
        <w:rPr>
          <w:rStyle w:val="Bodytext60"/>
        </w:rPr>
        <w:t xml:space="preserve">(b) </w:t>
      </w:r>
      <w:r w:rsidR="007F6E88" w:rsidRPr="000355ED">
        <w:rPr>
          <w:rStyle w:val="Bodytext60"/>
        </w:rPr>
        <w:t xml:space="preserve">by omitting </w:t>
      </w:r>
      <w:r w:rsidR="007F6E88" w:rsidRPr="007C7E3D">
        <w:t>from</w:t>
      </w:r>
      <w:r w:rsidR="007F6E88" w:rsidRPr="000355ED">
        <w:rPr>
          <w:rStyle w:val="Bodytext60"/>
        </w:rPr>
        <w:t xml:space="preserve"> sub-section (2) the words “Sixty dollars for each ton” and substituting the words “$59.05 for each </w:t>
      </w:r>
      <w:proofErr w:type="spellStart"/>
      <w:r w:rsidR="007F6E88" w:rsidRPr="000355ED">
        <w:rPr>
          <w:rStyle w:val="Bodytext60"/>
        </w:rPr>
        <w:t>tonne</w:t>
      </w:r>
      <w:proofErr w:type="spellEnd"/>
      <w:r w:rsidR="007F6E88" w:rsidRPr="000355ED">
        <w:rPr>
          <w:rStyle w:val="Bodytext60"/>
        </w:rPr>
        <w:t>”.</w:t>
      </w:r>
    </w:p>
    <w:p w14:paraId="7E628FF3" w14:textId="77777777" w:rsidR="00BB1510" w:rsidRPr="007C7E3D" w:rsidRDefault="00BB1510" w:rsidP="007C7E3D">
      <w:pPr>
        <w:pStyle w:val="BodyText21"/>
        <w:spacing w:before="120" w:after="60" w:line="240" w:lineRule="auto"/>
        <w:ind w:firstLine="0"/>
        <w:jc w:val="left"/>
        <w:rPr>
          <w:rStyle w:val="Bodytext95pt1"/>
          <w:b/>
          <w:sz w:val="20"/>
          <w:szCs w:val="22"/>
        </w:rPr>
      </w:pPr>
      <w:r w:rsidRPr="007C7E3D">
        <w:rPr>
          <w:rStyle w:val="Bodytext95pt1"/>
          <w:b/>
          <w:sz w:val="20"/>
          <w:szCs w:val="22"/>
        </w:rPr>
        <w:t>Rate of bounty in respect of ammonium phosphate.</w:t>
      </w:r>
    </w:p>
    <w:p w14:paraId="263947C1" w14:textId="77777777" w:rsidR="002C14D7" w:rsidRPr="000355ED" w:rsidRDefault="00BB1510" w:rsidP="007C7E3D">
      <w:pPr>
        <w:pStyle w:val="Bodytext61"/>
        <w:tabs>
          <w:tab w:val="left" w:pos="630"/>
        </w:tabs>
        <w:spacing w:line="240" w:lineRule="auto"/>
        <w:ind w:firstLine="270"/>
        <w:jc w:val="left"/>
      </w:pPr>
      <w:r w:rsidRPr="007C7E3D">
        <w:rPr>
          <w:rStyle w:val="Bodytext60"/>
          <w:b/>
        </w:rPr>
        <w:t>5.</w:t>
      </w:r>
      <w:r w:rsidR="007C7E3D">
        <w:rPr>
          <w:rStyle w:val="Bodytext60"/>
          <w:b/>
        </w:rPr>
        <w:tab/>
      </w:r>
      <w:r w:rsidR="007F6E88" w:rsidRPr="000355ED">
        <w:rPr>
          <w:rStyle w:val="Bodytext60"/>
        </w:rPr>
        <w:t xml:space="preserve">Section 9 of the Principal Act is amended by omitting the words “Sixty dollars for each ton” and substituting the words “$59.05 for each </w:t>
      </w:r>
      <w:proofErr w:type="spellStart"/>
      <w:r w:rsidR="007F6E88" w:rsidRPr="000355ED">
        <w:rPr>
          <w:rStyle w:val="Bodytext60"/>
        </w:rPr>
        <w:t>tonne</w:t>
      </w:r>
      <w:proofErr w:type="spellEnd"/>
      <w:r w:rsidR="007F6E88" w:rsidRPr="000355ED">
        <w:rPr>
          <w:rStyle w:val="Bodytext60"/>
        </w:rPr>
        <w:t>”.</w:t>
      </w:r>
    </w:p>
    <w:p w14:paraId="7E826EEE" w14:textId="77777777" w:rsidR="00BB1510" w:rsidRPr="007C7E3D" w:rsidRDefault="00BB1510" w:rsidP="007C7E3D">
      <w:pPr>
        <w:pStyle w:val="BodyText21"/>
        <w:spacing w:before="120" w:after="60" w:line="240" w:lineRule="auto"/>
        <w:ind w:firstLine="0"/>
        <w:jc w:val="left"/>
        <w:rPr>
          <w:rStyle w:val="Bodytext95pt1"/>
          <w:b/>
          <w:sz w:val="20"/>
          <w:szCs w:val="22"/>
        </w:rPr>
      </w:pPr>
      <w:r w:rsidRPr="007C7E3D">
        <w:rPr>
          <w:rStyle w:val="Bodytext95pt1"/>
          <w:b/>
          <w:sz w:val="20"/>
          <w:szCs w:val="22"/>
        </w:rPr>
        <w:t>Formal amendments.</w:t>
      </w:r>
    </w:p>
    <w:p w14:paraId="6CE6AD06" w14:textId="77777777" w:rsidR="002C14D7" w:rsidRDefault="00BB1510" w:rsidP="007C7E3D">
      <w:pPr>
        <w:pStyle w:val="Bodytext61"/>
        <w:tabs>
          <w:tab w:val="left" w:pos="630"/>
        </w:tabs>
        <w:spacing w:line="240" w:lineRule="auto"/>
        <w:ind w:firstLine="270"/>
        <w:jc w:val="left"/>
        <w:rPr>
          <w:rStyle w:val="Bodytext60"/>
        </w:rPr>
      </w:pPr>
      <w:r w:rsidRPr="007C7E3D">
        <w:rPr>
          <w:rStyle w:val="Bodytext60"/>
          <w:b/>
        </w:rPr>
        <w:t>6.</w:t>
      </w:r>
      <w:r w:rsidR="007C7E3D">
        <w:rPr>
          <w:rStyle w:val="Bodytext60"/>
        </w:rPr>
        <w:tab/>
      </w:r>
      <w:r w:rsidR="007F6E88" w:rsidRPr="000355ED">
        <w:rPr>
          <w:rStyle w:val="Bodytext60"/>
        </w:rPr>
        <w:t xml:space="preserve">The Principal </w:t>
      </w:r>
      <w:r w:rsidR="007F6E88" w:rsidRPr="007C7E3D">
        <w:t>Act</w:t>
      </w:r>
      <w:r w:rsidR="007F6E88" w:rsidRPr="000355ED">
        <w:rPr>
          <w:rStyle w:val="Bodytext60"/>
        </w:rPr>
        <w:t xml:space="preserve"> is amended as set out in the Schedule.</w:t>
      </w:r>
    </w:p>
    <w:p w14:paraId="17D5DDD2" w14:textId="02AB810F" w:rsidR="00EE16D4" w:rsidRDefault="00EE16D4">
      <w:pPr>
        <w:rPr>
          <w:rStyle w:val="Bodytext60"/>
          <w:rFonts w:eastAsia="Courier New"/>
        </w:rPr>
      </w:pPr>
      <w:r>
        <w:rPr>
          <w:rStyle w:val="Bodytext60"/>
          <w:rFonts w:eastAsia="Courier New"/>
        </w:rPr>
        <w:br w:type="page"/>
      </w:r>
    </w:p>
    <w:p w14:paraId="6888B617" w14:textId="77777777" w:rsidR="007C7E3D" w:rsidRPr="000355ED" w:rsidRDefault="007C7E3D" w:rsidP="007C7E3D">
      <w:pPr>
        <w:pStyle w:val="Bodytext61"/>
        <w:tabs>
          <w:tab w:val="left" w:pos="630"/>
        </w:tabs>
        <w:spacing w:after="120" w:line="240" w:lineRule="auto"/>
        <w:ind w:firstLine="270"/>
        <w:jc w:val="center"/>
      </w:pPr>
      <w:r>
        <w:rPr>
          <w:rStyle w:val="Bodytext60"/>
        </w:rPr>
        <w:lastRenderedPageBreak/>
        <w:t>_________</w:t>
      </w:r>
    </w:p>
    <w:p w14:paraId="5FBE7462" w14:textId="2187AAAE" w:rsidR="002C14D7" w:rsidRPr="000355ED" w:rsidRDefault="007F6E88" w:rsidP="007C7E3D">
      <w:pPr>
        <w:pStyle w:val="Tablecaption0"/>
        <w:tabs>
          <w:tab w:val="left" w:pos="8190"/>
        </w:tabs>
        <w:spacing w:line="240" w:lineRule="auto"/>
        <w:ind w:firstLine="4050"/>
        <w:jc w:val="center"/>
        <w:rPr>
          <w:sz w:val="22"/>
          <w:szCs w:val="22"/>
        </w:rPr>
      </w:pPr>
      <w:r w:rsidRPr="007C7E3D">
        <w:rPr>
          <w:rStyle w:val="Tablecaption11pt"/>
          <w:sz w:val="24"/>
        </w:rPr>
        <w:t>SCHEDULE</w:t>
      </w:r>
      <w:r w:rsidR="007C7E3D">
        <w:rPr>
          <w:rStyle w:val="Tablecaption11pt"/>
        </w:rPr>
        <w:tab/>
      </w:r>
      <w:r w:rsidRPr="000355ED">
        <w:rPr>
          <w:sz w:val="22"/>
          <w:szCs w:val="22"/>
        </w:rPr>
        <w:t>Section 6</w:t>
      </w:r>
    </w:p>
    <w:p w14:paraId="2883C040" w14:textId="77777777" w:rsidR="002C14D7" w:rsidRPr="000355ED" w:rsidRDefault="007F6E88" w:rsidP="007C7E3D">
      <w:pPr>
        <w:pStyle w:val="Tablecaption0"/>
        <w:spacing w:after="120" w:line="240" w:lineRule="auto"/>
        <w:jc w:val="center"/>
        <w:rPr>
          <w:sz w:val="22"/>
          <w:szCs w:val="22"/>
        </w:rPr>
      </w:pPr>
      <w:r w:rsidRPr="000355ED">
        <w:rPr>
          <w:sz w:val="22"/>
          <w:szCs w:val="22"/>
        </w:rPr>
        <w:t>FORMAL AMENDMENTS</w:t>
      </w:r>
    </w:p>
    <w:tbl>
      <w:tblPr>
        <w:tblOverlap w:val="never"/>
        <w:tblW w:w="0" w:type="auto"/>
        <w:tblLayout w:type="fixed"/>
        <w:tblCellMar>
          <w:left w:w="10" w:type="dxa"/>
          <w:right w:w="10" w:type="dxa"/>
        </w:tblCellMar>
        <w:tblLook w:val="0000" w:firstRow="0" w:lastRow="0" w:firstColumn="0" w:lastColumn="0" w:noHBand="0" w:noVBand="0"/>
      </w:tblPr>
      <w:tblGrid>
        <w:gridCol w:w="2894"/>
        <w:gridCol w:w="6386"/>
        <w:gridCol w:w="94"/>
      </w:tblGrid>
      <w:tr w:rsidR="002C14D7" w:rsidRPr="000355ED" w14:paraId="7C3589B3" w14:textId="77777777" w:rsidTr="0032788C">
        <w:trPr>
          <w:trHeight w:val="350"/>
        </w:trPr>
        <w:tc>
          <w:tcPr>
            <w:tcW w:w="2890" w:type="dxa"/>
            <w:tcBorders>
              <w:top w:val="single" w:sz="4" w:space="0" w:color="auto"/>
            </w:tcBorders>
            <w:vAlign w:val="center"/>
          </w:tcPr>
          <w:p w14:paraId="61731943" w14:textId="77777777" w:rsidR="002C14D7" w:rsidRPr="000355ED" w:rsidRDefault="007F6E88" w:rsidP="0032788C">
            <w:pPr>
              <w:pStyle w:val="Bodytext61"/>
              <w:spacing w:line="240" w:lineRule="auto"/>
              <w:ind w:firstLine="0"/>
              <w:jc w:val="left"/>
            </w:pPr>
            <w:r w:rsidRPr="000355ED">
              <w:rPr>
                <w:rStyle w:val="Bodytext675pt"/>
                <w:sz w:val="22"/>
                <w:szCs w:val="22"/>
              </w:rPr>
              <w:t>Provision</w:t>
            </w:r>
          </w:p>
        </w:tc>
        <w:tc>
          <w:tcPr>
            <w:tcW w:w="6480" w:type="dxa"/>
            <w:gridSpan w:val="2"/>
            <w:tcBorders>
              <w:top w:val="single" w:sz="4" w:space="0" w:color="auto"/>
            </w:tcBorders>
            <w:vAlign w:val="center"/>
          </w:tcPr>
          <w:p w14:paraId="179CFA28" w14:textId="77777777" w:rsidR="002C14D7" w:rsidRPr="000355ED" w:rsidRDefault="007F6E88" w:rsidP="0032788C">
            <w:pPr>
              <w:pStyle w:val="Bodytext61"/>
              <w:spacing w:line="240" w:lineRule="auto"/>
              <w:ind w:firstLine="0"/>
              <w:jc w:val="left"/>
            </w:pPr>
            <w:r w:rsidRPr="000355ED">
              <w:rPr>
                <w:rStyle w:val="Bodytext675pt"/>
                <w:sz w:val="22"/>
                <w:szCs w:val="22"/>
              </w:rPr>
              <w:t>Amendment</w:t>
            </w:r>
          </w:p>
        </w:tc>
      </w:tr>
      <w:tr w:rsidR="002C14D7" w:rsidRPr="000355ED" w14:paraId="72ADEECA" w14:textId="77777777" w:rsidTr="0032788C">
        <w:trPr>
          <w:trHeight w:val="466"/>
        </w:trPr>
        <w:tc>
          <w:tcPr>
            <w:tcW w:w="2890" w:type="dxa"/>
            <w:tcBorders>
              <w:top w:val="single" w:sz="4" w:space="0" w:color="auto"/>
            </w:tcBorders>
          </w:tcPr>
          <w:p w14:paraId="2CF08892" w14:textId="77777777" w:rsidR="002C14D7" w:rsidRPr="000355ED" w:rsidRDefault="007F6E88" w:rsidP="007C7E3D">
            <w:pPr>
              <w:pStyle w:val="Bodytext61"/>
              <w:spacing w:line="240" w:lineRule="auto"/>
              <w:ind w:left="270" w:hanging="270"/>
              <w:jc w:val="left"/>
            </w:pPr>
            <w:r w:rsidRPr="000355ED">
              <w:rPr>
                <w:rStyle w:val="Bodytext675pt"/>
                <w:sz w:val="22"/>
                <w:szCs w:val="22"/>
              </w:rPr>
              <w:t>Section 3 (definition of “authorized person”)</w:t>
            </w:r>
          </w:p>
        </w:tc>
        <w:tc>
          <w:tcPr>
            <w:tcW w:w="6480" w:type="dxa"/>
            <w:gridSpan w:val="2"/>
            <w:tcBorders>
              <w:top w:val="single" w:sz="4" w:space="0" w:color="auto"/>
            </w:tcBorders>
          </w:tcPr>
          <w:p w14:paraId="22B41C49" w14:textId="77777777" w:rsidR="002C14D7" w:rsidRPr="000355ED" w:rsidRDefault="007F6E88" w:rsidP="00F641B5">
            <w:pPr>
              <w:pStyle w:val="Bodytext61"/>
              <w:spacing w:line="240" w:lineRule="auto"/>
              <w:ind w:firstLine="0"/>
              <w:jc w:val="left"/>
            </w:pPr>
            <w:r w:rsidRPr="000355ED">
              <w:rPr>
                <w:rStyle w:val="Bodytext675pt"/>
                <w:sz w:val="22"/>
                <w:szCs w:val="22"/>
              </w:rPr>
              <w:t>Omit “section fifteen of this Act”, substitute “section 15”.</w:t>
            </w:r>
          </w:p>
        </w:tc>
      </w:tr>
      <w:tr w:rsidR="002C14D7" w:rsidRPr="000355ED" w14:paraId="0CC626CB" w14:textId="77777777" w:rsidTr="0032788C">
        <w:trPr>
          <w:trHeight w:val="370"/>
        </w:trPr>
        <w:tc>
          <w:tcPr>
            <w:tcW w:w="2890" w:type="dxa"/>
          </w:tcPr>
          <w:p w14:paraId="15AEA629" w14:textId="77777777" w:rsidR="002C14D7" w:rsidRPr="000355ED" w:rsidRDefault="007F6E88" w:rsidP="007C7E3D">
            <w:pPr>
              <w:pStyle w:val="Bodytext61"/>
              <w:spacing w:line="240" w:lineRule="auto"/>
              <w:ind w:left="270" w:hanging="270"/>
              <w:jc w:val="left"/>
            </w:pPr>
            <w:r w:rsidRPr="007C7E3D">
              <w:rPr>
                <w:rStyle w:val="Bodytext675pt1"/>
                <w:spacing w:val="0"/>
                <w:sz w:val="22"/>
                <w:szCs w:val="22"/>
              </w:rPr>
              <w:t>Section</w:t>
            </w:r>
            <w:r w:rsidRPr="000355ED">
              <w:rPr>
                <w:rStyle w:val="Bodytext675pt"/>
                <w:sz w:val="22"/>
                <w:szCs w:val="22"/>
              </w:rPr>
              <w:t xml:space="preserve"> 3 (definition of “bounty”)</w:t>
            </w:r>
          </w:p>
        </w:tc>
        <w:tc>
          <w:tcPr>
            <w:tcW w:w="6480" w:type="dxa"/>
            <w:gridSpan w:val="2"/>
          </w:tcPr>
          <w:p w14:paraId="68292039" w14:textId="77777777" w:rsidR="002C14D7" w:rsidRPr="000355ED" w:rsidRDefault="007F6E88" w:rsidP="00F641B5">
            <w:pPr>
              <w:pStyle w:val="Bodytext61"/>
              <w:spacing w:line="240" w:lineRule="auto"/>
              <w:ind w:firstLine="0"/>
              <w:jc w:val="left"/>
            </w:pPr>
            <w:r w:rsidRPr="000355ED">
              <w:rPr>
                <w:rStyle w:val="Bodytext675pt"/>
                <w:sz w:val="22"/>
                <w:szCs w:val="22"/>
              </w:rPr>
              <w:t>Omit “section twelve of this Act”, substitute “section 12”.</w:t>
            </w:r>
          </w:p>
        </w:tc>
      </w:tr>
      <w:tr w:rsidR="002C14D7" w:rsidRPr="000355ED" w14:paraId="7C37DEFF" w14:textId="77777777" w:rsidTr="0032788C">
        <w:trPr>
          <w:trHeight w:val="253"/>
        </w:trPr>
        <w:tc>
          <w:tcPr>
            <w:tcW w:w="2890" w:type="dxa"/>
            <w:vMerge w:val="restart"/>
          </w:tcPr>
          <w:p w14:paraId="28CAE56E" w14:textId="77777777" w:rsidR="002C14D7" w:rsidRPr="000355ED" w:rsidRDefault="007F6E88" w:rsidP="007C7E3D">
            <w:pPr>
              <w:pStyle w:val="Bodytext61"/>
              <w:spacing w:line="240" w:lineRule="auto"/>
              <w:ind w:left="270" w:hanging="270"/>
              <w:jc w:val="left"/>
            </w:pPr>
            <w:r w:rsidRPr="007C7E3D">
              <w:rPr>
                <w:rStyle w:val="Bodytext675pt1"/>
                <w:spacing w:val="0"/>
                <w:sz w:val="22"/>
                <w:szCs w:val="22"/>
              </w:rPr>
              <w:t>Section</w:t>
            </w:r>
            <w:r w:rsidRPr="000355ED">
              <w:rPr>
                <w:rStyle w:val="Bodytext675pt"/>
                <w:sz w:val="22"/>
                <w:szCs w:val="22"/>
              </w:rPr>
              <w:t xml:space="preserve"> 3 (definition of “registered premises”)</w:t>
            </w:r>
          </w:p>
        </w:tc>
        <w:tc>
          <w:tcPr>
            <w:tcW w:w="6480" w:type="dxa"/>
            <w:gridSpan w:val="2"/>
            <w:vMerge w:val="restart"/>
          </w:tcPr>
          <w:p w14:paraId="0AD082D5" w14:textId="77777777" w:rsidR="002C14D7" w:rsidRPr="000355ED" w:rsidRDefault="007F6E88" w:rsidP="00F641B5">
            <w:pPr>
              <w:pStyle w:val="Bodytext61"/>
              <w:spacing w:line="240" w:lineRule="auto"/>
              <w:ind w:firstLine="0"/>
              <w:jc w:val="left"/>
            </w:pPr>
            <w:r w:rsidRPr="000355ED">
              <w:rPr>
                <w:rStyle w:val="Bodytext675pt"/>
                <w:sz w:val="22"/>
                <w:szCs w:val="22"/>
              </w:rPr>
              <w:t>Omit “section thirteen of this Act”, substitute “section 13”.</w:t>
            </w:r>
          </w:p>
        </w:tc>
      </w:tr>
      <w:tr w:rsidR="002C14D7" w:rsidRPr="000355ED" w14:paraId="73A24080" w14:textId="77777777" w:rsidTr="0032788C">
        <w:trPr>
          <w:trHeight w:val="276"/>
        </w:trPr>
        <w:tc>
          <w:tcPr>
            <w:tcW w:w="2890" w:type="dxa"/>
            <w:vMerge/>
          </w:tcPr>
          <w:p w14:paraId="0672D0A1" w14:textId="77777777" w:rsidR="002C14D7" w:rsidRPr="000355ED" w:rsidRDefault="002C14D7" w:rsidP="00F641B5">
            <w:pPr>
              <w:rPr>
                <w:rFonts w:ascii="Times New Roman" w:hAnsi="Times New Roman" w:cs="Times New Roman"/>
                <w:sz w:val="22"/>
                <w:szCs w:val="22"/>
              </w:rPr>
            </w:pPr>
          </w:p>
        </w:tc>
        <w:tc>
          <w:tcPr>
            <w:tcW w:w="6480" w:type="dxa"/>
            <w:gridSpan w:val="2"/>
            <w:vMerge/>
          </w:tcPr>
          <w:p w14:paraId="7DBA6ADB" w14:textId="77777777" w:rsidR="002C14D7" w:rsidRPr="000355ED" w:rsidRDefault="002C14D7" w:rsidP="00F641B5">
            <w:pPr>
              <w:rPr>
                <w:rFonts w:ascii="Times New Roman" w:hAnsi="Times New Roman" w:cs="Times New Roman"/>
                <w:sz w:val="22"/>
                <w:szCs w:val="22"/>
              </w:rPr>
            </w:pPr>
          </w:p>
        </w:tc>
      </w:tr>
      <w:tr w:rsidR="002C14D7" w:rsidRPr="000355ED" w14:paraId="247565F4" w14:textId="77777777" w:rsidTr="0032788C">
        <w:trPr>
          <w:trHeight w:val="253"/>
        </w:trPr>
        <w:tc>
          <w:tcPr>
            <w:tcW w:w="2890" w:type="dxa"/>
            <w:vMerge w:val="restart"/>
          </w:tcPr>
          <w:p w14:paraId="329172E6" w14:textId="0BC466B5" w:rsidR="002C14D7" w:rsidRPr="000355ED" w:rsidRDefault="00EE16D4" w:rsidP="007C7E3D">
            <w:pPr>
              <w:pStyle w:val="Bodytext61"/>
              <w:tabs>
                <w:tab w:val="left" w:leader="dot" w:pos="2684"/>
              </w:tabs>
              <w:spacing w:line="240" w:lineRule="auto"/>
              <w:ind w:firstLine="0"/>
              <w:jc w:val="left"/>
            </w:pPr>
            <w:r>
              <w:rPr>
                <w:rStyle w:val="Bodytext675pt"/>
                <w:sz w:val="22"/>
                <w:szCs w:val="22"/>
              </w:rPr>
              <w:t>Paragraph 4</w:t>
            </w:r>
            <w:r w:rsidR="007F6E88" w:rsidRPr="000355ED">
              <w:rPr>
                <w:rStyle w:val="Bodytext675pt"/>
                <w:sz w:val="22"/>
                <w:szCs w:val="22"/>
              </w:rPr>
              <w:t>(a)</w:t>
            </w:r>
            <w:r w:rsidR="007C7E3D">
              <w:rPr>
                <w:rStyle w:val="Bodytext675pt"/>
                <w:sz w:val="22"/>
                <w:szCs w:val="22"/>
              </w:rPr>
              <w:tab/>
            </w:r>
          </w:p>
        </w:tc>
        <w:tc>
          <w:tcPr>
            <w:tcW w:w="6480" w:type="dxa"/>
            <w:gridSpan w:val="2"/>
            <w:vMerge w:val="restart"/>
          </w:tcPr>
          <w:p w14:paraId="10F1B9E6" w14:textId="00CFFE02" w:rsidR="002C14D7" w:rsidRPr="000355ED" w:rsidRDefault="007F6E88" w:rsidP="00EE16D4">
            <w:pPr>
              <w:pStyle w:val="Bodytext61"/>
              <w:spacing w:line="240" w:lineRule="auto"/>
              <w:ind w:left="350" w:hanging="350"/>
              <w:jc w:val="left"/>
            </w:pPr>
            <w:r w:rsidRPr="000355ED">
              <w:rPr>
                <w:rStyle w:val="Bodytext675pt"/>
                <w:sz w:val="22"/>
                <w:szCs w:val="22"/>
              </w:rPr>
              <w:t xml:space="preserve">(a) Omit “the fourteenth day of August, One thousand nine hundred and sixty-three,”, substitute </w:t>
            </w:r>
            <w:r w:rsidR="00EE16D4">
              <w:rPr>
                <w:rStyle w:val="Bodytext675pt"/>
                <w:sz w:val="22"/>
                <w:szCs w:val="22"/>
              </w:rPr>
              <w:t>“</w:t>
            </w:r>
            <w:r w:rsidRPr="000355ED">
              <w:rPr>
                <w:rStyle w:val="Bodytext675pt"/>
                <w:sz w:val="22"/>
                <w:szCs w:val="22"/>
              </w:rPr>
              <w:t>14 August 1963”.</w:t>
            </w:r>
          </w:p>
        </w:tc>
      </w:tr>
      <w:tr w:rsidR="002C14D7" w:rsidRPr="000355ED" w14:paraId="4AA31BC6" w14:textId="77777777" w:rsidTr="0032788C">
        <w:trPr>
          <w:trHeight w:val="276"/>
        </w:trPr>
        <w:tc>
          <w:tcPr>
            <w:tcW w:w="2890" w:type="dxa"/>
            <w:vMerge/>
          </w:tcPr>
          <w:p w14:paraId="46D4FA5C" w14:textId="77777777" w:rsidR="002C14D7" w:rsidRPr="000355ED" w:rsidRDefault="002C14D7" w:rsidP="00F641B5">
            <w:pPr>
              <w:rPr>
                <w:rFonts w:ascii="Times New Roman" w:hAnsi="Times New Roman" w:cs="Times New Roman"/>
                <w:sz w:val="22"/>
                <w:szCs w:val="22"/>
              </w:rPr>
            </w:pPr>
          </w:p>
        </w:tc>
        <w:tc>
          <w:tcPr>
            <w:tcW w:w="6480" w:type="dxa"/>
            <w:gridSpan w:val="2"/>
            <w:vMerge/>
          </w:tcPr>
          <w:p w14:paraId="73958884" w14:textId="77777777" w:rsidR="002C14D7" w:rsidRPr="000355ED" w:rsidRDefault="002C14D7" w:rsidP="00F641B5">
            <w:pPr>
              <w:rPr>
                <w:rFonts w:ascii="Times New Roman" w:hAnsi="Times New Roman" w:cs="Times New Roman"/>
                <w:sz w:val="22"/>
                <w:szCs w:val="22"/>
              </w:rPr>
            </w:pPr>
          </w:p>
        </w:tc>
      </w:tr>
      <w:tr w:rsidR="002C14D7" w:rsidRPr="000355ED" w14:paraId="47259F45" w14:textId="77777777" w:rsidTr="0032788C">
        <w:trPr>
          <w:trHeight w:val="370"/>
        </w:trPr>
        <w:tc>
          <w:tcPr>
            <w:tcW w:w="2890" w:type="dxa"/>
          </w:tcPr>
          <w:p w14:paraId="6E6D6374" w14:textId="77777777" w:rsidR="002C14D7" w:rsidRPr="000355ED" w:rsidRDefault="002C14D7" w:rsidP="00F641B5">
            <w:pPr>
              <w:rPr>
                <w:rFonts w:ascii="Times New Roman" w:hAnsi="Times New Roman" w:cs="Times New Roman"/>
                <w:sz w:val="22"/>
                <w:szCs w:val="22"/>
              </w:rPr>
            </w:pPr>
          </w:p>
        </w:tc>
        <w:tc>
          <w:tcPr>
            <w:tcW w:w="6480" w:type="dxa"/>
            <w:gridSpan w:val="2"/>
          </w:tcPr>
          <w:p w14:paraId="758D41E3" w14:textId="77777777" w:rsidR="002C14D7" w:rsidRPr="000355ED" w:rsidRDefault="007F6E88" w:rsidP="007C7E3D">
            <w:pPr>
              <w:pStyle w:val="Bodytext61"/>
              <w:spacing w:line="240" w:lineRule="auto"/>
              <w:ind w:left="350" w:hanging="350"/>
              <w:jc w:val="left"/>
            </w:pPr>
            <w:r w:rsidRPr="000355ED">
              <w:rPr>
                <w:rStyle w:val="Bodytext675pt"/>
                <w:sz w:val="22"/>
                <w:szCs w:val="22"/>
              </w:rPr>
              <w:t xml:space="preserve">(b) </w:t>
            </w:r>
            <w:r w:rsidRPr="007C7E3D">
              <w:rPr>
                <w:rStyle w:val="Bodytext675pt1"/>
                <w:spacing w:val="0"/>
                <w:sz w:val="22"/>
                <w:szCs w:val="22"/>
              </w:rPr>
              <w:t>Omit</w:t>
            </w:r>
            <w:r w:rsidRPr="000355ED">
              <w:rPr>
                <w:rStyle w:val="Bodytext675pt"/>
                <w:sz w:val="22"/>
                <w:szCs w:val="22"/>
              </w:rPr>
              <w:t xml:space="preserve"> “the thirty-first day of December, One thousand nine hundred and seventy-four”, substitute “31 December 1974”.</w:t>
            </w:r>
          </w:p>
        </w:tc>
      </w:tr>
      <w:tr w:rsidR="002C14D7" w:rsidRPr="000355ED" w14:paraId="68E45F57" w14:textId="77777777" w:rsidTr="0032788C">
        <w:trPr>
          <w:trHeight w:val="197"/>
        </w:trPr>
        <w:tc>
          <w:tcPr>
            <w:tcW w:w="2890" w:type="dxa"/>
          </w:tcPr>
          <w:p w14:paraId="095BF303" w14:textId="08A4D924" w:rsidR="002C14D7" w:rsidRPr="000355ED" w:rsidRDefault="007C7E3D" w:rsidP="00EE16D4">
            <w:pPr>
              <w:pStyle w:val="Bodytext61"/>
              <w:tabs>
                <w:tab w:val="left" w:leader="dot" w:pos="2684"/>
              </w:tabs>
              <w:spacing w:line="240" w:lineRule="auto"/>
              <w:ind w:firstLine="0"/>
              <w:jc w:val="left"/>
            </w:pPr>
            <w:r>
              <w:rPr>
                <w:rStyle w:val="Bodytext675pt"/>
                <w:sz w:val="22"/>
                <w:szCs w:val="22"/>
              </w:rPr>
              <w:t>Sub-section 13(3)</w:t>
            </w:r>
            <w:r>
              <w:rPr>
                <w:rStyle w:val="Bodytext675pt"/>
                <w:sz w:val="22"/>
                <w:szCs w:val="22"/>
              </w:rPr>
              <w:tab/>
            </w:r>
          </w:p>
        </w:tc>
        <w:tc>
          <w:tcPr>
            <w:tcW w:w="6480" w:type="dxa"/>
            <w:gridSpan w:val="2"/>
          </w:tcPr>
          <w:p w14:paraId="27865E82" w14:textId="77777777" w:rsidR="002C14D7" w:rsidRPr="000355ED" w:rsidRDefault="007F6E88" w:rsidP="00F641B5">
            <w:pPr>
              <w:pStyle w:val="Bodytext61"/>
              <w:spacing w:line="240" w:lineRule="auto"/>
              <w:ind w:firstLine="0"/>
              <w:jc w:val="left"/>
            </w:pPr>
            <w:r w:rsidRPr="000355ED">
              <w:rPr>
                <w:rStyle w:val="Bodytext675pt"/>
                <w:sz w:val="22"/>
                <w:szCs w:val="22"/>
              </w:rPr>
              <w:t>Omit “of this section”.</w:t>
            </w:r>
          </w:p>
        </w:tc>
      </w:tr>
      <w:tr w:rsidR="002C14D7" w:rsidRPr="000355ED" w14:paraId="597FFFE8" w14:textId="77777777" w:rsidTr="0032788C">
        <w:trPr>
          <w:trHeight w:val="216"/>
        </w:trPr>
        <w:tc>
          <w:tcPr>
            <w:tcW w:w="2890" w:type="dxa"/>
          </w:tcPr>
          <w:p w14:paraId="1C2A7CB3" w14:textId="795D92BA" w:rsidR="002C14D7" w:rsidRPr="000355ED" w:rsidRDefault="007C7E3D" w:rsidP="00EE16D4">
            <w:pPr>
              <w:pStyle w:val="Bodytext61"/>
              <w:tabs>
                <w:tab w:val="left" w:leader="dot" w:pos="2684"/>
              </w:tabs>
              <w:spacing w:line="240" w:lineRule="auto"/>
              <w:ind w:firstLine="0"/>
              <w:jc w:val="left"/>
            </w:pPr>
            <w:r>
              <w:rPr>
                <w:rStyle w:val="Bodytext675pt"/>
                <w:sz w:val="22"/>
                <w:szCs w:val="22"/>
              </w:rPr>
              <w:t>Paragraph 13(7)(c)</w:t>
            </w:r>
            <w:r>
              <w:rPr>
                <w:rStyle w:val="Bodytext675pt"/>
                <w:sz w:val="22"/>
                <w:szCs w:val="22"/>
              </w:rPr>
              <w:tab/>
            </w:r>
          </w:p>
        </w:tc>
        <w:tc>
          <w:tcPr>
            <w:tcW w:w="6480" w:type="dxa"/>
            <w:gridSpan w:val="2"/>
          </w:tcPr>
          <w:p w14:paraId="24FEAEAE" w14:textId="47233C2C" w:rsidR="002C14D7" w:rsidRPr="000355ED" w:rsidRDefault="00EE16D4" w:rsidP="00EE16D4">
            <w:pPr>
              <w:pStyle w:val="Bodytext61"/>
              <w:spacing w:line="240" w:lineRule="auto"/>
              <w:ind w:firstLine="0"/>
              <w:jc w:val="left"/>
            </w:pPr>
            <w:r>
              <w:rPr>
                <w:rStyle w:val="Bodytext675pt"/>
                <w:sz w:val="22"/>
                <w:szCs w:val="22"/>
              </w:rPr>
              <w:t>Omit “of this section”.</w:t>
            </w:r>
          </w:p>
        </w:tc>
      </w:tr>
      <w:tr w:rsidR="002C14D7" w:rsidRPr="000355ED" w14:paraId="25F823C2" w14:textId="77777777" w:rsidTr="0032788C">
        <w:trPr>
          <w:trHeight w:val="187"/>
        </w:trPr>
        <w:tc>
          <w:tcPr>
            <w:tcW w:w="2890" w:type="dxa"/>
          </w:tcPr>
          <w:p w14:paraId="1E89580D" w14:textId="05E24703" w:rsidR="002C14D7" w:rsidRPr="000355ED" w:rsidRDefault="007C7E3D" w:rsidP="00EE16D4">
            <w:pPr>
              <w:pStyle w:val="Bodytext61"/>
              <w:tabs>
                <w:tab w:val="left" w:leader="dot" w:pos="2684"/>
              </w:tabs>
              <w:spacing w:line="240" w:lineRule="auto"/>
              <w:ind w:firstLine="0"/>
              <w:jc w:val="left"/>
            </w:pPr>
            <w:r>
              <w:rPr>
                <w:rStyle w:val="Bodytext675pt"/>
                <w:sz w:val="22"/>
                <w:szCs w:val="22"/>
              </w:rPr>
              <w:t>Sub-section 13(8)</w:t>
            </w:r>
            <w:r>
              <w:rPr>
                <w:rStyle w:val="Bodytext675pt"/>
                <w:sz w:val="22"/>
                <w:szCs w:val="22"/>
              </w:rPr>
              <w:tab/>
            </w:r>
          </w:p>
        </w:tc>
        <w:tc>
          <w:tcPr>
            <w:tcW w:w="6480" w:type="dxa"/>
            <w:gridSpan w:val="2"/>
          </w:tcPr>
          <w:p w14:paraId="1603AC5D" w14:textId="77777777" w:rsidR="002C14D7" w:rsidRPr="000355ED" w:rsidRDefault="007F6E88" w:rsidP="00E64004">
            <w:pPr>
              <w:pStyle w:val="Bodytext61"/>
              <w:spacing w:line="240" w:lineRule="auto"/>
              <w:ind w:firstLine="0"/>
              <w:jc w:val="left"/>
            </w:pPr>
            <w:r w:rsidRPr="000355ED">
              <w:rPr>
                <w:rStyle w:val="Bodytext675pt"/>
                <w:sz w:val="22"/>
                <w:szCs w:val="22"/>
              </w:rPr>
              <w:t>Omit “section twenty-nine”, substitute “section 29”.</w:t>
            </w:r>
          </w:p>
        </w:tc>
      </w:tr>
      <w:tr w:rsidR="002C14D7" w:rsidRPr="000355ED" w14:paraId="1A8DFC14" w14:textId="77777777" w:rsidTr="0032788C">
        <w:trPr>
          <w:trHeight w:val="197"/>
        </w:trPr>
        <w:tc>
          <w:tcPr>
            <w:tcW w:w="2890" w:type="dxa"/>
          </w:tcPr>
          <w:p w14:paraId="3B809741" w14:textId="54CAE3DA" w:rsidR="002C14D7" w:rsidRPr="000355ED" w:rsidRDefault="007C7E3D" w:rsidP="00EE16D4">
            <w:pPr>
              <w:pStyle w:val="Bodytext61"/>
              <w:tabs>
                <w:tab w:val="left" w:leader="dot" w:pos="2684"/>
              </w:tabs>
              <w:spacing w:line="240" w:lineRule="auto"/>
              <w:ind w:firstLine="0"/>
              <w:jc w:val="left"/>
            </w:pPr>
            <w:r>
              <w:rPr>
                <w:rStyle w:val="Bodytext675pt"/>
                <w:sz w:val="22"/>
                <w:szCs w:val="22"/>
              </w:rPr>
              <w:t>Sub-section 16(2)</w:t>
            </w:r>
            <w:r>
              <w:rPr>
                <w:rStyle w:val="Bodytext675pt"/>
                <w:sz w:val="22"/>
                <w:szCs w:val="22"/>
              </w:rPr>
              <w:tab/>
            </w:r>
          </w:p>
        </w:tc>
        <w:tc>
          <w:tcPr>
            <w:tcW w:w="6480" w:type="dxa"/>
            <w:gridSpan w:val="2"/>
          </w:tcPr>
          <w:p w14:paraId="4F3760EB" w14:textId="77777777" w:rsidR="002C14D7" w:rsidRPr="000355ED" w:rsidRDefault="007F6E88" w:rsidP="00F641B5">
            <w:pPr>
              <w:pStyle w:val="Bodytext61"/>
              <w:spacing w:line="240" w:lineRule="auto"/>
              <w:ind w:firstLine="0"/>
              <w:jc w:val="left"/>
            </w:pPr>
            <w:r w:rsidRPr="000355ED">
              <w:rPr>
                <w:rStyle w:val="Bodytext675pt"/>
                <w:sz w:val="22"/>
                <w:szCs w:val="22"/>
              </w:rPr>
              <w:t>Omit “One hundred dollars”, substitute “$100”.</w:t>
            </w:r>
          </w:p>
        </w:tc>
      </w:tr>
      <w:tr w:rsidR="002C14D7" w:rsidRPr="000355ED" w14:paraId="75208F0E" w14:textId="77777777" w:rsidTr="0032788C">
        <w:trPr>
          <w:trHeight w:val="226"/>
        </w:trPr>
        <w:tc>
          <w:tcPr>
            <w:tcW w:w="2890" w:type="dxa"/>
          </w:tcPr>
          <w:p w14:paraId="540C4389" w14:textId="06941105" w:rsidR="002C14D7" w:rsidRPr="000355ED" w:rsidRDefault="007C7E3D" w:rsidP="00EE16D4">
            <w:pPr>
              <w:pStyle w:val="Bodytext61"/>
              <w:tabs>
                <w:tab w:val="left" w:leader="dot" w:pos="2684"/>
              </w:tabs>
              <w:spacing w:line="240" w:lineRule="auto"/>
              <w:ind w:firstLine="0"/>
              <w:jc w:val="left"/>
            </w:pPr>
            <w:r>
              <w:rPr>
                <w:rStyle w:val="Bodytext675pt"/>
                <w:sz w:val="22"/>
                <w:szCs w:val="22"/>
              </w:rPr>
              <w:t>Sub-section 17(3)</w:t>
            </w:r>
            <w:r>
              <w:rPr>
                <w:rStyle w:val="Bodytext675pt"/>
                <w:sz w:val="22"/>
                <w:szCs w:val="22"/>
              </w:rPr>
              <w:tab/>
            </w:r>
          </w:p>
        </w:tc>
        <w:tc>
          <w:tcPr>
            <w:tcW w:w="6480" w:type="dxa"/>
            <w:gridSpan w:val="2"/>
          </w:tcPr>
          <w:p w14:paraId="7587C86A" w14:textId="77777777" w:rsidR="002C14D7" w:rsidRPr="000355ED" w:rsidRDefault="007F6E88" w:rsidP="00F641B5">
            <w:pPr>
              <w:pStyle w:val="Bodytext61"/>
              <w:spacing w:line="240" w:lineRule="auto"/>
              <w:ind w:firstLine="0"/>
              <w:jc w:val="left"/>
            </w:pPr>
            <w:r w:rsidRPr="000355ED">
              <w:rPr>
                <w:rStyle w:val="Bodytext675pt"/>
                <w:sz w:val="22"/>
                <w:szCs w:val="22"/>
              </w:rPr>
              <w:t>Omit “, of section twenty of this Act”, substitute “of section 20”.</w:t>
            </w:r>
          </w:p>
        </w:tc>
      </w:tr>
      <w:tr w:rsidR="002C14D7" w:rsidRPr="000355ED" w14:paraId="63685124" w14:textId="77777777" w:rsidTr="00EE16D4">
        <w:trPr>
          <w:gridAfter w:val="1"/>
          <w:wAfter w:w="90" w:type="dxa"/>
          <w:trHeight w:val="269"/>
        </w:trPr>
        <w:tc>
          <w:tcPr>
            <w:tcW w:w="2894" w:type="dxa"/>
          </w:tcPr>
          <w:p w14:paraId="5A496774" w14:textId="3FDBD4FE" w:rsidR="002C14D7" w:rsidRPr="000355ED" w:rsidRDefault="0032788C" w:rsidP="00EE16D4">
            <w:pPr>
              <w:pStyle w:val="Bodytext61"/>
              <w:tabs>
                <w:tab w:val="left" w:leader="dot" w:pos="4182"/>
              </w:tabs>
              <w:spacing w:line="240" w:lineRule="auto"/>
              <w:ind w:firstLine="0"/>
              <w:jc w:val="left"/>
            </w:pPr>
            <w:r>
              <w:rPr>
                <w:rStyle w:val="Bodytext675pt"/>
                <w:sz w:val="22"/>
                <w:szCs w:val="22"/>
              </w:rPr>
              <w:t>Sub-section 20(1)</w:t>
            </w:r>
            <w:r>
              <w:rPr>
                <w:rStyle w:val="Bodytext675pt"/>
                <w:sz w:val="22"/>
                <w:szCs w:val="22"/>
              </w:rPr>
              <w:tab/>
            </w:r>
          </w:p>
        </w:tc>
        <w:tc>
          <w:tcPr>
            <w:tcW w:w="6386" w:type="dxa"/>
          </w:tcPr>
          <w:p w14:paraId="4D12C04E" w14:textId="77777777" w:rsidR="002C14D7" w:rsidRPr="000355ED" w:rsidRDefault="007F6E88" w:rsidP="00F641B5">
            <w:pPr>
              <w:pStyle w:val="Bodytext61"/>
              <w:spacing w:line="240" w:lineRule="auto"/>
              <w:ind w:firstLine="0"/>
              <w:jc w:val="left"/>
            </w:pPr>
            <w:r w:rsidRPr="000355ED">
              <w:rPr>
                <w:rStyle w:val="Bodytext675pt"/>
                <w:sz w:val="22"/>
                <w:szCs w:val="22"/>
              </w:rPr>
              <w:t>Omit “One hundred dollars”, substitute “$100”.</w:t>
            </w:r>
          </w:p>
        </w:tc>
      </w:tr>
      <w:tr w:rsidR="002C14D7" w:rsidRPr="000355ED" w14:paraId="32F9F956" w14:textId="77777777" w:rsidTr="00EE16D4">
        <w:trPr>
          <w:gridAfter w:val="1"/>
          <w:wAfter w:w="90" w:type="dxa"/>
          <w:trHeight w:val="158"/>
        </w:trPr>
        <w:tc>
          <w:tcPr>
            <w:tcW w:w="2894" w:type="dxa"/>
          </w:tcPr>
          <w:p w14:paraId="33FDC5FE" w14:textId="6F86E040" w:rsidR="002C14D7" w:rsidRPr="000355ED" w:rsidRDefault="0032788C" w:rsidP="00EE16D4">
            <w:pPr>
              <w:pStyle w:val="Bodytext61"/>
              <w:tabs>
                <w:tab w:val="left" w:leader="dot" w:pos="4182"/>
              </w:tabs>
              <w:spacing w:line="240" w:lineRule="auto"/>
              <w:ind w:firstLine="0"/>
              <w:jc w:val="left"/>
            </w:pPr>
            <w:r>
              <w:rPr>
                <w:rStyle w:val="Bodytext675pt"/>
                <w:sz w:val="22"/>
                <w:szCs w:val="22"/>
              </w:rPr>
              <w:t>Sub-section 20(2)</w:t>
            </w:r>
            <w:r>
              <w:rPr>
                <w:rStyle w:val="Bodytext675pt"/>
                <w:sz w:val="22"/>
                <w:szCs w:val="22"/>
              </w:rPr>
              <w:tab/>
            </w:r>
          </w:p>
        </w:tc>
        <w:tc>
          <w:tcPr>
            <w:tcW w:w="6386" w:type="dxa"/>
          </w:tcPr>
          <w:p w14:paraId="29A17B0A" w14:textId="1A3FA85E" w:rsidR="002C14D7" w:rsidRPr="000355ED" w:rsidRDefault="007F6E88" w:rsidP="00EE16D4">
            <w:pPr>
              <w:pStyle w:val="Bodytext61"/>
              <w:spacing w:line="240" w:lineRule="auto"/>
              <w:ind w:firstLine="0"/>
              <w:jc w:val="left"/>
            </w:pPr>
            <w:r w:rsidRPr="000355ED">
              <w:rPr>
                <w:rStyle w:val="Bodytext675pt"/>
                <w:sz w:val="22"/>
                <w:szCs w:val="22"/>
              </w:rPr>
              <w:t>Omit “One thousand dollars”, substitute “$1,000”</w:t>
            </w:r>
            <w:r w:rsidR="00EE16D4">
              <w:rPr>
                <w:rStyle w:val="Bodytext675pt"/>
                <w:sz w:val="22"/>
                <w:szCs w:val="22"/>
              </w:rPr>
              <w:t>.</w:t>
            </w:r>
          </w:p>
        </w:tc>
      </w:tr>
      <w:tr w:rsidR="002C14D7" w:rsidRPr="000355ED" w14:paraId="3931A501" w14:textId="77777777" w:rsidTr="00EE16D4">
        <w:trPr>
          <w:gridAfter w:val="1"/>
          <w:wAfter w:w="90" w:type="dxa"/>
          <w:trHeight w:val="250"/>
        </w:trPr>
        <w:tc>
          <w:tcPr>
            <w:tcW w:w="2894" w:type="dxa"/>
            <w:tcBorders>
              <w:bottom w:val="single" w:sz="4" w:space="0" w:color="auto"/>
            </w:tcBorders>
          </w:tcPr>
          <w:p w14:paraId="3ADF35C1" w14:textId="2455D822" w:rsidR="002C14D7" w:rsidRPr="000355ED" w:rsidRDefault="0032788C" w:rsidP="00EE16D4">
            <w:pPr>
              <w:pStyle w:val="Bodytext61"/>
              <w:tabs>
                <w:tab w:val="left" w:leader="dot" w:pos="4182"/>
              </w:tabs>
              <w:spacing w:line="240" w:lineRule="auto"/>
              <w:ind w:firstLine="0"/>
              <w:jc w:val="left"/>
            </w:pPr>
            <w:r>
              <w:rPr>
                <w:rStyle w:val="Bodytext675pt"/>
                <w:sz w:val="22"/>
                <w:szCs w:val="22"/>
              </w:rPr>
              <w:t>Paragraph 24(c)</w:t>
            </w:r>
            <w:r>
              <w:rPr>
                <w:rStyle w:val="Bodytext675pt"/>
                <w:sz w:val="22"/>
                <w:szCs w:val="22"/>
              </w:rPr>
              <w:tab/>
            </w:r>
          </w:p>
        </w:tc>
        <w:tc>
          <w:tcPr>
            <w:tcW w:w="6386" w:type="dxa"/>
            <w:tcBorders>
              <w:bottom w:val="single" w:sz="4" w:space="0" w:color="auto"/>
            </w:tcBorders>
          </w:tcPr>
          <w:p w14:paraId="201DFAF7" w14:textId="77777777" w:rsidR="002C14D7" w:rsidRPr="000355ED" w:rsidRDefault="007F6E88" w:rsidP="00F641B5">
            <w:pPr>
              <w:pStyle w:val="Bodytext61"/>
              <w:spacing w:line="240" w:lineRule="auto"/>
              <w:ind w:firstLine="0"/>
              <w:jc w:val="left"/>
            </w:pPr>
            <w:r w:rsidRPr="000355ED">
              <w:rPr>
                <w:rStyle w:val="Bodytext675pt"/>
                <w:sz w:val="22"/>
                <w:szCs w:val="22"/>
              </w:rPr>
              <w:t>Omit “One hundred dollars”, substitute “$100”.</w:t>
            </w:r>
          </w:p>
        </w:tc>
      </w:tr>
    </w:tbl>
    <w:p w14:paraId="079BDDED" w14:textId="77777777" w:rsidR="0032788C" w:rsidRDefault="0032788C" w:rsidP="0032788C">
      <w:pPr>
        <w:pBdr>
          <w:bottom w:val="single" w:sz="12" w:space="1" w:color="auto"/>
        </w:pBdr>
        <w:spacing w:after="120"/>
        <w:rPr>
          <w:rFonts w:ascii="Times New Roman" w:hAnsi="Times New Roman" w:cs="Times New Roman"/>
          <w:sz w:val="22"/>
          <w:szCs w:val="22"/>
        </w:rPr>
      </w:pPr>
      <w:bookmarkStart w:id="3" w:name="bookmark2"/>
      <w:bookmarkEnd w:id="3"/>
    </w:p>
    <w:sectPr w:rsidR="0032788C" w:rsidSect="00D325D4">
      <w:headerReference w:type="even" r:id="rId7"/>
      <w:headerReference w:type="default" r:id="rId8"/>
      <w:type w:val="continuous"/>
      <w:pgSz w:w="11909" w:h="18000" w:code="9"/>
      <w:pgMar w:top="1080" w:right="1080" w:bottom="1080" w:left="1080" w:header="450" w:footer="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C4F340" w14:textId="77777777" w:rsidR="002F34C4" w:rsidRDefault="002F34C4">
      <w:r>
        <w:separator/>
      </w:r>
    </w:p>
  </w:endnote>
  <w:endnote w:type="continuationSeparator" w:id="0">
    <w:p w14:paraId="68033718" w14:textId="77777777" w:rsidR="002F34C4" w:rsidRDefault="002F3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2C2D9" w14:textId="77777777" w:rsidR="002F34C4" w:rsidRDefault="002F34C4"/>
  </w:footnote>
  <w:footnote w:type="continuationSeparator" w:id="0">
    <w:p w14:paraId="074D1123" w14:textId="77777777" w:rsidR="002F34C4" w:rsidRDefault="002F34C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32D22" w14:textId="77777777" w:rsidR="00D325D4" w:rsidRPr="00D325D4" w:rsidRDefault="00D325D4" w:rsidP="00D325D4">
    <w:pPr>
      <w:pStyle w:val="Header"/>
      <w:tabs>
        <w:tab w:val="clear" w:pos="9360"/>
        <w:tab w:val="right" w:pos="9630"/>
      </w:tabs>
      <w:rPr>
        <w:rFonts w:ascii="Times New Roman" w:hAnsi="Times New Roman" w:cs="Times New Roman"/>
        <w:sz w:val="22"/>
        <w:szCs w:val="22"/>
      </w:rPr>
    </w:pPr>
    <w:r w:rsidRPr="00D325D4">
      <w:rPr>
        <w:rFonts w:ascii="Times New Roman" w:hAnsi="Times New Roman" w:cs="Times New Roman"/>
        <w:sz w:val="22"/>
        <w:szCs w:val="22"/>
      </w:rPr>
      <w:t>1976</w:t>
    </w:r>
    <w:r w:rsidRPr="00D325D4">
      <w:rPr>
        <w:rFonts w:ascii="Times New Roman" w:hAnsi="Times New Roman" w:cs="Times New Roman"/>
        <w:sz w:val="22"/>
        <w:szCs w:val="22"/>
      </w:rPr>
      <w:tab/>
    </w:r>
    <w:r w:rsidRPr="00D325D4">
      <w:rPr>
        <w:rFonts w:ascii="Times New Roman" w:hAnsi="Times New Roman" w:cs="Times New Roman"/>
        <w:i/>
        <w:iCs/>
        <w:color w:val="auto"/>
        <w:sz w:val="22"/>
        <w:szCs w:val="22"/>
      </w:rPr>
      <w:t>Phosphate Fertilizers Bounty Amendment</w:t>
    </w:r>
    <w:r w:rsidRPr="00D325D4">
      <w:rPr>
        <w:rFonts w:ascii="Times New Roman" w:hAnsi="Times New Roman" w:cs="Times New Roman"/>
        <w:i/>
        <w:iCs/>
        <w:color w:val="auto"/>
        <w:sz w:val="22"/>
        <w:szCs w:val="22"/>
      </w:rPr>
      <w:tab/>
    </w:r>
    <w:r w:rsidRPr="00D325D4">
      <w:rPr>
        <w:rFonts w:ascii="Times New Roman" w:hAnsi="Times New Roman" w:cs="Times New Roman"/>
        <w:iCs/>
        <w:color w:val="auto"/>
        <w:sz w:val="22"/>
        <w:szCs w:val="22"/>
      </w:rPr>
      <w:t>No.</w:t>
    </w:r>
    <w:r>
      <w:rPr>
        <w:rFonts w:ascii="Times New Roman" w:hAnsi="Times New Roman" w:cs="Times New Roman"/>
        <w:iCs/>
        <w:color w:val="auto"/>
        <w:sz w:val="22"/>
        <w:szCs w:val="22"/>
      </w:rPr>
      <w:t xml:space="preserve"> </w:t>
    </w:r>
    <w:r w:rsidRPr="00D325D4">
      <w:rPr>
        <w:rFonts w:ascii="Times New Roman" w:hAnsi="Times New Roman" w:cs="Times New Roman"/>
        <w:iCs/>
        <w:color w:val="auto"/>
        <w:sz w:val="22"/>
        <w:szCs w:val="22"/>
      </w:rPr>
      <w:t>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2F577" w14:textId="77777777" w:rsidR="00D325D4" w:rsidRPr="00D325D4" w:rsidRDefault="00D325D4">
    <w:pPr>
      <w:pStyle w:val="Header"/>
      <w:rPr>
        <w:rFonts w:ascii="Times New Roman" w:hAnsi="Times New Roman" w:cs="Times New Roman"/>
        <w:sz w:val="22"/>
        <w:szCs w:val="22"/>
      </w:rPr>
    </w:pPr>
    <w:r w:rsidRPr="00D325D4">
      <w:rPr>
        <w:rFonts w:ascii="Times New Roman" w:hAnsi="Times New Roman" w:cs="Times New Roman"/>
        <w:sz w:val="22"/>
        <w:szCs w:val="22"/>
      </w:rPr>
      <w:t>No. 19</w:t>
    </w:r>
    <w:r w:rsidRPr="00D325D4">
      <w:rPr>
        <w:rFonts w:ascii="Times New Roman" w:hAnsi="Times New Roman" w:cs="Times New Roman"/>
        <w:sz w:val="22"/>
        <w:szCs w:val="22"/>
      </w:rPr>
      <w:tab/>
    </w:r>
    <w:r w:rsidRPr="00D325D4">
      <w:rPr>
        <w:rFonts w:ascii="Times New Roman" w:hAnsi="Times New Roman" w:cs="Times New Roman"/>
        <w:i/>
        <w:iCs/>
        <w:color w:val="auto"/>
        <w:sz w:val="22"/>
        <w:szCs w:val="22"/>
      </w:rPr>
      <w:t>Phosphate Fertilizers Bounty Amendment</w:t>
    </w:r>
    <w:r w:rsidRPr="00D325D4">
      <w:rPr>
        <w:rFonts w:ascii="Times New Roman" w:hAnsi="Times New Roman" w:cs="Times New Roman"/>
        <w:i/>
        <w:iCs/>
        <w:color w:val="auto"/>
        <w:sz w:val="22"/>
        <w:szCs w:val="22"/>
      </w:rPr>
      <w:tab/>
    </w:r>
    <w:r w:rsidRPr="00D325D4">
      <w:rPr>
        <w:rFonts w:ascii="Times New Roman" w:hAnsi="Times New Roman" w:cs="Times New Roman"/>
        <w:iCs/>
        <w:color w:val="auto"/>
        <w:sz w:val="22"/>
        <w:szCs w:val="22"/>
      </w:rPr>
      <w:t>1976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20B00"/>
    <w:multiLevelType w:val="multilevel"/>
    <w:tmpl w:val="59E63A2C"/>
    <w:lvl w:ilvl="0">
      <w:start w:val="3"/>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F8F36B8"/>
    <w:multiLevelType w:val="multilevel"/>
    <w:tmpl w:val="D158A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C22CF8"/>
    <w:multiLevelType w:val="multilevel"/>
    <w:tmpl w:val="C2E0AE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4F53B28"/>
    <w:multiLevelType w:val="multilevel"/>
    <w:tmpl w:val="5D12193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2A809F5"/>
    <w:multiLevelType w:val="multilevel"/>
    <w:tmpl w:val="76B6B2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A6B52BE"/>
    <w:multiLevelType w:val="multilevel"/>
    <w:tmpl w:val="1B4CB78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6D75F24"/>
    <w:multiLevelType w:val="multilevel"/>
    <w:tmpl w:val="8B84E29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9946964"/>
    <w:multiLevelType w:val="multilevel"/>
    <w:tmpl w:val="EBA81C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9F167D4"/>
    <w:multiLevelType w:val="multilevel"/>
    <w:tmpl w:val="EE164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FBF0D88"/>
    <w:multiLevelType w:val="multilevel"/>
    <w:tmpl w:val="BD0889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6"/>
  </w:num>
  <w:num w:numId="3">
    <w:abstractNumId w:val="9"/>
  </w:num>
  <w:num w:numId="4">
    <w:abstractNumId w:val="4"/>
  </w:num>
  <w:num w:numId="5">
    <w:abstractNumId w:val="3"/>
  </w:num>
  <w:num w:numId="6">
    <w:abstractNumId w:val="0"/>
  </w:num>
  <w:num w:numId="7">
    <w:abstractNumId w:val="7"/>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2C14D7"/>
    <w:rsid w:val="00015E33"/>
    <w:rsid w:val="000355ED"/>
    <w:rsid w:val="00036E5F"/>
    <w:rsid w:val="00052B53"/>
    <w:rsid w:val="000774A8"/>
    <w:rsid w:val="000D1938"/>
    <w:rsid w:val="000E2260"/>
    <w:rsid w:val="001A2548"/>
    <w:rsid w:val="001C098B"/>
    <w:rsid w:val="001E52F5"/>
    <w:rsid w:val="0020634F"/>
    <w:rsid w:val="002C14D7"/>
    <w:rsid w:val="002E6C05"/>
    <w:rsid w:val="002F34C4"/>
    <w:rsid w:val="0032788C"/>
    <w:rsid w:val="00380F0E"/>
    <w:rsid w:val="003B6EB4"/>
    <w:rsid w:val="004051AA"/>
    <w:rsid w:val="00493429"/>
    <w:rsid w:val="004C1359"/>
    <w:rsid w:val="004C3338"/>
    <w:rsid w:val="005232D8"/>
    <w:rsid w:val="0059742B"/>
    <w:rsid w:val="005A4C7B"/>
    <w:rsid w:val="005F2328"/>
    <w:rsid w:val="00612CB3"/>
    <w:rsid w:val="006304F9"/>
    <w:rsid w:val="00645543"/>
    <w:rsid w:val="00770875"/>
    <w:rsid w:val="007B5733"/>
    <w:rsid w:val="007C2C3F"/>
    <w:rsid w:val="007C7E3D"/>
    <w:rsid w:val="007F6E88"/>
    <w:rsid w:val="007F721B"/>
    <w:rsid w:val="00820ACB"/>
    <w:rsid w:val="00837AD9"/>
    <w:rsid w:val="00843E76"/>
    <w:rsid w:val="008B2D3C"/>
    <w:rsid w:val="00904517"/>
    <w:rsid w:val="00952BB3"/>
    <w:rsid w:val="009A1A07"/>
    <w:rsid w:val="009C4E3D"/>
    <w:rsid w:val="009C7D74"/>
    <w:rsid w:val="00B53DA8"/>
    <w:rsid w:val="00BB1510"/>
    <w:rsid w:val="00C62700"/>
    <w:rsid w:val="00CD2A10"/>
    <w:rsid w:val="00D07D80"/>
    <w:rsid w:val="00D22BEE"/>
    <w:rsid w:val="00D27BDD"/>
    <w:rsid w:val="00D325D4"/>
    <w:rsid w:val="00D9799B"/>
    <w:rsid w:val="00E353D1"/>
    <w:rsid w:val="00E50D28"/>
    <w:rsid w:val="00E64004"/>
    <w:rsid w:val="00E7209B"/>
    <w:rsid w:val="00E7645F"/>
    <w:rsid w:val="00E80263"/>
    <w:rsid w:val="00E940A7"/>
    <w:rsid w:val="00EE16D4"/>
    <w:rsid w:val="00F641B5"/>
    <w:rsid w:val="00F8053A"/>
    <w:rsid w:val="00F878E7"/>
    <w:rsid w:val="00FA3CB2"/>
    <w:rsid w:val="00FC1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4AF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1">
    <w:name w:val="Body Text1"/>
    <w:basedOn w:val="DefaultParagraphFont"/>
    <w:rPr>
      <w:rFonts w:ascii="Times New Roman" w:eastAsia="Times New Roman" w:hAnsi="Times New Roman" w:cs="Times New Roman"/>
      <w:b w:val="0"/>
      <w:bCs w:val="0"/>
      <w:i w:val="0"/>
      <w:iCs w:val="0"/>
      <w:smallCaps w:val="0"/>
      <w:strike w:val="0"/>
      <w:sz w:val="22"/>
      <w:szCs w:val="22"/>
      <w:u w:val="none"/>
    </w:rPr>
  </w:style>
  <w:style w:type="character" w:customStyle="1" w:styleId="Bodytext95pt">
    <w:name w:val="Body text + 9.5 pt"/>
    <w:basedOn w:val="Bodytext"/>
    <w:rPr>
      <w:rFonts w:ascii="Times New Roman" w:eastAsia="Times New Roman" w:hAnsi="Times New Roman" w:cs="Times New Roman"/>
      <w:b w:val="0"/>
      <w:bCs w:val="0"/>
      <w:i w:val="0"/>
      <w:iCs w:val="0"/>
      <w:smallCaps w:val="0"/>
      <w:strike w:val="0"/>
      <w:sz w:val="19"/>
      <w:szCs w:val="19"/>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15"/>
      <w:szCs w:val="15"/>
      <w:u w:val="none"/>
    </w:rPr>
  </w:style>
  <w:style w:type="character" w:customStyle="1" w:styleId="Heading1">
    <w:name w:val="Heading #1_"/>
    <w:basedOn w:val="DefaultParagraphFont"/>
    <w:link w:val="Heading10"/>
    <w:rPr>
      <w:rFonts w:ascii="Arial" w:eastAsia="Arial" w:hAnsi="Arial" w:cs="Arial"/>
      <w:b/>
      <w:bCs/>
      <w:i w:val="0"/>
      <w:iCs w:val="0"/>
      <w:smallCaps w:val="0"/>
      <w:strike w:val="0"/>
      <w:sz w:val="27"/>
      <w:szCs w:val="27"/>
      <w:u w:val="none"/>
    </w:rPr>
  </w:style>
  <w:style w:type="character" w:customStyle="1" w:styleId="Heading22">
    <w:name w:val="Heading #2 (2)_"/>
    <w:basedOn w:val="DefaultParagraphFont"/>
    <w:link w:val="Heading220"/>
    <w:rPr>
      <w:rFonts w:ascii="Arial" w:eastAsia="Arial" w:hAnsi="Arial" w:cs="Arial"/>
      <w:b/>
      <w:bCs/>
      <w:i w:val="0"/>
      <w:iCs w:val="0"/>
      <w:smallCaps w:val="0"/>
      <w:strike w:val="0"/>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iCs/>
      <w:smallCaps w:val="0"/>
      <w:strike w:val="0"/>
      <w:sz w:val="22"/>
      <w:szCs w:val="22"/>
      <w:u w:val="none"/>
    </w:rPr>
  </w:style>
  <w:style w:type="character" w:customStyle="1" w:styleId="Bodytext2NotItalic">
    <w:name w:val="Body text (2) + Not Italic"/>
    <w:basedOn w:val="Bodytext2"/>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6">
    <w:name w:val="Body text (6)_"/>
    <w:basedOn w:val="DefaultParagraphFont"/>
    <w:link w:val="Bodytext61"/>
    <w:rPr>
      <w:rFonts w:ascii="Times New Roman" w:eastAsia="Times New Roman" w:hAnsi="Times New Roman" w:cs="Times New Roman"/>
      <w:b w:val="0"/>
      <w:bCs w:val="0"/>
      <w:i w:val="0"/>
      <w:iCs w:val="0"/>
      <w:smallCaps w:val="0"/>
      <w:strike w:val="0"/>
      <w:sz w:val="22"/>
      <w:szCs w:val="22"/>
      <w:u w:val="none"/>
    </w:rPr>
  </w:style>
  <w:style w:type="character" w:customStyle="1" w:styleId="Bodytext6Italic">
    <w:name w:val="Body text (6) + Italic"/>
    <w:basedOn w:val="Bodytext6"/>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2NotItalic2">
    <w:name w:val="Body text (2) + Not Italic2"/>
    <w:basedOn w:val="Bodytext2"/>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60">
    <w:name w:val="Body text (6)"/>
    <w:basedOn w:val="Bodytext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6Arial">
    <w:name w:val="Body text (6) + Arial"/>
    <w:aliases w:val="12 pt,Bold"/>
    <w:basedOn w:val="Bodytext6"/>
    <w:rPr>
      <w:rFonts w:ascii="Arial" w:eastAsia="Arial" w:hAnsi="Arial" w:cs="Arial"/>
      <w:b/>
      <w:bCs/>
      <w:i w:val="0"/>
      <w:iCs w:val="0"/>
      <w:smallCaps w:val="0"/>
      <w:strike w:val="0"/>
      <w:color w:val="000000"/>
      <w:spacing w:val="0"/>
      <w:w w:val="100"/>
      <w:position w:val="0"/>
      <w:sz w:val="24"/>
      <w:szCs w:val="24"/>
      <w:u w:val="none"/>
      <w:lang w:val="en-US"/>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15"/>
      <w:szCs w:val="15"/>
      <w:u w:val="none"/>
    </w:rPr>
  </w:style>
  <w:style w:type="character" w:customStyle="1" w:styleId="Tablecaption11pt">
    <w:name w:val="Table caption + 11 pt"/>
    <w:basedOn w:val="Tablecaption"/>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675pt">
    <w:name w:val="Body text (6) + 7.5 pt"/>
    <w:basedOn w:val="Bodytext6"/>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character" w:customStyle="1" w:styleId="Bodytext675pt1">
    <w:name w:val="Body text (6) + 7.5 pt1"/>
    <w:aliases w:val="Spacing 7 pt"/>
    <w:basedOn w:val="Bodytext6"/>
    <w:rPr>
      <w:rFonts w:ascii="Times New Roman" w:eastAsia="Times New Roman" w:hAnsi="Times New Roman" w:cs="Times New Roman"/>
      <w:b w:val="0"/>
      <w:bCs w:val="0"/>
      <w:i w:val="0"/>
      <w:iCs w:val="0"/>
      <w:smallCaps w:val="0"/>
      <w:strike w:val="0"/>
      <w:color w:val="000000"/>
      <w:spacing w:val="150"/>
      <w:w w:val="100"/>
      <w:position w:val="0"/>
      <w:sz w:val="15"/>
      <w:szCs w:val="15"/>
      <w:u w:val="none"/>
      <w:lang w:val="en-US"/>
    </w:rPr>
  </w:style>
  <w:style w:type="character" w:customStyle="1" w:styleId="Bodytext2NotItalic1">
    <w:name w:val="Body text (2) + Not Italic1"/>
    <w:basedOn w:val="Bodytext2"/>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Tablecaption2">
    <w:name w:val="Table caption (2)_"/>
    <w:basedOn w:val="DefaultParagraphFont"/>
    <w:link w:val="Tablecaption21"/>
    <w:rPr>
      <w:rFonts w:ascii="Times New Roman" w:eastAsia="Times New Roman" w:hAnsi="Times New Roman" w:cs="Times New Roman"/>
      <w:b w:val="0"/>
      <w:bCs w:val="0"/>
      <w:i w:val="0"/>
      <w:iCs w:val="0"/>
      <w:smallCaps w:val="0"/>
      <w:strike w:val="0"/>
      <w:sz w:val="19"/>
      <w:szCs w:val="19"/>
      <w:u w:val="none"/>
    </w:rPr>
  </w:style>
  <w:style w:type="character" w:customStyle="1" w:styleId="Tablecaption20">
    <w:name w:val="Table caption (2)"/>
    <w:basedOn w:val="Tablecaption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style>
  <w:style w:type="character" w:customStyle="1" w:styleId="Heading3">
    <w:name w:val="Heading #3_"/>
    <w:basedOn w:val="DefaultParagraphFont"/>
    <w:link w:val="Heading30"/>
    <w:rPr>
      <w:rFonts w:ascii="Times New Roman" w:eastAsia="Times New Roman" w:hAnsi="Times New Roman" w:cs="Times New Roman"/>
      <w:b w:val="0"/>
      <w:bCs w:val="0"/>
      <w:i w:val="0"/>
      <w:iCs w:val="0"/>
      <w:smallCaps w:val="0"/>
      <w:strike w:val="0"/>
      <w:sz w:val="22"/>
      <w:szCs w:val="22"/>
      <w:u w:val="none"/>
    </w:rPr>
  </w:style>
  <w:style w:type="character" w:customStyle="1" w:styleId="Bodytext">
    <w:name w:val="Body text_"/>
    <w:basedOn w:val="DefaultParagraphFont"/>
    <w:link w:val="BodyText21"/>
    <w:rPr>
      <w:rFonts w:ascii="Times New Roman" w:eastAsia="Times New Roman" w:hAnsi="Times New Roman" w:cs="Times New Roman"/>
      <w:b w:val="0"/>
      <w:bCs w:val="0"/>
      <w:i w:val="0"/>
      <w:iCs w:val="0"/>
      <w:smallCaps w:val="0"/>
      <w:strike w:val="0"/>
      <w:sz w:val="22"/>
      <w:szCs w:val="22"/>
      <w:u w:val="none"/>
    </w:rPr>
  </w:style>
  <w:style w:type="character" w:customStyle="1" w:styleId="Bodytext95pt1">
    <w:name w:val="Body text + 9.5 pt1"/>
    <w:basedOn w:val="Bodytex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style>
  <w:style w:type="paragraph" w:customStyle="1" w:styleId="BodyText21">
    <w:name w:val="Body Text2"/>
    <w:basedOn w:val="Normal"/>
    <w:link w:val="Bodytext"/>
    <w:pPr>
      <w:spacing w:line="235" w:lineRule="exact"/>
      <w:ind w:hanging="640"/>
      <w:jc w:val="both"/>
    </w:pPr>
    <w:rPr>
      <w:rFonts w:ascii="Times New Roman" w:eastAsia="Times New Roman" w:hAnsi="Times New Roman" w:cs="Times New Roman"/>
      <w:sz w:val="22"/>
      <w:szCs w:val="22"/>
    </w:rPr>
  </w:style>
  <w:style w:type="paragraph" w:customStyle="1" w:styleId="Bodytext40">
    <w:name w:val="Body text (4)"/>
    <w:basedOn w:val="Normal"/>
    <w:link w:val="Bodytext4"/>
    <w:pPr>
      <w:spacing w:line="0" w:lineRule="atLeast"/>
      <w:ind w:hanging="560"/>
    </w:pPr>
    <w:rPr>
      <w:rFonts w:ascii="Times New Roman" w:eastAsia="Times New Roman" w:hAnsi="Times New Roman" w:cs="Times New Roman"/>
      <w:sz w:val="15"/>
      <w:szCs w:val="15"/>
    </w:rPr>
  </w:style>
  <w:style w:type="paragraph" w:customStyle="1" w:styleId="Heading10">
    <w:name w:val="Heading #1"/>
    <w:basedOn w:val="Normal"/>
    <w:link w:val="Heading1"/>
    <w:pPr>
      <w:spacing w:line="341" w:lineRule="exact"/>
      <w:jc w:val="center"/>
      <w:outlineLvl w:val="0"/>
    </w:pPr>
    <w:rPr>
      <w:rFonts w:ascii="Arial" w:eastAsia="Arial" w:hAnsi="Arial" w:cs="Arial"/>
      <w:b/>
      <w:bCs/>
      <w:sz w:val="27"/>
      <w:szCs w:val="27"/>
    </w:rPr>
  </w:style>
  <w:style w:type="paragraph" w:customStyle="1" w:styleId="Heading220">
    <w:name w:val="Heading #2 (2)"/>
    <w:basedOn w:val="Normal"/>
    <w:link w:val="Heading22"/>
    <w:pPr>
      <w:spacing w:line="0" w:lineRule="atLeast"/>
      <w:jc w:val="center"/>
      <w:outlineLvl w:val="1"/>
    </w:pPr>
    <w:rPr>
      <w:rFonts w:ascii="Arial" w:eastAsia="Arial" w:hAnsi="Arial" w:cs="Arial"/>
      <w:b/>
      <w:bCs/>
    </w:rPr>
  </w:style>
  <w:style w:type="paragraph" w:customStyle="1" w:styleId="Bodytext20">
    <w:name w:val="Body text (2)"/>
    <w:basedOn w:val="Normal"/>
    <w:link w:val="Bodytext2"/>
    <w:pPr>
      <w:spacing w:line="0" w:lineRule="atLeast"/>
      <w:jc w:val="center"/>
    </w:pPr>
    <w:rPr>
      <w:rFonts w:ascii="Times New Roman" w:eastAsia="Times New Roman" w:hAnsi="Times New Roman" w:cs="Times New Roman"/>
      <w:i/>
      <w:iCs/>
      <w:sz w:val="22"/>
      <w:szCs w:val="22"/>
    </w:rPr>
  </w:style>
  <w:style w:type="paragraph" w:customStyle="1" w:styleId="Bodytext61">
    <w:name w:val="Body text (6)1"/>
    <w:basedOn w:val="Normal"/>
    <w:link w:val="Bodytext6"/>
    <w:pPr>
      <w:spacing w:line="235" w:lineRule="exact"/>
      <w:ind w:hanging="640"/>
      <w:jc w:val="both"/>
    </w:pPr>
    <w:rPr>
      <w:rFonts w:ascii="Times New Roman" w:eastAsia="Times New Roman" w:hAnsi="Times New Roman" w:cs="Times New Roman"/>
      <w:sz w:val="22"/>
      <w:szCs w:val="22"/>
    </w:rPr>
  </w:style>
  <w:style w:type="paragraph" w:customStyle="1" w:styleId="Tablecaption0">
    <w:name w:val="Table caption"/>
    <w:basedOn w:val="Normal"/>
    <w:link w:val="Tablecaption"/>
    <w:pPr>
      <w:spacing w:line="0" w:lineRule="atLeast"/>
      <w:jc w:val="both"/>
    </w:pPr>
    <w:rPr>
      <w:rFonts w:ascii="Times New Roman" w:eastAsia="Times New Roman" w:hAnsi="Times New Roman" w:cs="Times New Roman"/>
      <w:sz w:val="15"/>
      <w:szCs w:val="15"/>
    </w:rPr>
  </w:style>
  <w:style w:type="paragraph" w:customStyle="1" w:styleId="Tablecaption21">
    <w:name w:val="Table caption (2)1"/>
    <w:basedOn w:val="Normal"/>
    <w:link w:val="Tablecaption2"/>
    <w:pPr>
      <w:spacing w:line="0" w:lineRule="atLeast"/>
    </w:pPr>
    <w:rPr>
      <w:rFonts w:ascii="Times New Roman" w:eastAsia="Times New Roman" w:hAnsi="Times New Roman" w:cs="Times New Roman"/>
      <w:sz w:val="19"/>
      <w:szCs w:val="19"/>
    </w:rPr>
  </w:style>
  <w:style w:type="paragraph" w:customStyle="1" w:styleId="Heading30">
    <w:name w:val="Heading #3"/>
    <w:basedOn w:val="Normal"/>
    <w:link w:val="Heading3"/>
    <w:pPr>
      <w:spacing w:line="0" w:lineRule="atLeast"/>
      <w:jc w:val="center"/>
      <w:outlineLvl w:val="2"/>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D325D4"/>
    <w:pPr>
      <w:tabs>
        <w:tab w:val="center" w:pos="4680"/>
        <w:tab w:val="right" w:pos="9360"/>
      </w:tabs>
    </w:pPr>
  </w:style>
  <w:style w:type="character" w:customStyle="1" w:styleId="HeaderChar">
    <w:name w:val="Header Char"/>
    <w:basedOn w:val="DefaultParagraphFont"/>
    <w:link w:val="Header"/>
    <w:uiPriority w:val="99"/>
    <w:rsid w:val="00D325D4"/>
    <w:rPr>
      <w:color w:val="000000"/>
    </w:rPr>
  </w:style>
  <w:style w:type="paragraph" w:styleId="Footer">
    <w:name w:val="footer"/>
    <w:basedOn w:val="Normal"/>
    <w:link w:val="FooterChar"/>
    <w:uiPriority w:val="99"/>
    <w:unhideWhenUsed/>
    <w:rsid w:val="00D325D4"/>
    <w:pPr>
      <w:tabs>
        <w:tab w:val="center" w:pos="4680"/>
        <w:tab w:val="right" w:pos="9360"/>
      </w:tabs>
    </w:pPr>
  </w:style>
  <w:style w:type="character" w:customStyle="1" w:styleId="FooterChar">
    <w:name w:val="Footer Char"/>
    <w:basedOn w:val="DefaultParagraphFont"/>
    <w:link w:val="Footer"/>
    <w:uiPriority w:val="99"/>
    <w:rsid w:val="00D325D4"/>
    <w:rPr>
      <w:color w:val="000000"/>
    </w:rPr>
  </w:style>
  <w:style w:type="character" w:styleId="CommentReference">
    <w:name w:val="annotation reference"/>
    <w:basedOn w:val="DefaultParagraphFont"/>
    <w:uiPriority w:val="99"/>
    <w:semiHidden/>
    <w:unhideWhenUsed/>
    <w:rsid w:val="007C2C3F"/>
    <w:rPr>
      <w:sz w:val="16"/>
      <w:szCs w:val="16"/>
    </w:rPr>
  </w:style>
  <w:style w:type="paragraph" w:styleId="CommentText">
    <w:name w:val="annotation text"/>
    <w:basedOn w:val="Normal"/>
    <w:link w:val="CommentTextChar"/>
    <w:uiPriority w:val="99"/>
    <w:semiHidden/>
    <w:unhideWhenUsed/>
    <w:rsid w:val="007C2C3F"/>
    <w:rPr>
      <w:sz w:val="20"/>
      <w:szCs w:val="20"/>
    </w:rPr>
  </w:style>
  <w:style w:type="character" w:customStyle="1" w:styleId="CommentTextChar">
    <w:name w:val="Comment Text Char"/>
    <w:basedOn w:val="DefaultParagraphFont"/>
    <w:link w:val="CommentText"/>
    <w:uiPriority w:val="99"/>
    <w:semiHidden/>
    <w:rsid w:val="007C2C3F"/>
    <w:rPr>
      <w:color w:val="000000"/>
      <w:sz w:val="20"/>
      <w:szCs w:val="20"/>
    </w:rPr>
  </w:style>
  <w:style w:type="paragraph" w:styleId="CommentSubject">
    <w:name w:val="annotation subject"/>
    <w:basedOn w:val="CommentText"/>
    <w:next w:val="CommentText"/>
    <w:link w:val="CommentSubjectChar"/>
    <w:uiPriority w:val="99"/>
    <w:semiHidden/>
    <w:unhideWhenUsed/>
    <w:rsid w:val="007C2C3F"/>
    <w:rPr>
      <w:b/>
      <w:bCs/>
    </w:rPr>
  </w:style>
  <w:style w:type="character" w:customStyle="1" w:styleId="CommentSubjectChar">
    <w:name w:val="Comment Subject Char"/>
    <w:basedOn w:val="CommentTextChar"/>
    <w:link w:val="CommentSubject"/>
    <w:uiPriority w:val="99"/>
    <w:semiHidden/>
    <w:rsid w:val="007C2C3F"/>
    <w:rPr>
      <w:b/>
      <w:bCs/>
      <w:color w:val="000000"/>
      <w:sz w:val="20"/>
      <w:szCs w:val="20"/>
    </w:rPr>
  </w:style>
  <w:style w:type="paragraph" w:styleId="BalloonText">
    <w:name w:val="Balloon Text"/>
    <w:basedOn w:val="Normal"/>
    <w:link w:val="BalloonTextChar"/>
    <w:uiPriority w:val="99"/>
    <w:semiHidden/>
    <w:unhideWhenUsed/>
    <w:rsid w:val="007C2C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C3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Michael</dc:creator>
  <cp:lastModifiedBy>Harper, Michael</cp:lastModifiedBy>
  <cp:revision>1</cp:revision>
  <dcterms:created xsi:type="dcterms:W3CDTF">2018-09-26T01:26:00Z</dcterms:created>
  <dcterms:modified xsi:type="dcterms:W3CDTF">2019-07-25T20:37:00Z</dcterms:modified>
</cp:coreProperties>
</file>